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6"/>
          <w:szCs w:val="16"/>
          <w:b w:val="1"/>
          <w:bCs w:val="1"/>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86"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FORM 10-Q</w:t>
      </w:r>
    </w:p>
    <w:p>
      <w:pPr>
        <w:spacing w:after="0" w:line="121" w:lineRule="exact"/>
        <w:rPr>
          <w:sz w:val="24"/>
          <w:szCs w:val="24"/>
          <w:color w:val="auto"/>
        </w:rPr>
      </w:pPr>
    </w:p>
    <w:p>
      <w:pPr>
        <w:ind w:left="3320" w:hanging="1006"/>
        <w:spacing w:after="0"/>
        <w:tabs>
          <w:tab w:leader="none" w:pos="332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w:t>
      </w:r>
    </w:p>
    <w:p>
      <w:pPr>
        <w:ind w:left="380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OF THE SECURITIES EXCHANGE ACT OF 1934</w:t>
      </w:r>
    </w:p>
    <w:p>
      <w:pPr>
        <w:spacing w:after="0" w:line="13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June 30, 2021</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199" w:lineRule="exact"/>
        <w:rPr>
          <w:sz w:val="24"/>
          <w:szCs w:val="24"/>
          <w:color w:val="auto"/>
        </w:rPr>
      </w:pPr>
    </w:p>
    <w:p>
      <w:pPr>
        <w:ind w:left="3320" w:hanging="1006"/>
        <w:spacing w:after="0"/>
        <w:tabs>
          <w:tab w:leader="none" w:pos="332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w:t>
      </w:r>
    </w:p>
    <w:p>
      <w:pPr>
        <w:ind w:left="380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OF THE SECURITIES EXCHANGE ACT OF 1934</w:t>
      </w:r>
    </w:p>
    <w:p>
      <w:pPr>
        <w:spacing w:after="0" w:line="55" w:lineRule="exact"/>
        <w:rPr>
          <w:sz w:val="24"/>
          <w:szCs w:val="24"/>
          <w:color w:val="auto"/>
        </w:rPr>
      </w:pPr>
    </w:p>
    <w:p>
      <w:pPr>
        <w:ind w:left="3520"/>
        <w:spacing w:after="0"/>
        <w:rPr>
          <w:sz w:val="20"/>
          <w:szCs w:val="20"/>
          <w:color w:val="auto"/>
        </w:rPr>
      </w:pPr>
      <w:r>
        <w:rPr>
          <w:rFonts w:ascii="Arial" w:cs="Arial" w:eastAsia="Arial" w:hAnsi="Arial"/>
          <w:sz w:val="16"/>
          <w:szCs w:val="16"/>
          <w:b w:val="1"/>
          <w:bCs w:val="1"/>
          <w:color w:val="auto"/>
        </w:rPr>
        <w:t>For the Transition Period from ___________ to ___________</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001-35095</w:t>
      </w:r>
    </w:p>
    <w:p>
      <w:pPr>
        <w:spacing w:after="0" w:line="15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COMMUNITY BANKS, INC.</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122" w:lineRule="exact"/>
        <w:rPr>
          <w:sz w:val="24"/>
          <w:szCs w:val="24"/>
          <w:color w:val="auto"/>
        </w:rPr>
      </w:pPr>
    </w:p>
    <w:tbl>
      <w:tblPr>
        <w:tblLayout w:type="fixed"/>
        <w:tblInd w:w="76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37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Georgia</w:t>
            </w:r>
          </w:p>
        </w:tc>
        <w:tc>
          <w:tcPr>
            <w:tcW w:w="5980" w:type="dxa"/>
            <w:vAlign w:val="bottom"/>
            <w:gridSpan w:val="2"/>
          </w:tcPr>
          <w:p>
            <w:pPr>
              <w:jc w:val="center"/>
              <w:ind w:left="2159"/>
              <w:spacing w:after="0"/>
              <w:rPr>
                <w:sz w:val="20"/>
                <w:szCs w:val="20"/>
                <w:color w:val="auto"/>
              </w:rPr>
            </w:pPr>
            <w:r>
              <w:rPr>
                <w:rFonts w:ascii="Arial" w:cs="Arial" w:eastAsia="Arial" w:hAnsi="Arial"/>
                <w:sz w:val="16"/>
                <w:szCs w:val="16"/>
                <w:b w:val="1"/>
                <w:bCs w:val="1"/>
                <w:color w:val="auto"/>
                <w:w w:val="91"/>
              </w:rPr>
              <w:t>58-1807304</w:t>
            </w:r>
          </w:p>
        </w:tc>
      </w:tr>
      <w:tr>
        <w:trPr>
          <w:trHeight w:val="234"/>
        </w:trPr>
        <w:tc>
          <w:tcPr>
            <w:tcW w:w="20" w:type="dxa"/>
            <w:vAlign w:val="bottom"/>
          </w:tcPr>
          <w:p>
            <w:pPr>
              <w:spacing w:after="0"/>
              <w:rPr>
                <w:sz w:val="20"/>
                <w:szCs w:val="20"/>
                <w:color w:val="auto"/>
              </w:rPr>
            </w:pPr>
          </w:p>
        </w:tc>
        <w:tc>
          <w:tcPr>
            <w:tcW w:w="3720" w:type="dxa"/>
            <w:vAlign w:val="bottom"/>
            <w:tcBorders>
              <w:top w:val="single" w:sz="8" w:color="auto"/>
            </w:tcBorders>
            <w:gridSpan w:val="2"/>
          </w:tcPr>
          <w:p>
            <w:pPr>
              <w:jc w:val="center"/>
              <w:ind w:right="20"/>
              <w:spacing w:after="0"/>
              <w:rPr>
                <w:sz w:val="20"/>
                <w:szCs w:val="20"/>
                <w:color w:val="auto"/>
              </w:rPr>
            </w:pPr>
            <w:r>
              <w:rPr>
                <w:rFonts w:ascii="Arial" w:cs="Arial" w:eastAsia="Arial" w:hAnsi="Arial"/>
                <w:sz w:val="16"/>
                <w:szCs w:val="16"/>
                <w:b w:val="1"/>
                <w:bCs w:val="1"/>
                <w:color w:val="auto"/>
                <w:w w:val="91"/>
              </w:rPr>
              <w:t>(State of incorporation)</w:t>
            </w:r>
          </w:p>
        </w:tc>
        <w:tc>
          <w:tcPr>
            <w:tcW w:w="2240" w:type="dxa"/>
            <w:vAlign w:val="bottom"/>
          </w:tcPr>
          <w:p>
            <w:pPr>
              <w:spacing w:after="0"/>
              <w:rPr>
                <w:sz w:val="20"/>
                <w:szCs w:val="20"/>
                <w:color w:val="auto"/>
              </w:rPr>
            </w:pPr>
          </w:p>
        </w:tc>
        <w:tc>
          <w:tcPr>
            <w:tcW w:w="37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(I.R.S. Employer Identification No.)</w:t>
            </w:r>
          </w:p>
        </w:tc>
      </w:tr>
      <w:tr>
        <w:trPr>
          <w:trHeight w:val="324"/>
        </w:trPr>
        <w:tc>
          <w:tcPr>
            <w:tcW w:w="20" w:type="dxa"/>
            <w:vAlign w:val="bottom"/>
          </w:tcPr>
          <w:p>
            <w:pPr>
              <w:spacing w:after="0"/>
              <w:rPr>
                <w:sz w:val="24"/>
                <w:szCs w:val="24"/>
                <w:color w:val="auto"/>
              </w:rPr>
            </w:pPr>
          </w:p>
        </w:tc>
        <w:tc>
          <w:tcPr>
            <w:tcW w:w="372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2"/>
              </w:rPr>
              <w:t>125 Highway 515 East</w:t>
            </w:r>
          </w:p>
        </w:tc>
        <w:tc>
          <w:tcPr>
            <w:tcW w:w="224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19"/>
        </w:trPr>
        <w:tc>
          <w:tcPr>
            <w:tcW w:w="20" w:type="dxa"/>
            <w:vAlign w:val="bottom"/>
          </w:tcPr>
          <w:p>
            <w:pPr>
              <w:spacing w:after="0"/>
              <w:rPr>
                <w:sz w:val="19"/>
                <w:szCs w:val="19"/>
                <w:color w:val="auto"/>
              </w:rPr>
            </w:pPr>
          </w:p>
        </w:tc>
        <w:tc>
          <w:tcPr>
            <w:tcW w:w="372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2"/>
              </w:rPr>
              <w:t>Blairsville, Georgia</w:t>
            </w:r>
          </w:p>
        </w:tc>
        <w:tc>
          <w:tcPr>
            <w:tcW w:w="5980" w:type="dxa"/>
            <w:vAlign w:val="bottom"/>
            <w:gridSpan w:val="2"/>
          </w:tcPr>
          <w:p>
            <w:pPr>
              <w:jc w:val="center"/>
              <w:ind w:left="2179"/>
              <w:spacing w:after="0"/>
              <w:rPr>
                <w:sz w:val="20"/>
                <w:szCs w:val="20"/>
                <w:color w:val="auto"/>
              </w:rPr>
            </w:pPr>
            <w:r>
              <w:rPr>
                <w:rFonts w:ascii="Arial" w:cs="Arial" w:eastAsia="Arial" w:hAnsi="Arial"/>
                <w:sz w:val="16"/>
                <w:szCs w:val="16"/>
                <w:b w:val="1"/>
                <w:bCs w:val="1"/>
                <w:color w:val="auto"/>
                <w:w w:val="89"/>
              </w:rPr>
              <w:t>30512</w:t>
            </w:r>
          </w:p>
        </w:tc>
      </w:tr>
      <w:tr>
        <w:trPr>
          <w:trHeight w:val="207"/>
        </w:trPr>
        <w:tc>
          <w:tcPr>
            <w:tcW w:w="20" w:type="dxa"/>
            <w:vAlign w:val="bottom"/>
            <w:tcBorders>
              <w:top w:val="single" w:sz="8" w:color="auto"/>
            </w:tcBorders>
          </w:tcPr>
          <w:p>
            <w:pPr>
              <w:spacing w:after="0"/>
              <w:rPr>
                <w:sz w:val="17"/>
                <w:szCs w:val="17"/>
                <w:color w:val="auto"/>
              </w:rPr>
            </w:pPr>
          </w:p>
        </w:tc>
        <w:tc>
          <w:tcPr>
            <w:tcW w:w="37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7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(Zip code)</w:t>
            </w:r>
          </w:p>
        </w:tc>
      </w:tr>
      <w:tr>
        <w:trPr>
          <w:trHeight w:val="293"/>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40" w:type="dxa"/>
            <w:vAlign w:val="bottom"/>
          </w:tcPr>
          <w:p>
            <w:pPr>
              <w:jc w:val="right"/>
              <w:ind w:right="519"/>
              <w:spacing w:after="0"/>
              <w:rPr>
                <w:sz w:val="20"/>
                <w:szCs w:val="20"/>
                <w:color w:val="auto"/>
              </w:rPr>
            </w:pPr>
            <w:r>
              <w:rPr>
                <w:rFonts w:ascii="Arial" w:cs="Arial" w:eastAsia="Arial" w:hAnsi="Arial"/>
                <w:sz w:val="16"/>
                <w:szCs w:val="16"/>
                <w:b w:val="1"/>
                <w:bCs w:val="1"/>
                <w:color w:val="auto"/>
              </w:rPr>
              <w:t>(706) 781-2265</w:t>
            </w:r>
          </w:p>
        </w:tc>
        <w:tc>
          <w:tcPr>
            <w:tcW w:w="3740" w:type="dxa"/>
            <w:vAlign w:val="bottom"/>
          </w:tcPr>
          <w:p>
            <w:pPr>
              <w:spacing w:after="0"/>
              <w:rPr>
                <w:sz w:val="24"/>
                <w:szCs w:val="24"/>
                <w:color w:val="auto"/>
              </w:rPr>
            </w:pPr>
          </w:p>
        </w:tc>
      </w:tr>
    </w:tbl>
    <w:p>
      <w:pPr>
        <w:jc w:val="center"/>
        <w:ind w:right="-19"/>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113" w:lineRule="exact"/>
        <w:rPr>
          <w:sz w:val="24"/>
          <w:szCs w:val="24"/>
          <w:color w:val="auto"/>
        </w:rPr>
      </w:pPr>
    </w:p>
    <w:tbl>
      <w:tblPr>
        <w:tblLayout w:type="fixed"/>
        <w:tblInd w:w="40" w:type="dxa"/>
        <w:tblCellMar>
          <w:top w:w="0" w:type="dxa"/>
          <w:left w:w="0" w:type="dxa"/>
          <w:bottom w:w="0" w:type="dxa"/>
          <w:right w:w="0" w:type="dxa"/>
        </w:tblCellMar>
      </w:tblPr>
      <w:tr>
        <w:trPr>
          <w:trHeight w:val="186"/>
        </w:trPr>
        <w:tc>
          <w:tcPr>
            <w:tcW w:w="4720" w:type="dxa"/>
            <w:vAlign w:val="bottom"/>
            <w:gridSpan w:val="3"/>
          </w:tcPr>
          <w:p>
            <w:pPr>
              <w:spacing w:after="0"/>
              <w:rPr>
                <w:sz w:val="20"/>
                <w:szCs w:val="20"/>
                <w:color w:val="auto"/>
              </w:rPr>
            </w:pPr>
            <w:r>
              <w:rPr>
                <w:rFonts w:ascii="Arial" w:cs="Arial" w:eastAsia="Arial" w:hAnsi="Arial"/>
                <w:sz w:val="14"/>
                <w:szCs w:val="14"/>
                <w:b w:val="1"/>
                <w:bCs w:val="1"/>
                <w:color w:val="auto"/>
              </w:rPr>
              <w:t>Securities registered pursuant to Section 12(b) of the Act:</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1840" w:type="dxa"/>
            <w:vAlign w:val="bottom"/>
          </w:tcPr>
          <w:p>
            <w:pPr>
              <w:spacing w:after="0"/>
              <w:rPr>
                <w:sz w:val="23"/>
                <w:szCs w:val="23"/>
                <w:color w:val="auto"/>
              </w:rPr>
            </w:pPr>
          </w:p>
        </w:tc>
        <w:tc>
          <w:tcPr>
            <w:tcW w:w="2880" w:type="dxa"/>
            <w:vAlign w:val="bottom"/>
            <w:gridSpan w:val="2"/>
          </w:tcPr>
          <w:p>
            <w:pPr>
              <w:jc w:val="center"/>
              <w:ind w:right="1740"/>
              <w:spacing w:after="0"/>
              <w:rPr>
                <w:sz w:val="20"/>
                <w:szCs w:val="20"/>
                <w:color w:val="auto"/>
              </w:rPr>
            </w:pPr>
            <w:r>
              <w:rPr>
                <w:rFonts w:ascii="Arial" w:cs="Arial" w:eastAsia="Arial" w:hAnsi="Arial"/>
                <w:sz w:val="14"/>
                <w:szCs w:val="14"/>
                <w:b w:val="1"/>
                <w:bCs w:val="1"/>
                <w:color w:val="auto"/>
                <w:w w:val="91"/>
              </w:rPr>
              <w:t>Title of Each Class</w:t>
            </w:r>
          </w:p>
        </w:tc>
        <w:tc>
          <w:tcPr>
            <w:tcW w:w="2620" w:type="dxa"/>
            <w:vAlign w:val="bottom"/>
            <w:gridSpan w:val="3"/>
          </w:tcPr>
          <w:p>
            <w:pPr>
              <w:jc w:val="center"/>
              <w:ind w:right="920"/>
              <w:spacing w:after="0"/>
              <w:rPr>
                <w:sz w:val="20"/>
                <w:szCs w:val="20"/>
                <w:color w:val="auto"/>
              </w:rPr>
            </w:pPr>
            <w:r>
              <w:rPr>
                <w:rFonts w:ascii="Arial" w:cs="Arial" w:eastAsia="Arial" w:hAnsi="Arial"/>
                <w:sz w:val="14"/>
                <w:szCs w:val="14"/>
                <w:b w:val="1"/>
                <w:bCs w:val="1"/>
                <w:color w:val="auto"/>
                <w:w w:val="92"/>
              </w:rPr>
              <w:t>Trading Symbol(s)</w:t>
            </w:r>
          </w:p>
        </w:tc>
        <w:tc>
          <w:tcPr>
            <w:tcW w:w="282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720" w:type="dxa"/>
            <w:vAlign w:val="bottom"/>
            <w:gridSpan w:val="3"/>
          </w:tcPr>
          <w:p>
            <w:pPr>
              <w:jc w:val="center"/>
              <w:ind w:left="28"/>
              <w:spacing w:after="0"/>
              <w:rPr>
                <w:sz w:val="20"/>
                <w:szCs w:val="20"/>
                <w:color w:val="auto"/>
              </w:rPr>
            </w:pPr>
            <w:r>
              <w:rPr>
                <w:rFonts w:ascii="Arial" w:cs="Arial" w:eastAsia="Arial" w:hAnsi="Arial"/>
                <w:sz w:val="14"/>
                <w:szCs w:val="14"/>
                <w:b w:val="1"/>
                <w:bCs w:val="1"/>
                <w:color w:val="auto"/>
                <w:w w:val="92"/>
              </w:rPr>
              <w:t>Common stock, par value $1 per share</w:t>
            </w:r>
          </w:p>
        </w:tc>
        <w:tc>
          <w:tcPr>
            <w:tcW w:w="280" w:type="dxa"/>
            <w:vAlign w:val="bottom"/>
          </w:tcPr>
          <w:p>
            <w:pPr>
              <w:spacing w:after="0"/>
              <w:rPr>
                <w:sz w:val="17"/>
                <w:szCs w:val="17"/>
                <w:color w:val="auto"/>
              </w:rPr>
            </w:pPr>
          </w:p>
        </w:tc>
        <w:tc>
          <w:tcPr>
            <w:tcW w:w="2340" w:type="dxa"/>
            <w:vAlign w:val="bottom"/>
            <w:gridSpan w:val="2"/>
          </w:tcPr>
          <w:p>
            <w:pPr>
              <w:jc w:val="center"/>
              <w:ind w:right="1180"/>
              <w:spacing w:after="0"/>
              <w:rPr>
                <w:sz w:val="20"/>
                <w:szCs w:val="20"/>
                <w:color w:val="auto"/>
              </w:rPr>
            </w:pPr>
            <w:r>
              <w:rPr>
                <w:rFonts w:ascii="Arial" w:cs="Arial" w:eastAsia="Arial" w:hAnsi="Arial"/>
                <w:sz w:val="14"/>
                <w:szCs w:val="14"/>
                <w:b w:val="1"/>
                <w:bCs w:val="1"/>
                <w:color w:val="auto"/>
              </w:rPr>
              <w:t>UCBI</w:t>
            </w:r>
          </w:p>
        </w:tc>
        <w:tc>
          <w:tcPr>
            <w:tcW w:w="2820" w:type="dxa"/>
            <w:vAlign w:val="bottom"/>
          </w:tcPr>
          <w:p>
            <w:pPr>
              <w:jc w:val="center"/>
              <w:spacing w:after="0"/>
              <w:rPr>
                <w:sz w:val="20"/>
                <w:szCs w:val="20"/>
                <w:color w:val="auto"/>
              </w:rPr>
            </w:pPr>
            <w:r>
              <w:rPr>
                <w:rFonts w:ascii="Arial" w:cs="Arial" w:eastAsia="Arial" w:hAnsi="Arial"/>
                <w:sz w:val="14"/>
                <w:szCs w:val="14"/>
                <w:b w:val="1"/>
                <w:bCs w:val="1"/>
                <w:color w:val="auto"/>
                <w:w w:val="93"/>
              </w:rPr>
              <w:t>Nasdaq Global Select Market</w:t>
            </w:r>
          </w:p>
        </w:tc>
        <w:tc>
          <w:tcPr>
            <w:tcW w:w="0" w:type="dxa"/>
            <w:vAlign w:val="bottom"/>
          </w:tcPr>
          <w:p>
            <w:pPr>
              <w:spacing w:after="0"/>
              <w:rPr>
                <w:sz w:val="1"/>
                <w:szCs w:val="1"/>
                <w:color w:val="auto"/>
              </w:rPr>
            </w:pPr>
          </w:p>
        </w:tc>
      </w:tr>
      <w:tr>
        <w:trPr>
          <w:trHeight w:val="147"/>
        </w:trPr>
        <w:tc>
          <w:tcPr>
            <w:tcW w:w="4720" w:type="dxa"/>
            <w:vAlign w:val="bottom"/>
            <w:gridSpan w:val="3"/>
          </w:tcPr>
          <w:p>
            <w:pPr>
              <w:jc w:val="center"/>
              <w:spacing w:after="0" w:line="147" w:lineRule="exact"/>
              <w:rPr>
                <w:sz w:val="20"/>
                <w:szCs w:val="20"/>
                <w:color w:val="auto"/>
              </w:rPr>
            </w:pPr>
            <w:r>
              <w:rPr>
                <w:rFonts w:ascii="Arial" w:cs="Arial" w:eastAsia="Arial" w:hAnsi="Arial"/>
                <w:sz w:val="14"/>
                <w:szCs w:val="14"/>
                <w:b w:val="1"/>
                <w:bCs w:val="1"/>
                <w:color w:val="auto"/>
                <w:w w:val="91"/>
              </w:rPr>
              <w:t>Depositary shares, each representing 1/1000th interest in a share of</w:t>
            </w:r>
          </w:p>
        </w:tc>
        <w:tc>
          <w:tcPr>
            <w:tcW w:w="280" w:type="dxa"/>
            <w:vAlign w:val="bottom"/>
          </w:tcPr>
          <w:p>
            <w:pPr>
              <w:spacing w:after="0"/>
              <w:rPr>
                <w:sz w:val="12"/>
                <w:szCs w:val="12"/>
                <w:color w:val="auto"/>
              </w:rPr>
            </w:pPr>
          </w:p>
        </w:tc>
        <w:tc>
          <w:tcPr>
            <w:tcW w:w="2340" w:type="dxa"/>
            <w:vAlign w:val="bottom"/>
            <w:gridSpan w:val="2"/>
            <w:vMerge w:val="restart"/>
          </w:tcPr>
          <w:p>
            <w:pPr>
              <w:jc w:val="center"/>
              <w:ind w:right="1200"/>
              <w:spacing w:after="0"/>
              <w:rPr>
                <w:sz w:val="20"/>
                <w:szCs w:val="20"/>
                <w:color w:val="auto"/>
              </w:rPr>
            </w:pPr>
            <w:r>
              <w:rPr>
                <w:rFonts w:ascii="Arial" w:cs="Arial" w:eastAsia="Arial" w:hAnsi="Arial"/>
                <w:sz w:val="14"/>
                <w:szCs w:val="14"/>
                <w:b w:val="1"/>
                <w:bCs w:val="1"/>
                <w:color w:val="auto"/>
              </w:rPr>
              <w:t>UCBIO</w:t>
            </w:r>
          </w:p>
        </w:tc>
        <w:tc>
          <w:tcPr>
            <w:tcW w:w="2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Nasdaq Global Select Market</w:t>
            </w:r>
          </w:p>
        </w:tc>
        <w:tc>
          <w:tcPr>
            <w:tcW w:w="0" w:type="dxa"/>
            <w:vAlign w:val="bottom"/>
          </w:tcPr>
          <w:p>
            <w:pPr>
              <w:spacing w:after="0"/>
              <w:rPr>
                <w:sz w:val="1"/>
                <w:szCs w:val="1"/>
                <w:color w:val="auto"/>
              </w:rPr>
            </w:pPr>
          </w:p>
        </w:tc>
      </w:tr>
      <w:tr>
        <w:trPr>
          <w:trHeight w:val="186"/>
        </w:trPr>
        <w:tc>
          <w:tcPr>
            <w:tcW w:w="4720" w:type="dxa"/>
            <w:vAlign w:val="bottom"/>
            <w:gridSpan w:val="3"/>
          </w:tcPr>
          <w:p>
            <w:pPr>
              <w:jc w:val="center"/>
              <w:ind w:left="28"/>
              <w:spacing w:after="0"/>
              <w:rPr>
                <w:sz w:val="20"/>
                <w:szCs w:val="20"/>
                <w:color w:val="auto"/>
              </w:rPr>
            </w:pPr>
            <w:r>
              <w:rPr>
                <w:rFonts w:ascii="Arial" w:cs="Arial" w:eastAsia="Arial" w:hAnsi="Arial"/>
                <w:sz w:val="14"/>
                <w:szCs w:val="14"/>
                <w:b w:val="1"/>
                <w:bCs w:val="1"/>
                <w:color w:val="auto"/>
                <w:w w:val="94"/>
              </w:rPr>
              <w:t>Series I Non-Cumulative Preferred Stock</w:t>
            </w:r>
          </w:p>
        </w:tc>
        <w:tc>
          <w:tcPr>
            <w:tcW w:w="280" w:type="dxa"/>
            <w:vAlign w:val="bottom"/>
          </w:tcPr>
          <w:p>
            <w:pPr>
              <w:spacing w:after="0"/>
              <w:rPr>
                <w:sz w:val="16"/>
                <w:szCs w:val="16"/>
                <w:color w:val="auto"/>
              </w:rPr>
            </w:pPr>
          </w:p>
        </w:tc>
        <w:tc>
          <w:tcPr>
            <w:tcW w:w="2340" w:type="dxa"/>
            <w:vAlign w:val="bottom"/>
            <w:gridSpan w:val="2"/>
            <w:vMerge w:val="continue"/>
          </w:tcPr>
          <w:p>
            <w:pPr>
              <w:spacing w:after="0"/>
              <w:rPr>
                <w:sz w:val="16"/>
                <w:szCs w:val="16"/>
                <w:color w:val="auto"/>
              </w:rPr>
            </w:pPr>
          </w:p>
        </w:tc>
        <w:tc>
          <w:tcPr>
            <w:tcW w:w="2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313" w:lineRule="exact"/>
        <w:rPr>
          <w:sz w:val="24"/>
          <w:szCs w:val="24"/>
          <w:color w:val="auto"/>
        </w:rPr>
      </w:pPr>
    </w:p>
    <w:p>
      <w:pPr>
        <w:jc w:val="both"/>
        <w:spacing w:after="0" w:line="250" w:lineRule="auto"/>
        <w:rPr>
          <w:sz w:val="20"/>
          <w:szCs w:val="20"/>
          <w:color w:val="auto"/>
        </w:rPr>
      </w:pPr>
      <w:r>
        <w:rPr>
          <w:rFonts w:ascii="Arial" w:cs="Arial" w:eastAsia="Arial" w:hAnsi="Arial"/>
          <w:sz w:val="16"/>
          <w:szCs w:val="16"/>
          <w:b w:val="1"/>
          <w:bCs w:val="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jc w:val="center"/>
        <w:ind w:right="-19"/>
        <w:spacing w:after="0" w:line="196" w:lineRule="exact"/>
        <w:rPr>
          <w:sz w:val="20"/>
          <w:szCs w:val="20"/>
          <w:color w:val="auto"/>
        </w:rPr>
      </w:pPr>
      <w:r>
        <w:rPr>
          <w:rFonts w:ascii="Arial" w:cs="Arial" w:eastAsia="Arial" w:hAnsi="Arial"/>
          <w:sz w:val="16"/>
          <w:szCs w:val="16"/>
          <w:b w:val="1"/>
          <w:bCs w:val="1"/>
          <w:color w:val="auto"/>
        </w:rPr>
        <w:t xml:space="preserve">Yes </w:t>
      </w:r>
      <w:r>
        <w:rPr>
          <w:rFonts w:ascii="MS PGothic" w:cs="MS PGothic" w:eastAsia="MS PGothic" w:hAnsi="MS PGothic"/>
          <w:sz w:val="17"/>
          <w:szCs w:val="17"/>
          <w:color w:val="auto"/>
        </w:rPr>
        <w:t>☒</w:t>
      </w:r>
      <w:r>
        <w:rPr>
          <w:rFonts w:ascii="Arial" w:cs="Arial" w:eastAsia="Arial" w:hAnsi="Arial"/>
          <w:sz w:val="16"/>
          <w:szCs w:val="16"/>
          <w:b w:val="1"/>
          <w:bCs w:val="1"/>
          <w:color w:val="auto"/>
        </w:rPr>
        <w:t xml:space="preserve"> No </w:t>
      </w:r>
      <w:r>
        <w:rPr>
          <w:rFonts w:ascii="MS PGothic" w:cs="MS PGothic" w:eastAsia="MS PGothic" w:hAnsi="MS PGothic"/>
          <w:sz w:val="17"/>
          <w:szCs w:val="17"/>
          <w:color w:val="auto"/>
        </w:rPr>
        <w:t>☐</w:t>
      </w:r>
    </w:p>
    <w:p>
      <w:pPr>
        <w:spacing w:after="0" w:line="255" w:lineRule="exact"/>
        <w:rPr>
          <w:sz w:val="24"/>
          <w:szCs w:val="24"/>
          <w:color w:val="auto"/>
        </w:rPr>
      </w:pPr>
    </w:p>
    <w:p>
      <w:pPr>
        <w:jc w:val="both"/>
        <w:ind w:right="20"/>
        <w:spacing w:after="0" w:line="269" w:lineRule="auto"/>
        <w:rPr>
          <w:sz w:val="20"/>
          <w:szCs w:val="20"/>
          <w:color w:val="auto"/>
        </w:rPr>
      </w:pPr>
      <w:r>
        <w:rPr>
          <w:rFonts w:ascii="Arial" w:cs="Arial" w:eastAsia="Arial" w:hAnsi="Arial"/>
          <w:sz w:val="15"/>
          <w:szCs w:val="15"/>
          <w:b w:val="1"/>
          <w:bCs w:val="1"/>
          <w:color w:val="auto"/>
        </w:rPr>
        <w:t>Indicate by check mark whether the registrant has submitted electronically every Interactive Date File required to be submitted pursuant to Rule 405 of Regulation S-T (§232.405 of this chapter) during the preceding 12 months (or for such shorter period that the registrant was required to submit such files).</w:t>
      </w:r>
    </w:p>
    <w:p>
      <w:pPr>
        <w:jc w:val="center"/>
        <w:ind w:right="-19"/>
        <w:spacing w:after="0" w:line="196" w:lineRule="exact"/>
        <w:rPr>
          <w:sz w:val="20"/>
          <w:szCs w:val="20"/>
          <w:color w:val="auto"/>
        </w:rPr>
      </w:pPr>
      <w:r>
        <w:rPr>
          <w:rFonts w:ascii="Arial" w:cs="Arial" w:eastAsia="Arial" w:hAnsi="Arial"/>
          <w:sz w:val="16"/>
          <w:szCs w:val="16"/>
          <w:b w:val="1"/>
          <w:bCs w:val="1"/>
          <w:color w:val="auto"/>
        </w:rPr>
        <w:t xml:space="preserve">Yes </w:t>
      </w:r>
      <w:r>
        <w:rPr>
          <w:rFonts w:ascii="MS PGothic" w:cs="MS PGothic" w:eastAsia="MS PGothic" w:hAnsi="MS PGothic"/>
          <w:sz w:val="17"/>
          <w:szCs w:val="17"/>
          <w:color w:val="auto"/>
        </w:rPr>
        <w:t>☒</w:t>
      </w:r>
      <w:r>
        <w:rPr>
          <w:rFonts w:ascii="Arial" w:cs="Arial" w:eastAsia="Arial" w:hAnsi="Arial"/>
          <w:sz w:val="16"/>
          <w:szCs w:val="16"/>
          <w:b w:val="1"/>
          <w:bCs w:val="1"/>
          <w:color w:val="auto"/>
        </w:rPr>
        <w:t xml:space="preserve"> No </w:t>
      </w:r>
      <w:r>
        <w:rPr>
          <w:rFonts w:ascii="MS PGothic" w:cs="MS PGothic" w:eastAsia="MS PGothic" w:hAnsi="MS PGothic"/>
          <w:sz w:val="17"/>
          <w:szCs w:val="17"/>
          <w:color w:val="auto"/>
        </w:rPr>
        <w:t>☐</w:t>
      </w:r>
    </w:p>
    <w:p>
      <w:pPr>
        <w:spacing w:after="0" w:line="255" w:lineRule="exact"/>
        <w:rPr>
          <w:sz w:val="24"/>
          <w:szCs w:val="24"/>
          <w:color w:val="auto"/>
        </w:rPr>
      </w:pPr>
    </w:p>
    <w:p>
      <w:pPr>
        <w:jc w:val="both"/>
        <w:spacing w:after="0" w:line="263" w:lineRule="auto"/>
        <w:rPr>
          <w:sz w:val="20"/>
          <w:szCs w:val="20"/>
          <w:color w:val="auto"/>
        </w:rPr>
      </w:pPr>
      <w:r>
        <w:rPr>
          <w:rFonts w:ascii="Arial" w:cs="Arial" w:eastAsia="Arial" w:hAnsi="Arial"/>
          <w:sz w:val="16"/>
          <w:szCs w:val="16"/>
          <w:b w:val="1"/>
          <w:bCs w:val="1"/>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64"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200" w:type="dxa"/>
            <w:vAlign w:val="bottom"/>
          </w:tcPr>
          <w:p>
            <w:pPr>
              <w:spacing w:after="0"/>
              <w:rPr>
                <w:sz w:val="20"/>
                <w:szCs w:val="20"/>
                <w:color w:val="auto"/>
              </w:rPr>
            </w:pPr>
            <w:r>
              <w:rPr>
                <w:rFonts w:ascii="Arial" w:cs="Arial" w:eastAsia="Arial" w:hAnsi="Arial"/>
                <w:sz w:val="16"/>
                <w:szCs w:val="16"/>
                <w:b w:val="1"/>
                <w:bCs w:val="1"/>
                <w:color w:val="auto"/>
              </w:rPr>
              <w:t>Large accelerated filer</w:t>
            </w:r>
          </w:p>
        </w:tc>
        <w:tc>
          <w:tcPr>
            <w:tcW w:w="334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560"/>
              <w:spacing w:after="0"/>
              <w:rPr>
                <w:sz w:val="20"/>
                <w:szCs w:val="20"/>
                <w:color w:val="auto"/>
              </w:rPr>
            </w:pPr>
            <w:r>
              <w:rPr>
                <w:rFonts w:ascii="Arial" w:cs="Arial" w:eastAsia="Arial" w:hAnsi="Arial"/>
                <w:sz w:val="16"/>
                <w:szCs w:val="16"/>
                <w:b w:val="1"/>
                <w:bCs w:val="1"/>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200" w:type="dxa"/>
            <w:vAlign w:val="bottom"/>
          </w:tcPr>
          <w:p>
            <w:pPr>
              <w:spacing w:after="0"/>
              <w:rPr>
                <w:sz w:val="20"/>
                <w:szCs w:val="20"/>
                <w:color w:val="auto"/>
              </w:rPr>
            </w:pPr>
            <w:r>
              <w:rPr>
                <w:rFonts w:ascii="Arial" w:cs="Arial" w:eastAsia="Arial" w:hAnsi="Arial"/>
                <w:sz w:val="16"/>
                <w:szCs w:val="16"/>
                <w:b w:val="1"/>
                <w:bCs w:val="1"/>
                <w:color w:val="auto"/>
              </w:rPr>
              <w:t>Non-accelerated filer</w:t>
            </w:r>
          </w:p>
        </w:tc>
        <w:tc>
          <w:tcPr>
            <w:tcW w:w="334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560"/>
              <w:spacing w:after="0"/>
              <w:rPr>
                <w:sz w:val="20"/>
                <w:szCs w:val="20"/>
                <w:color w:val="auto"/>
              </w:rPr>
            </w:pPr>
            <w:r>
              <w:rPr>
                <w:rFonts w:ascii="Arial" w:cs="Arial" w:eastAsia="Arial" w:hAnsi="Arial"/>
                <w:sz w:val="16"/>
                <w:szCs w:val="16"/>
                <w:b w:val="1"/>
                <w:bCs w:val="1"/>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920" w:type="dxa"/>
            <w:vAlign w:val="bottom"/>
          </w:tcPr>
          <w:p>
            <w:pPr>
              <w:ind w:left="2560"/>
              <w:spacing w:after="0"/>
              <w:rPr>
                <w:sz w:val="20"/>
                <w:szCs w:val="20"/>
                <w:color w:val="auto"/>
              </w:rPr>
            </w:pPr>
            <w:r>
              <w:rPr>
                <w:rFonts w:ascii="Arial" w:cs="Arial" w:eastAsia="Arial" w:hAnsi="Arial"/>
                <w:sz w:val="16"/>
                <w:szCs w:val="16"/>
                <w:b w:val="1"/>
                <w:bCs w:val="1"/>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1" w:lineRule="exact"/>
        <w:rPr>
          <w:sz w:val="24"/>
          <w:szCs w:val="24"/>
          <w:color w:val="auto"/>
        </w:rPr>
      </w:pPr>
    </w:p>
    <w:p>
      <w:pPr>
        <w:spacing w:after="0" w:line="219" w:lineRule="exact"/>
        <w:rPr>
          <w:sz w:val="20"/>
          <w:szCs w:val="20"/>
          <w:color w:val="auto"/>
        </w:rPr>
      </w:pPr>
      <w:r>
        <w:rPr>
          <w:rFonts w:ascii="Arial" w:cs="Arial" w:eastAsia="Arial" w:hAnsi="Arial"/>
          <w:sz w:val="16"/>
          <w:szCs w:val="16"/>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1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Indicate by check mark whether the registrant is a shell company (as defined in Rule 12b-2 of the Exchange Act).</w:t>
      </w:r>
    </w:p>
    <w:p>
      <w:pPr>
        <w:spacing w:after="0" w:line="14" w:lineRule="exact"/>
        <w:rPr>
          <w:sz w:val="24"/>
          <w:szCs w:val="24"/>
          <w:color w:val="auto"/>
        </w:rPr>
      </w:pPr>
    </w:p>
    <w:p>
      <w:pPr>
        <w:ind w:left="5180"/>
        <w:spacing w:after="0" w:line="196" w:lineRule="exact"/>
        <w:rPr>
          <w:sz w:val="20"/>
          <w:szCs w:val="20"/>
          <w:color w:val="auto"/>
        </w:rPr>
      </w:pPr>
      <w:r>
        <w:rPr>
          <w:rFonts w:ascii="Arial" w:cs="Arial" w:eastAsia="Arial" w:hAnsi="Arial"/>
          <w:sz w:val="16"/>
          <w:szCs w:val="16"/>
          <w:b w:val="1"/>
          <w:bCs w:val="1"/>
          <w:color w:val="auto"/>
        </w:rPr>
        <w:t xml:space="preserve">Yes </w:t>
      </w:r>
      <w:r>
        <w:rPr>
          <w:rFonts w:ascii="MS PGothic" w:cs="MS PGothic" w:eastAsia="MS PGothic" w:hAnsi="MS PGothic"/>
          <w:sz w:val="17"/>
          <w:szCs w:val="17"/>
          <w:color w:val="auto"/>
        </w:rPr>
        <w:t>☐</w:t>
      </w:r>
      <w:r>
        <w:rPr>
          <w:rFonts w:ascii="Arial" w:cs="Arial" w:eastAsia="Arial" w:hAnsi="Arial"/>
          <w:sz w:val="16"/>
          <w:szCs w:val="16"/>
          <w:b w:val="1"/>
          <w:bCs w:val="1"/>
          <w:color w:val="auto"/>
        </w:rPr>
        <w:t xml:space="preserve"> No </w:t>
      </w:r>
      <w:r>
        <w:rPr>
          <w:rFonts w:ascii="MS PGothic" w:cs="MS PGothic" w:eastAsia="MS PGothic" w:hAnsi="MS PGothic"/>
          <w:sz w:val="17"/>
          <w:szCs w:val="17"/>
          <w:color w:val="auto"/>
        </w:rPr>
        <w:t>☒</w:t>
      </w:r>
    </w:p>
    <w:p>
      <w:pPr>
        <w:spacing w:after="0" w:line="25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There were 86,627,703 shares of the registrant’s common stock, par value $1 per share, outstanding as of July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693420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54610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60" w:type="dxa"/>
            <w:vAlign w:val="bottom"/>
            <w:gridSpan w:val="7"/>
            <w:shd w:val="clear" w:color="auto" w:fill="CCEEFF"/>
          </w:tcPr>
          <w:p>
            <w:pPr>
              <w:spacing w:after="0"/>
              <w:rPr>
                <w:rFonts w:ascii="Arial" w:cs="Arial" w:eastAsia="Arial" w:hAnsi="Arial"/>
                <w:sz w:val="18"/>
                <w:szCs w:val="18"/>
                <w:b w:val="1"/>
                <w:bCs w:val="1"/>
                <w:color w:val="0000FF"/>
                <w:w w:val="89"/>
              </w:rPr>
            </w:pPr>
            <w:hyperlink w:anchor="page2">
              <w:r>
                <w:rPr>
                  <w:rFonts w:ascii="Arial" w:cs="Arial" w:eastAsia="Arial" w:hAnsi="Arial"/>
                  <w:sz w:val="18"/>
                  <w:szCs w:val="18"/>
                  <w:b w:val="1"/>
                  <w:bCs w:val="1"/>
                  <w:color w:val="0000FF"/>
                  <w:w w:val="89"/>
                </w:rPr>
                <w:t>Glossary of Defined Terms</w:t>
              </w:r>
            </w:hyperlink>
          </w:p>
        </w:tc>
        <w:tc>
          <w:tcPr>
            <w:tcW w:w="7140" w:type="dxa"/>
            <w:vAlign w:val="bottom"/>
            <w:gridSpan w:val="14"/>
            <w:shd w:val="clear" w:color="auto" w:fill="CCEEFF"/>
          </w:tcPr>
          <w:p>
            <w:pPr>
              <w:spacing w:after="0"/>
              <w:rPr>
                <w:sz w:val="17"/>
                <w:szCs w:val="17"/>
                <w:color w:val="auto"/>
              </w:rPr>
            </w:pPr>
          </w:p>
        </w:tc>
        <w:tc>
          <w:tcPr>
            <w:tcW w:w="480" w:type="dxa"/>
            <w:vAlign w:val="bottom"/>
            <w:gridSpan w:val="4"/>
            <w:shd w:val="clear" w:color="auto" w:fill="CCEEFF"/>
          </w:tcPr>
          <w:p>
            <w:pPr>
              <w:jc w:val="right"/>
              <w:ind w:right="20"/>
              <w:spacing w:after="0"/>
              <w:rPr>
                <w:rFonts w:ascii="Arial" w:cs="Arial" w:eastAsia="Arial" w:hAnsi="Arial"/>
                <w:sz w:val="18"/>
                <w:szCs w:val="18"/>
                <w:color w:val="0000FF"/>
              </w:rPr>
            </w:pPr>
            <w:hyperlink w:anchor="page2">
              <w:r>
                <w:rPr>
                  <w:rFonts w:ascii="Arial" w:cs="Arial" w:eastAsia="Arial" w:hAnsi="Arial"/>
                  <w:sz w:val="18"/>
                  <w:szCs w:val="18"/>
                  <w:color w:val="0000FF"/>
                </w:rPr>
                <w:t>3</w:t>
              </w:r>
            </w:hyperlink>
          </w:p>
        </w:tc>
      </w:tr>
      <w:tr>
        <w:trPr>
          <w:trHeight w:val="21"/>
        </w:trPr>
        <w:tc>
          <w:tcPr>
            <w:tcW w:w="5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0" w:type="dxa"/>
            <w:vAlign w:val="bottom"/>
            <w:gridSpan w:val="21"/>
          </w:tcPr>
          <w:p>
            <w:pPr>
              <w:spacing w:after="0" w:line="189" w:lineRule="exact"/>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Forward Looking Statements</w:t>
              </w:r>
            </w:hyperlink>
          </w:p>
        </w:tc>
        <w:tc>
          <w:tcPr>
            <w:tcW w:w="480" w:type="dxa"/>
            <w:vAlign w:val="bottom"/>
            <w:gridSpan w:val="4"/>
          </w:tcPr>
          <w:p>
            <w:pPr>
              <w:jc w:val="right"/>
              <w:ind w:right="20"/>
              <w:spacing w:after="0" w:line="189" w:lineRule="exact"/>
              <w:rPr>
                <w:rFonts w:ascii="Arial" w:cs="Arial" w:eastAsia="Arial" w:hAnsi="Arial"/>
                <w:sz w:val="18"/>
                <w:szCs w:val="18"/>
                <w:color w:val="0000FF"/>
              </w:rPr>
            </w:pPr>
            <w:hyperlink w:anchor="page3">
              <w:r>
                <w:rPr>
                  <w:rFonts w:ascii="Arial" w:cs="Arial" w:eastAsia="Arial" w:hAnsi="Arial"/>
                  <w:sz w:val="18"/>
                  <w:szCs w:val="18"/>
                  <w:color w:val="0000FF"/>
                </w:rPr>
                <w:t>4</w:t>
              </w:r>
            </w:hyperlink>
          </w:p>
        </w:tc>
      </w:tr>
      <w:tr>
        <w:trPr>
          <w:trHeight w:val="21"/>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360" w:type="dxa"/>
            <w:vAlign w:val="bottom"/>
            <w:gridSpan w:val="12"/>
            <w:shd w:val="clear" w:color="auto" w:fill="CCEEFF"/>
          </w:tcPr>
          <w:p>
            <w:pPr>
              <w:jc w:val="center"/>
              <w:ind w:right="3920"/>
              <w:spacing w:after="0" w:line="189" w:lineRule="exact"/>
              <w:rPr>
                <w:rFonts w:ascii="Arial" w:cs="Arial" w:eastAsia="Arial" w:hAnsi="Arial"/>
                <w:sz w:val="18"/>
                <w:szCs w:val="18"/>
                <w:b w:val="1"/>
                <w:bCs w:val="1"/>
                <w:color w:val="0000FF"/>
                <w:w w:val="94"/>
              </w:rPr>
            </w:pPr>
            <w:hyperlink w:anchor="page4">
              <w:r>
                <w:rPr>
                  <w:rFonts w:ascii="Arial" w:cs="Arial" w:eastAsia="Arial" w:hAnsi="Arial"/>
                  <w:sz w:val="18"/>
                  <w:szCs w:val="18"/>
                  <w:b w:val="1"/>
                  <w:bCs w:val="1"/>
                  <w:color w:val="0000FF"/>
                  <w:w w:val="94"/>
                </w:rPr>
                <w:t>PART I - Financial Information</w:t>
              </w:r>
            </w:hyperlink>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29"/>
        </w:trPr>
        <w:tc>
          <w:tcPr>
            <w:tcW w:w="1560" w:type="dxa"/>
            <w:vAlign w:val="bottom"/>
            <w:tcBorders>
              <w:top w:val="single" w:sz="8" w:color="CCEEFF"/>
            </w:tcBorders>
            <w:gridSpan w:val="4"/>
          </w:tcPr>
          <w:p>
            <w:pPr>
              <w:ind w:left="580"/>
              <w:spacing w:after="0"/>
              <w:rPr>
                <w:sz w:val="20"/>
                <w:szCs w:val="20"/>
                <w:color w:val="auto"/>
              </w:rPr>
            </w:pPr>
            <w:r>
              <w:rPr>
                <w:rFonts w:ascii="Arial" w:cs="Arial" w:eastAsia="Arial" w:hAnsi="Arial"/>
                <w:sz w:val="18"/>
                <w:szCs w:val="18"/>
                <w:b w:val="1"/>
                <w:bCs w:val="1"/>
                <w:color w:val="auto"/>
              </w:rPr>
              <w:t>Item 1.</w:t>
            </w:r>
          </w:p>
        </w:tc>
        <w:tc>
          <w:tcPr>
            <w:tcW w:w="2840" w:type="dxa"/>
            <w:vAlign w:val="bottom"/>
            <w:tcBorders>
              <w:top w:val="single" w:sz="8" w:color="CCEEFF"/>
            </w:tcBorders>
            <w:gridSpan w:val="9"/>
          </w:tcPr>
          <w:p>
            <w:pPr>
              <w:spacing w:after="0"/>
              <w:rPr>
                <w:sz w:val="20"/>
                <w:szCs w:val="20"/>
                <w:color w:val="auto"/>
              </w:rPr>
            </w:pPr>
            <w:r>
              <w:rPr>
                <w:rFonts w:ascii="Arial" w:cs="Arial" w:eastAsia="Arial" w:hAnsi="Arial"/>
                <w:sz w:val="18"/>
                <w:szCs w:val="18"/>
                <w:b w:val="1"/>
                <w:bCs w:val="1"/>
                <w:color w:val="auto"/>
              </w:rPr>
              <w:t>Financial Statements.</w:t>
            </w:r>
          </w:p>
        </w:tc>
        <w:tc>
          <w:tcPr>
            <w:tcW w:w="2440" w:type="dxa"/>
            <w:vAlign w:val="bottom"/>
            <w:tcBorders>
              <w:top w:val="single" w:sz="8" w:color="0000FF"/>
            </w:tcBorders>
            <w:gridSpan w:val="6"/>
          </w:tcPr>
          <w:p>
            <w:pPr>
              <w:spacing w:after="0"/>
              <w:rPr>
                <w:sz w:val="19"/>
                <w:szCs w:val="19"/>
                <w:color w:val="auto"/>
              </w:rPr>
            </w:pPr>
          </w:p>
        </w:tc>
        <w:tc>
          <w:tcPr>
            <w:tcW w:w="3920" w:type="dxa"/>
            <w:vAlign w:val="bottom"/>
            <w:tcBorders>
              <w:top w:val="single" w:sz="8" w:color="CCEEFF"/>
            </w:tcBorders>
            <w:gridSpan w:val="6"/>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70"/>
        </w:trPr>
        <w:tc>
          <w:tcPr>
            <w:tcW w:w="5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0" w:type="dxa"/>
            <w:vAlign w:val="bottom"/>
            <w:gridSpan w:val="21"/>
          </w:tcPr>
          <w:p>
            <w:pPr>
              <w:spacing w:after="0" w:line="189" w:lineRule="exact"/>
              <w:rPr>
                <w:rFonts w:ascii="Arial" w:cs="Arial" w:eastAsia="Arial" w:hAnsi="Arial"/>
                <w:sz w:val="18"/>
                <w:szCs w:val="18"/>
                <w:b w:val="1"/>
                <w:bCs w:val="1"/>
                <w:color w:val="0000FF"/>
              </w:rPr>
            </w:pPr>
            <w:hyperlink w:anchor="page5">
              <w:r>
                <w:rPr>
                  <w:rFonts w:ascii="Arial" w:cs="Arial" w:eastAsia="Arial" w:hAnsi="Arial"/>
                  <w:sz w:val="18"/>
                  <w:szCs w:val="18"/>
                  <w:b w:val="1"/>
                  <w:bCs w:val="1"/>
                  <w:color w:val="0000FF"/>
                </w:rPr>
                <w:t>Consolidated Balance Sheets (unaudited) at June 30, 2021 and December 31, 2020</w:t>
              </w:r>
            </w:hyperlink>
          </w:p>
        </w:tc>
        <w:tc>
          <w:tcPr>
            <w:tcW w:w="480" w:type="dxa"/>
            <w:vAlign w:val="bottom"/>
            <w:gridSpan w:val="4"/>
          </w:tcPr>
          <w:p>
            <w:pPr>
              <w:jc w:val="right"/>
              <w:ind w:right="20"/>
              <w:spacing w:after="0" w:line="189" w:lineRule="exact"/>
              <w:rPr>
                <w:rFonts w:ascii="Arial" w:cs="Arial" w:eastAsia="Arial" w:hAnsi="Arial"/>
                <w:sz w:val="18"/>
                <w:szCs w:val="18"/>
                <w:color w:val="0000FF"/>
              </w:rPr>
            </w:pPr>
            <w:hyperlink w:anchor="page5">
              <w:r>
                <w:rPr>
                  <w:rFonts w:ascii="Arial" w:cs="Arial" w:eastAsia="Arial" w:hAnsi="Arial"/>
                  <w:sz w:val="18"/>
                  <w:szCs w:val="18"/>
                  <w:color w:val="0000FF"/>
                </w:rPr>
                <w:t>5</w:t>
              </w:r>
            </w:hyperlink>
          </w:p>
        </w:tc>
      </w:tr>
      <w:tr>
        <w:trPr>
          <w:trHeight w:val="21"/>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0" w:type="dxa"/>
            <w:vAlign w:val="bottom"/>
            <w:gridSpan w:val="21"/>
          </w:tcPr>
          <w:p>
            <w:pPr>
              <w:spacing w:after="0" w:line="189" w:lineRule="exact"/>
              <w:rPr>
                <w:rFonts w:ascii="Arial" w:cs="Arial" w:eastAsia="Arial" w:hAnsi="Arial"/>
                <w:sz w:val="18"/>
                <w:szCs w:val="18"/>
                <w:b w:val="1"/>
                <w:bCs w:val="1"/>
                <w:color w:val="0000FF"/>
                <w:w w:val="99"/>
              </w:rPr>
            </w:pPr>
            <w:hyperlink w:anchor="page5">
              <w:r>
                <w:rPr>
                  <w:rFonts w:ascii="Arial" w:cs="Arial" w:eastAsia="Arial" w:hAnsi="Arial"/>
                  <w:sz w:val="18"/>
                  <w:szCs w:val="18"/>
                  <w:b w:val="1"/>
                  <w:bCs w:val="1"/>
                  <w:color w:val="0000FF"/>
                  <w:w w:val="99"/>
                </w:rPr>
                <w:t>Consolidated Statements of Income (unaudited) for the Three and Six Months Ended June 30, 2021 and 2020</w:t>
              </w:r>
            </w:hyperlink>
          </w:p>
        </w:tc>
        <w:tc>
          <w:tcPr>
            <w:tcW w:w="480" w:type="dxa"/>
            <w:vAlign w:val="bottom"/>
            <w:gridSpan w:val="4"/>
          </w:tcPr>
          <w:p>
            <w:pPr>
              <w:jc w:val="right"/>
              <w:ind w:right="20"/>
              <w:spacing w:after="0" w:line="189" w:lineRule="exact"/>
              <w:rPr>
                <w:rFonts w:ascii="Arial" w:cs="Arial" w:eastAsia="Arial" w:hAnsi="Arial"/>
                <w:sz w:val="18"/>
                <w:szCs w:val="18"/>
                <w:color w:val="0000FF"/>
              </w:rPr>
            </w:pPr>
            <w:hyperlink w:anchor="page5">
              <w:r>
                <w:rPr>
                  <w:rFonts w:ascii="Arial" w:cs="Arial" w:eastAsia="Arial" w:hAnsi="Arial"/>
                  <w:sz w:val="18"/>
                  <w:szCs w:val="18"/>
                  <w:color w:val="0000FF"/>
                </w:rPr>
                <w:t>6</w:t>
              </w:r>
            </w:hyperlink>
          </w:p>
        </w:tc>
      </w:tr>
      <w:tr>
        <w:trPr>
          <w:trHeight w:val="21"/>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0" w:type="dxa"/>
            <w:vAlign w:val="bottom"/>
            <w:gridSpan w:val="21"/>
          </w:tcPr>
          <w:p>
            <w:pPr>
              <w:spacing w:after="0" w:line="189" w:lineRule="exact"/>
              <w:rPr>
                <w:rFonts w:ascii="Arial" w:cs="Arial" w:eastAsia="Arial" w:hAnsi="Arial"/>
                <w:sz w:val="18"/>
                <w:szCs w:val="18"/>
                <w:b w:val="1"/>
                <w:bCs w:val="1"/>
                <w:color w:val="0000FF"/>
                <w:w w:val="89"/>
              </w:rPr>
            </w:pPr>
            <w:hyperlink w:anchor="page6">
              <w:r>
                <w:rPr>
                  <w:rFonts w:ascii="Arial" w:cs="Arial" w:eastAsia="Arial" w:hAnsi="Arial"/>
                  <w:sz w:val="18"/>
                  <w:szCs w:val="18"/>
                  <w:b w:val="1"/>
                  <w:bCs w:val="1"/>
                  <w:color w:val="0000FF"/>
                  <w:w w:val="89"/>
                </w:rPr>
                <w:t>Consolidated Statements of Comprehensive Income (unaudited) for the Three and Six Months Ended June 30, 2021 and</w:t>
              </w:r>
            </w:hyperlink>
          </w:p>
        </w:tc>
        <w:tc>
          <w:tcPr>
            <w:tcW w:w="480" w:type="dxa"/>
            <w:vAlign w:val="bottom"/>
            <w:gridSpan w:val="4"/>
          </w:tcPr>
          <w:p>
            <w:pPr>
              <w:jc w:val="right"/>
              <w:ind w:right="20"/>
              <w:spacing w:after="0" w:line="189" w:lineRule="exact"/>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156"/>
        </w:trPr>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Borders>
              <w:top w:val="single" w:sz="8" w:color="0000FF"/>
            </w:tcBorders>
            <w:gridSpan w:val="2"/>
          </w:tcPr>
          <w:p>
            <w:pPr>
              <w:spacing w:after="0" w:line="156" w:lineRule="exact"/>
              <w:rPr>
                <w:rFonts w:ascii="Arial" w:cs="Arial" w:eastAsia="Arial" w:hAnsi="Arial"/>
                <w:sz w:val="18"/>
                <w:szCs w:val="18"/>
                <w:b w:val="1"/>
                <w:bCs w:val="1"/>
                <w:color w:val="0000FF"/>
              </w:rPr>
            </w:pPr>
            <w:hyperlink w:anchor="page6">
              <w:r>
                <w:rPr>
                  <w:rFonts w:ascii="Arial" w:cs="Arial" w:eastAsia="Arial" w:hAnsi="Arial"/>
                  <w:sz w:val="18"/>
                  <w:szCs w:val="18"/>
                  <w:b w:val="1"/>
                  <w:bCs w:val="1"/>
                  <w:color w:val="0000FF"/>
                </w:rPr>
                <w:t>2020</w:t>
              </w:r>
            </w:hyperlink>
          </w:p>
        </w:tc>
        <w:tc>
          <w:tcPr>
            <w:tcW w:w="3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12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98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96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21"/>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0"/>
        </w:trPr>
        <w:tc>
          <w:tcPr>
            <w:tcW w:w="5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0" w:type="dxa"/>
            <w:vAlign w:val="bottom"/>
            <w:gridSpan w:val="21"/>
          </w:tcPr>
          <w:p>
            <w:pPr>
              <w:spacing w:after="0" w:line="189" w:lineRule="exact"/>
              <w:rPr>
                <w:rFonts w:ascii="Arial" w:cs="Arial" w:eastAsia="Arial" w:hAnsi="Arial"/>
                <w:sz w:val="18"/>
                <w:szCs w:val="18"/>
                <w:b w:val="1"/>
                <w:bCs w:val="1"/>
                <w:color w:val="0000FF"/>
                <w:w w:val="90"/>
              </w:rPr>
            </w:pPr>
            <w:hyperlink w:anchor="page7">
              <w:r>
                <w:rPr>
                  <w:rFonts w:ascii="Arial" w:cs="Arial" w:eastAsia="Arial" w:hAnsi="Arial"/>
                  <w:sz w:val="18"/>
                  <w:szCs w:val="18"/>
                  <w:b w:val="1"/>
                  <w:bCs w:val="1"/>
                  <w:color w:val="0000FF"/>
                  <w:w w:val="90"/>
                </w:rPr>
                <w:t>Consolidated Statements of Changes in Shareholders’ Equity (unaudited) for the Three and Six Months Ended June 30,</w:t>
              </w:r>
            </w:hyperlink>
          </w:p>
        </w:tc>
        <w:tc>
          <w:tcPr>
            <w:tcW w:w="480" w:type="dxa"/>
            <w:vAlign w:val="bottom"/>
            <w:gridSpan w:val="4"/>
          </w:tcPr>
          <w:p>
            <w:pPr>
              <w:jc w:val="right"/>
              <w:ind w:right="20"/>
              <w:spacing w:after="0" w:line="189" w:lineRule="exact"/>
              <w:rPr>
                <w:rFonts w:ascii="Arial" w:cs="Arial" w:eastAsia="Arial" w:hAnsi="Arial"/>
                <w:sz w:val="18"/>
                <w:szCs w:val="18"/>
                <w:color w:val="0000FF"/>
              </w:rPr>
            </w:pPr>
            <w:hyperlink w:anchor="page7">
              <w:r>
                <w:rPr>
                  <w:rFonts w:ascii="Arial" w:cs="Arial" w:eastAsia="Arial" w:hAnsi="Arial"/>
                  <w:sz w:val="18"/>
                  <w:szCs w:val="18"/>
                  <w:color w:val="0000FF"/>
                </w:rPr>
                <w:t>8</w:t>
              </w:r>
            </w:hyperlink>
          </w:p>
        </w:tc>
      </w:tr>
      <w:tr>
        <w:trPr>
          <w:trHeight w:val="156"/>
        </w:trPr>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180" w:type="dxa"/>
            <w:vAlign w:val="bottom"/>
            <w:tcBorders>
              <w:top w:val="single" w:sz="8" w:color="0000FF"/>
            </w:tcBorders>
            <w:gridSpan w:val="20"/>
          </w:tcPr>
          <w:p>
            <w:pPr>
              <w:spacing w:after="0" w:line="156" w:lineRule="exact"/>
              <w:rPr>
                <w:rFonts w:ascii="Arial" w:cs="Arial" w:eastAsia="Arial" w:hAnsi="Arial"/>
                <w:sz w:val="18"/>
                <w:szCs w:val="18"/>
                <w:b w:val="1"/>
                <w:bCs w:val="1"/>
                <w:color w:val="0000FF"/>
              </w:rPr>
            </w:pPr>
            <w:hyperlink w:anchor="page7">
              <w:r>
                <w:rPr>
                  <w:rFonts w:ascii="Arial" w:cs="Arial" w:eastAsia="Arial" w:hAnsi="Arial"/>
                  <w:sz w:val="18"/>
                  <w:szCs w:val="18"/>
                  <w:b w:val="1"/>
                  <w:bCs w:val="1"/>
                  <w:color w:val="0000FF"/>
                </w:rPr>
                <w:t>2021 and 2020</w:t>
              </w:r>
            </w:hyperlink>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21"/>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0" w:type="dxa"/>
            <w:vAlign w:val="bottom"/>
            <w:gridSpan w:val="21"/>
          </w:tcPr>
          <w:p>
            <w:pPr>
              <w:spacing w:after="0" w:line="189" w:lineRule="exact"/>
              <w:rPr>
                <w:rFonts w:ascii="Arial" w:cs="Arial" w:eastAsia="Arial" w:hAnsi="Arial"/>
                <w:sz w:val="18"/>
                <w:szCs w:val="18"/>
                <w:b w:val="1"/>
                <w:bCs w:val="1"/>
                <w:color w:val="0000FF"/>
              </w:rPr>
            </w:pPr>
            <w:hyperlink w:anchor="page8">
              <w:r>
                <w:rPr>
                  <w:rFonts w:ascii="Arial" w:cs="Arial" w:eastAsia="Arial" w:hAnsi="Arial"/>
                  <w:sz w:val="18"/>
                  <w:szCs w:val="18"/>
                  <w:b w:val="1"/>
                  <w:bCs w:val="1"/>
                  <w:color w:val="0000FF"/>
                </w:rPr>
                <w:t>Consolidated Statements of Cash Flows (unaudited) for the Six Months Ended June 30, 2021 and 2020</w:t>
              </w:r>
            </w:hyperlink>
          </w:p>
        </w:tc>
        <w:tc>
          <w:tcPr>
            <w:tcW w:w="480" w:type="dxa"/>
            <w:vAlign w:val="bottom"/>
            <w:gridSpan w:val="4"/>
          </w:tcPr>
          <w:p>
            <w:pPr>
              <w:jc w:val="right"/>
              <w:ind w:right="20"/>
              <w:spacing w:after="0" w:line="189" w:lineRule="exact"/>
              <w:rPr>
                <w:rFonts w:ascii="Arial" w:cs="Arial" w:eastAsia="Arial" w:hAnsi="Arial"/>
                <w:sz w:val="18"/>
                <w:szCs w:val="18"/>
                <w:color w:val="0000FF"/>
              </w:rPr>
            </w:pPr>
            <w:hyperlink w:anchor="page8">
              <w:r>
                <w:rPr>
                  <w:rFonts w:ascii="Arial" w:cs="Arial" w:eastAsia="Arial" w:hAnsi="Arial"/>
                  <w:sz w:val="18"/>
                  <w:szCs w:val="18"/>
                  <w:color w:val="0000FF"/>
                </w:rPr>
                <w:t>9</w:t>
              </w:r>
            </w:hyperlink>
          </w:p>
        </w:tc>
      </w:tr>
      <w:tr>
        <w:trPr>
          <w:trHeight w:val="20"/>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0" w:type="dxa"/>
            <w:vAlign w:val="bottom"/>
            <w:gridSpan w:val="21"/>
          </w:tcPr>
          <w:p>
            <w:pPr>
              <w:spacing w:after="0" w:line="189" w:lineRule="exact"/>
              <w:rPr>
                <w:rFonts w:ascii="Arial" w:cs="Arial" w:eastAsia="Arial" w:hAnsi="Arial"/>
                <w:sz w:val="18"/>
                <w:szCs w:val="18"/>
                <w:b w:val="1"/>
                <w:bCs w:val="1"/>
                <w:color w:val="0000FF"/>
              </w:rPr>
            </w:pPr>
            <w:hyperlink w:anchor="page9">
              <w:r>
                <w:rPr>
                  <w:rFonts w:ascii="Arial" w:cs="Arial" w:eastAsia="Arial" w:hAnsi="Arial"/>
                  <w:sz w:val="18"/>
                  <w:szCs w:val="18"/>
                  <w:b w:val="1"/>
                  <w:bCs w:val="1"/>
                  <w:color w:val="0000FF"/>
                </w:rPr>
                <w:t>Notes to Consolidated Financial Statements</w:t>
              </w:r>
            </w:hyperlink>
          </w:p>
        </w:tc>
        <w:tc>
          <w:tcPr>
            <w:tcW w:w="460" w:type="dxa"/>
            <w:vAlign w:val="bottom"/>
            <w:gridSpan w:val="3"/>
          </w:tcPr>
          <w:p>
            <w:pPr>
              <w:jc w:val="right"/>
              <w:spacing w:after="0" w:line="189" w:lineRule="exact"/>
              <w:rPr>
                <w:rFonts w:ascii="Arial" w:cs="Arial" w:eastAsia="Arial" w:hAnsi="Arial"/>
                <w:sz w:val="18"/>
                <w:szCs w:val="18"/>
                <w:color w:val="0000FF"/>
              </w:rPr>
            </w:pPr>
            <w:hyperlink w:anchor="page9">
              <w:r>
                <w:rPr>
                  <w:rFonts w:ascii="Arial" w:cs="Arial" w:eastAsia="Arial" w:hAnsi="Arial"/>
                  <w:sz w:val="18"/>
                  <w:szCs w:val="18"/>
                  <w:color w:val="0000FF"/>
                </w:rPr>
                <w:t>10</w:t>
              </w:r>
            </w:hyperlink>
          </w:p>
        </w:tc>
        <w:tc>
          <w:tcPr>
            <w:tcW w:w="20" w:type="dxa"/>
            <w:vAlign w:val="bottom"/>
          </w:tcPr>
          <w:p>
            <w:pPr>
              <w:spacing w:after="0"/>
              <w:rPr>
                <w:sz w:val="16"/>
                <w:szCs w:val="16"/>
                <w:color w:val="auto"/>
              </w:rPr>
            </w:pPr>
          </w:p>
        </w:tc>
      </w:tr>
      <w:tr>
        <w:trPr>
          <w:trHeight w:val="21"/>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1560" w:type="dxa"/>
            <w:vAlign w:val="bottom"/>
            <w:gridSpan w:val="4"/>
          </w:tcPr>
          <w:p>
            <w:pPr>
              <w:ind w:left="580"/>
              <w:spacing w:after="0" w:line="189" w:lineRule="exact"/>
              <w:rPr>
                <w:rFonts w:ascii="Arial" w:cs="Arial" w:eastAsia="Arial" w:hAnsi="Arial"/>
                <w:sz w:val="18"/>
                <w:szCs w:val="18"/>
                <w:b w:val="1"/>
                <w:bCs w:val="1"/>
                <w:color w:val="0000FF"/>
              </w:rPr>
            </w:pPr>
            <w:hyperlink w:anchor="page32">
              <w:r>
                <w:rPr>
                  <w:rFonts w:ascii="Arial" w:cs="Arial" w:eastAsia="Arial" w:hAnsi="Arial"/>
                  <w:sz w:val="18"/>
                  <w:szCs w:val="18"/>
                  <w:b w:val="1"/>
                  <w:bCs w:val="1"/>
                  <w:color w:val="0000FF"/>
                </w:rPr>
                <w:t>Item 2.</w:t>
              </w:r>
            </w:hyperlink>
          </w:p>
        </w:tc>
        <w:tc>
          <w:tcPr>
            <w:tcW w:w="9200" w:type="dxa"/>
            <w:vAlign w:val="bottom"/>
            <w:gridSpan w:val="21"/>
          </w:tcPr>
          <w:p>
            <w:pPr>
              <w:spacing w:after="0" w:line="189" w:lineRule="exact"/>
              <w:rPr>
                <w:rFonts w:ascii="Arial" w:cs="Arial" w:eastAsia="Arial" w:hAnsi="Arial"/>
                <w:sz w:val="18"/>
                <w:szCs w:val="18"/>
                <w:b w:val="1"/>
                <w:bCs w:val="1"/>
                <w:color w:val="0000FF"/>
              </w:rPr>
            </w:pPr>
            <w:hyperlink w:anchor="page32">
              <w:r>
                <w:rPr>
                  <w:rFonts w:ascii="Arial" w:cs="Arial" w:eastAsia="Arial" w:hAnsi="Arial"/>
                  <w:sz w:val="18"/>
                  <w:szCs w:val="18"/>
                  <w:b w:val="1"/>
                  <w:bCs w:val="1"/>
                  <w:color w:val="0000FF"/>
                </w:rPr>
                <w:t>Management’s Discussion and Analysis of Financial Condition and Results of Operations.</w:t>
              </w:r>
            </w:hyperlink>
          </w:p>
        </w:tc>
        <w:tc>
          <w:tcPr>
            <w:tcW w:w="460" w:type="dxa"/>
            <w:vAlign w:val="bottom"/>
            <w:gridSpan w:val="3"/>
          </w:tcPr>
          <w:p>
            <w:pPr>
              <w:jc w:val="right"/>
              <w:spacing w:after="0" w:line="189" w:lineRule="exact"/>
              <w:rPr>
                <w:rFonts w:ascii="Arial" w:cs="Arial" w:eastAsia="Arial" w:hAnsi="Arial"/>
                <w:sz w:val="18"/>
                <w:szCs w:val="18"/>
                <w:color w:val="0000FF"/>
              </w:rPr>
            </w:pPr>
            <w:hyperlink w:anchor="page32">
              <w:r>
                <w:rPr>
                  <w:rFonts w:ascii="Arial" w:cs="Arial" w:eastAsia="Arial" w:hAnsi="Arial"/>
                  <w:sz w:val="18"/>
                  <w:szCs w:val="18"/>
                  <w:color w:val="0000FF"/>
                </w:rPr>
                <w:t>33</w:t>
              </w:r>
            </w:hyperlink>
          </w:p>
        </w:tc>
        <w:tc>
          <w:tcPr>
            <w:tcW w:w="20" w:type="dxa"/>
            <w:vAlign w:val="bottom"/>
          </w:tcPr>
          <w:p>
            <w:pPr>
              <w:spacing w:after="0"/>
              <w:rPr>
                <w:sz w:val="16"/>
                <w:szCs w:val="16"/>
                <w:color w:val="auto"/>
              </w:rPr>
            </w:pPr>
          </w:p>
        </w:tc>
      </w:tr>
      <w:tr>
        <w:trPr>
          <w:trHeight w:val="21"/>
        </w:trPr>
        <w:tc>
          <w:tcPr>
            <w:tcW w:w="58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1560" w:type="dxa"/>
            <w:vAlign w:val="bottom"/>
            <w:gridSpan w:val="4"/>
          </w:tcPr>
          <w:p>
            <w:pPr>
              <w:ind w:left="580"/>
              <w:spacing w:after="0" w:line="189" w:lineRule="exact"/>
              <w:rPr>
                <w:rFonts w:ascii="Arial" w:cs="Arial" w:eastAsia="Arial" w:hAnsi="Arial"/>
                <w:sz w:val="18"/>
                <w:szCs w:val="18"/>
                <w:b w:val="1"/>
                <w:bCs w:val="1"/>
                <w:color w:val="0000FF"/>
              </w:rPr>
            </w:pPr>
            <w:hyperlink w:anchor="page53">
              <w:r>
                <w:rPr>
                  <w:rFonts w:ascii="Arial" w:cs="Arial" w:eastAsia="Arial" w:hAnsi="Arial"/>
                  <w:sz w:val="18"/>
                  <w:szCs w:val="18"/>
                  <w:b w:val="1"/>
                  <w:bCs w:val="1"/>
                  <w:color w:val="0000FF"/>
                </w:rPr>
                <w:t>Item 3.</w:t>
              </w:r>
            </w:hyperlink>
          </w:p>
        </w:tc>
        <w:tc>
          <w:tcPr>
            <w:tcW w:w="9200" w:type="dxa"/>
            <w:vAlign w:val="bottom"/>
            <w:gridSpan w:val="21"/>
          </w:tcPr>
          <w:p>
            <w:pPr>
              <w:spacing w:after="0" w:line="189" w:lineRule="exact"/>
              <w:rPr>
                <w:rFonts w:ascii="Arial" w:cs="Arial" w:eastAsia="Arial" w:hAnsi="Arial"/>
                <w:sz w:val="18"/>
                <w:szCs w:val="18"/>
                <w:b w:val="1"/>
                <w:bCs w:val="1"/>
                <w:color w:val="0000FF"/>
              </w:rPr>
            </w:pPr>
            <w:hyperlink w:anchor="page53">
              <w:r>
                <w:rPr>
                  <w:rFonts w:ascii="Arial" w:cs="Arial" w:eastAsia="Arial" w:hAnsi="Arial"/>
                  <w:sz w:val="18"/>
                  <w:szCs w:val="18"/>
                  <w:b w:val="1"/>
                  <w:bCs w:val="1"/>
                  <w:color w:val="0000FF"/>
                </w:rPr>
                <w:t>Quantitative and Qualitative Disclosures About Market Risk.</w:t>
              </w:r>
            </w:hyperlink>
          </w:p>
        </w:tc>
        <w:tc>
          <w:tcPr>
            <w:tcW w:w="460" w:type="dxa"/>
            <w:vAlign w:val="bottom"/>
            <w:gridSpan w:val="3"/>
          </w:tcPr>
          <w:p>
            <w:pPr>
              <w:jc w:val="right"/>
              <w:spacing w:after="0" w:line="189" w:lineRule="exact"/>
              <w:rPr>
                <w:rFonts w:ascii="Arial" w:cs="Arial" w:eastAsia="Arial" w:hAnsi="Arial"/>
                <w:sz w:val="18"/>
                <w:szCs w:val="18"/>
                <w:color w:val="0000FF"/>
              </w:rPr>
            </w:pPr>
            <w:hyperlink w:anchor="page53">
              <w:r>
                <w:rPr>
                  <w:rFonts w:ascii="Arial" w:cs="Arial" w:eastAsia="Arial" w:hAnsi="Arial"/>
                  <w:sz w:val="18"/>
                  <w:szCs w:val="18"/>
                  <w:color w:val="0000FF"/>
                </w:rPr>
                <w:t>54</w:t>
              </w:r>
            </w:hyperlink>
          </w:p>
        </w:tc>
        <w:tc>
          <w:tcPr>
            <w:tcW w:w="20" w:type="dxa"/>
            <w:vAlign w:val="bottom"/>
          </w:tcPr>
          <w:p>
            <w:pPr>
              <w:spacing w:after="0"/>
              <w:rPr>
                <w:sz w:val="16"/>
                <w:szCs w:val="16"/>
                <w:color w:val="auto"/>
              </w:rPr>
            </w:pPr>
          </w:p>
        </w:tc>
      </w:tr>
      <w:tr>
        <w:trPr>
          <w:trHeight w:val="20"/>
        </w:trPr>
        <w:tc>
          <w:tcPr>
            <w:tcW w:w="58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1560" w:type="dxa"/>
            <w:vAlign w:val="bottom"/>
            <w:gridSpan w:val="4"/>
          </w:tcPr>
          <w:p>
            <w:pPr>
              <w:ind w:left="580"/>
              <w:spacing w:after="0" w:line="189" w:lineRule="exact"/>
              <w:rPr>
                <w:rFonts w:ascii="Arial" w:cs="Arial" w:eastAsia="Arial" w:hAnsi="Arial"/>
                <w:sz w:val="18"/>
                <w:szCs w:val="18"/>
                <w:b w:val="1"/>
                <w:bCs w:val="1"/>
                <w:color w:val="0000FF"/>
              </w:rPr>
            </w:pPr>
            <w:hyperlink w:anchor="page54">
              <w:r>
                <w:rPr>
                  <w:rFonts w:ascii="Arial" w:cs="Arial" w:eastAsia="Arial" w:hAnsi="Arial"/>
                  <w:sz w:val="18"/>
                  <w:szCs w:val="18"/>
                  <w:b w:val="1"/>
                  <w:bCs w:val="1"/>
                  <w:color w:val="0000FF"/>
                </w:rPr>
                <w:t>Item 4.</w:t>
              </w:r>
            </w:hyperlink>
          </w:p>
        </w:tc>
        <w:tc>
          <w:tcPr>
            <w:tcW w:w="9200" w:type="dxa"/>
            <w:vAlign w:val="bottom"/>
            <w:gridSpan w:val="21"/>
          </w:tcPr>
          <w:p>
            <w:pPr>
              <w:spacing w:after="0" w:line="189" w:lineRule="exact"/>
              <w:rPr>
                <w:rFonts w:ascii="Arial" w:cs="Arial" w:eastAsia="Arial" w:hAnsi="Arial"/>
                <w:sz w:val="18"/>
                <w:szCs w:val="18"/>
                <w:b w:val="1"/>
                <w:bCs w:val="1"/>
                <w:color w:val="0000FF"/>
              </w:rPr>
            </w:pPr>
            <w:hyperlink w:anchor="page54">
              <w:r>
                <w:rPr>
                  <w:rFonts w:ascii="Arial" w:cs="Arial" w:eastAsia="Arial" w:hAnsi="Arial"/>
                  <w:sz w:val="18"/>
                  <w:szCs w:val="18"/>
                  <w:b w:val="1"/>
                  <w:bCs w:val="1"/>
                  <w:color w:val="0000FF"/>
                </w:rPr>
                <w:t>Controls and Procedures.</w:t>
              </w:r>
            </w:hyperlink>
          </w:p>
        </w:tc>
        <w:tc>
          <w:tcPr>
            <w:tcW w:w="460" w:type="dxa"/>
            <w:vAlign w:val="bottom"/>
            <w:gridSpan w:val="3"/>
          </w:tcPr>
          <w:p>
            <w:pPr>
              <w:jc w:val="right"/>
              <w:spacing w:after="0" w:line="189" w:lineRule="exact"/>
              <w:rPr>
                <w:rFonts w:ascii="Arial" w:cs="Arial" w:eastAsia="Arial" w:hAnsi="Arial"/>
                <w:sz w:val="18"/>
                <w:szCs w:val="18"/>
                <w:color w:val="0000FF"/>
              </w:rPr>
            </w:pPr>
            <w:hyperlink w:anchor="page54">
              <w:r>
                <w:rPr>
                  <w:rFonts w:ascii="Arial" w:cs="Arial" w:eastAsia="Arial" w:hAnsi="Arial"/>
                  <w:sz w:val="18"/>
                  <w:szCs w:val="18"/>
                  <w:color w:val="0000FF"/>
                </w:rPr>
                <w:t>54</w:t>
              </w:r>
            </w:hyperlink>
          </w:p>
        </w:tc>
        <w:tc>
          <w:tcPr>
            <w:tcW w:w="20" w:type="dxa"/>
            <w:vAlign w:val="bottom"/>
          </w:tcPr>
          <w:p>
            <w:pPr>
              <w:spacing w:after="0"/>
              <w:rPr>
                <w:sz w:val="16"/>
                <w:szCs w:val="16"/>
                <w:color w:val="auto"/>
              </w:rPr>
            </w:pPr>
          </w:p>
        </w:tc>
      </w:tr>
      <w:tr>
        <w:trPr>
          <w:trHeight w:val="21"/>
        </w:trPr>
        <w:tc>
          <w:tcPr>
            <w:tcW w:w="58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360" w:type="dxa"/>
            <w:vAlign w:val="bottom"/>
            <w:gridSpan w:val="12"/>
          </w:tcPr>
          <w:p>
            <w:pPr>
              <w:jc w:val="center"/>
              <w:ind w:right="3920"/>
              <w:spacing w:after="0" w:line="189" w:lineRule="exact"/>
              <w:rPr>
                <w:rFonts w:ascii="Arial" w:cs="Arial" w:eastAsia="Arial" w:hAnsi="Arial"/>
                <w:sz w:val="18"/>
                <w:szCs w:val="18"/>
                <w:b w:val="1"/>
                <w:bCs w:val="1"/>
                <w:color w:val="0000FF"/>
                <w:w w:val="96"/>
              </w:rPr>
            </w:pPr>
            <w:hyperlink w:anchor="page54">
              <w:r>
                <w:rPr>
                  <w:rFonts w:ascii="Arial" w:cs="Arial" w:eastAsia="Arial" w:hAnsi="Arial"/>
                  <w:sz w:val="18"/>
                  <w:szCs w:val="18"/>
                  <w:b w:val="1"/>
                  <w:bCs w:val="1"/>
                  <w:color w:val="0000FF"/>
                  <w:w w:val="96"/>
                </w:rPr>
                <w:t>PART II - Other Information</w:t>
              </w:r>
            </w:hyperlink>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1560" w:type="dxa"/>
            <w:vAlign w:val="bottom"/>
            <w:gridSpan w:val="4"/>
          </w:tcPr>
          <w:p>
            <w:pPr>
              <w:ind w:left="580"/>
              <w:spacing w:after="0" w:line="189" w:lineRule="exact"/>
              <w:rPr>
                <w:rFonts w:ascii="Arial" w:cs="Arial" w:eastAsia="Arial" w:hAnsi="Arial"/>
                <w:sz w:val="18"/>
                <w:szCs w:val="18"/>
                <w:b w:val="1"/>
                <w:bCs w:val="1"/>
                <w:color w:val="0000FF"/>
              </w:rPr>
            </w:pPr>
            <w:hyperlink w:anchor="page55">
              <w:r>
                <w:rPr>
                  <w:rFonts w:ascii="Arial" w:cs="Arial" w:eastAsia="Arial" w:hAnsi="Arial"/>
                  <w:sz w:val="18"/>
                  <w:szCs w:val="18"/>
                  <w:b w:val="1"/>
                  <w:bCs w:val="1"/>
                  <w:color w:val="0000FF"/>
                </w:rPr>
                <w:t>Item 1.</w:t>
              </w:r>
            </w:hyperlink>
          </w:p>
        </w:tc>
        <w:tc>
          <w:tcPr>
            <w:tcW w:w="9200" w:type="dxa"/>
            <w:vAlign w:val="bottom"/>
            <w:gridSpan w:val="21"/>
          </w:tcPr>
          <w:p>
            <w:pPr>
              <w:spacing w:after="0" w:line="189" w:lineRule="exact"/>
              <w:rPr>
                <w:rFonts w:ascii="Arial" w:cs="Arial" w:eastAsia="Arial" w:hAnsi="Arial"/>
                <w:sz w:val="18"/>
                <w:szCs w:val="18"/>
                <w:b w:val="1"/>
                <w:bCs w:val="1"/>
                <w:color w:val="0000FF"/>
              </w:rPr>
            </w:pPr>
            <w:hyperlink w:anchor="page55">
              <w:r>
                <w:rPr>
                  <w:rFonts w:ascii="Arial" w:cs="Arial" w:eastAsia="Arial" w:hAnsi="Arial"/>
                  <w:sz w:val="18"/>
                  <w:szCs w:val="18"/>
                  <w:b w:val="1"/>
                  <w:bCs w:val="1"/>
                  <w:color w:val="0000FF"/>
                </w:rPr>
                <w:t>Legal Proceedings.</w:t>
              </w:r>
            </w:hyperlink>
          </w:p>
        </w:tc>
        <w:tc>
          <w:tcPr>
            <w:tcW w:w="460" w:type="dxa"/>
            <w:vAlign w:val="bottom"/>
            <w:gridSpan w:val="3"/>
          </w:tcPr>
          <w:p>
            <w:pPr>
              <w:jc w:val="right"/>
              <w:spacing w:after="0" w:line="189" w:lineRule="exact"/>
              <w:rPr>
                <w:rFonts w:ascii="Arial" w:cs="Arial" w:eastAsia="Arial" w:hAnsi="Arial"/>
                <w:sz w:val="18"/>
                <w:szCs w:val="18"/>
                <w:color w:val="0000FF"/>
              </w:rPr>
            </w:pPr>
            <w:hyperlink w:anchor="page55">
              <w:r>
                <w:rPr>
                  <w:rFonts w:ascii="Arial" w:cs="Arial" w:eastAsia="Arial" w:hAnsi="Arial"/>
                  <w:sz w:val="18"/>
                  <w:szCs w:val="18"/>
                  <w:color w:val="0000FF"/>
                </w:rPr>
                <w:t>55</w:t>
              </w:r>
            </w:hyperlink>
          </w:p>
        </w:tc>
        <w:tc>
          <w:tcPr>
            <w:tcW w:w="20" w:type="dxa"/>
            <w:vAlign w:val="bottom"/>
          </w:tcPr>
          <w:p>
            <w:pPr>
              <w:spacing w:after="0"/>
              <w:rPr>
                <w:sz w:val="16"/>
                <w:szCs w:val="16"/>
                <w:color w:val="auto"/>
              </w:rPr>
            </w:pPr>
          </w:p>
        </w:tc>
      </w:tr>
      <w:tr>
        <w:trPr>
          <w:trHeight w:val="20"/>
        </w:trPr>
        <w:tc>
          <w:tcPr>
            <w:tcW w:w="58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560" w:type="dxa"/>
            <w:vAlign w:val="bottom"/>
            <w:gridSpan w:val="4"/>
            <w:shd w:val="clear" w:color="auto" w:fill="CCEEFF"/>
          </w:tcPr>
          <w:p>
            <w:pPr>
              <w:ind w:left="580"/>
              <w:spacing w:after="0" w:line="189" w:lineRule="exact"/>
              <w:rPr>
                <w:rFonts w:ascii="Arial" w:cs="Arial" w:eastAsia="Arial" w:hAnsi="Arial"/>
                <w:sz w:val="18"/>
                <w:szCs w:val="18"/>
                <w:b w:val="1"/>
                <w:bCs w:val="1"/>
                <w:color w:val="0000FF"/>
              </w:rPr>
            </w:pPr>
            <w:hyperlink w:anchor="page55">
              <w:r>
                <w:rPr>
                  <w:rFonts w:ascii="Arial" w:cs="Arial" w:eastAsia="Arial" w:hAnsi="Arial"/>
                  <w:sz w:val="18"/>
                  <w:szCs w:val="18"/>
                  <w:b w:val="1"/>
                  <w:bCs w:val="1"/>
                  <w:color w:val="0000FF"/>
                </w:rPr>
                <w:t>Item 1A.</w:t>
              </w:r>
            </w:hyperlink>
          </w:p>
        </w:tc>
        <w:tc>
          <w:tcPr>
            <w:tcW w:w="9200" w:type="dxa"/>
            <w:vAlign w:val="bottom"/>
            <w:gridSpan w:val="21"/>
            <w:shd w:val="clear" w:color="auto" w:fill="CCEEFF"/>
          </w:tcPr>
          <w:p>
            <w:pPr>
              <w:spacing w:after="0" w:line="189" w:lineRule="exact"/>
              <w:rPr>
                <w:rFonts w:ascii="Arial" w:cs="Arial" w:eastAsia="Arial" w:hAnsi="Arial"/>
                <w:sz w:val="18"/>
                <w:szCs w:val="18"/>
                <w:b w:val="1"/>
                <w:bCs w:val="1"/>
                <w:color w:val="0000FF"/>
              </w:rPr>
            </w:pPr>
            <w:hyperlink w:anchor="page55">
              <w:r>
                <w:rPr>
                  <w:rFonts w:ascii="Arial" w:cs="Arial" w:eastAsia="Arial" w:hAnsi="Arial"/>
                  <w:sz w:val="18"/>
                  <w:szCs w:val="18"/>
                  <w:b w:val="1"/>
                  <w:bCs w:val="1"/>
                  <w:color w:val="0000FF"/>
                </w:rPr>
                <w:t>Risk Factors.</w:t>
              </w:r>
            </w:hyperlink>
          </w:p>
        </w:tc>
        <w:tc>
          <w:tcPr>
            <w:tcW w:w="460" w:type="dxa"/>
            <w:vAlign w:val="bottom"/>
            <w:gridSpan w:val="3"/>
            <w:shd w:val="clear" w:color="auto" w:fill="CCEEFF"/>
          </w:tcPr>
          <w:p>
            <w:pPr>
              <w:jc w:val="right"/>
              <w:spacing w:after="0" w:line="189" w:lineRule="exact"/>
              <w:rPr>
                <w:rFonts w:ascii="Arial" w:cs="Arial" w:eastAsia="Arial" w:hAnsi="Arial"/>
                <w:sz w:val="18"/>
                <w:szCs w:val="18"/>
                <w:color w:val="0000FF"/>
              </w:rPr>
            </w:pPr>
            <w:hyperlink w:anchor="page55">
              <w:r>
                <w:rPr>
                  <w:rFonts w:ascii="Arial" w:cs="Arial" w:eastAsia="Arial" w:hAnsi="Arial"/>
                  <w:sz w:val="18"/>
                  <w:szCs w:val="18"/>
                  <w:color w:val="0000FF"/>
                </w:rPr>
                <w:t>55</w:t>
              </w:r>
            </w:hyperlink>
          </w:p>
        </w:tc>
        <w:tc>
          <w:tcPr>
            <w:tcW w:w="20" w:type="dxa"/>
            <w:vAlign w:val="bottom"/>
            <w:shd w:val="clear" w:color="auto" w:fill="CCEEFF"/>
          </w:tcPr>
          <w:p>
            <w:pPr>
              <w:spacing w:after="0"/>
              <w:rPr>
                <w:sz w:val="16"/>
                <w:szCs w:val="16"/>
                <w:color w:val="auto"/>
              </w:rPr>
            </w:pPr>
          </w:p>
        </w:tc>
      </w:tr>
      <w:tr>
        <w:trPr>
          <w:trHeight w:val="20"/>
        </w:trPr>
        <w:tc>
          <w:tcPr>
            <w:tcW w:w="5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560" w:type="dxa"/>
            <w:vAlign w:val="bottom"/>
            <w:gridSpan w:val="4"/>
          </w:tcPr>
          <w:p>
            <w:pPr>
              <w:ind w:left="580"/>
              <w:spacing w:after="0" w:line="189" w:lineRule="exact"/>
              <w:rPr>
                <w:rFonts w:ascii="Arial" w:cs="Arial" w:eastAsia="Arial" w:hAnsi="Arial"/>
                <w:sz w:val="18"/>
                <w:szCs w:val="18"/>
                <w:b w:val="1"/>
                <w:bCs w:val="1"/>
                <w:color w:val="0000FF"/>
              </w:rPr>
            </w:pPr>
            <w:hyperlink w:anchor="page55">
              <w:r>
                <w:rPr>
                  <w:rFonts w:ascii="Arial" w:cs="Arial" w:eastAsia="Arial" w:hAnsi="Arial"/>
                  <w:sz w:val="18"/>
                  <w:szCs w:val="18"/>
                  <w:b w:val="1"/>
                  <w:bCs w:val="1"/>
                  <w:color w:val="0000FF"/>
                </w:rPr>
                <w:t>Item 2.</w:t>
              </w:r>
            </w:hyperlink>
          </w:p>
        </w:tc>
        <w:tc>
          <w:tcPr>
            <w:tcW w:w="9200" w:type="dxa"/>
            <w:vAlign w:val="bottom"/>
            <w:gridSpan w:val="21"/>
          </w:tcPr>
          <w:p>
            <w:pPr>
              <w:spacing w:after="0" w:line="189" w:lineRule="exact"/>
              <w:rPr>
                <w:rFonts w:ascii="Arial" w:cs="Arial" w:eastAsia="Arial" w:hAnsi="Arial"/>
                <w:sz w:val="18"/>
                <w:szCs w:val="18"/>
                <w:b w:val="1"/>
                <w:bCs w:val="1"/>
                <w:color w:val="0000FF"/>
              </w:rPr>
            </w:pPr>
            <w:hyperlink w:anchor="page55">
              <w:r>
                <w:rPr>
                  <w:rFonts w:ascii="Arial" w:cs="Arial" w:eastAsia="Arial" w:hAnsi="Arial"/>
                  <w:sz w:val="18"/>
                  <w:szCs w:val="18"/>
                  <w:b w:val="1"/>
                  <w:bCs w:val="1"/>
                  <w:color w:val="0000FF"/>
                </w:rPr>
                <w:t>Unregistered Sales of Equity Securities and Use of Proceeds.</w:t>
              </w:r>
            </w:hyperlink>
          </w:p>
        </w:tc>
        <w:tc>
          <w:tcPr>
            <w:tcW w:w="460" w:type="dxa"/>
            <w:vAlign w:val="bottom"/>
            <w:gridSpan w:val="3"/>
          </w:tcPr>
          <w:p>
            <w:pPr>
              <w:jc w:val="right"/>
              <w:spacing w:after="0" w:line="189" w:lineRule="exact"/>
              <w:rPr>
                <w:rFonts w:ascii="Arial" w:cs="Arial" w:eastAsia="Arial" w:hAnsi="Arial"/>
                <w:sz w:val="18"/>
                <w:szCs w:val="18"/>
                <w:color w:val="0000FF"/>
              </w:rPr>
            </w:pPr>
            <w:hyperlink w:anchor="page55">
              <w:r>
                <w:rPr>
                  <w:rFonts w:ascii="Arial" w:cs="Arial" w:eastAsia="Arial" w:hAnsi="Arial"/>
                  <w:sz w:val="18"/>
                  <w:szCs w:val="18"/>
                  <w:color w:val="0000FF"/>
                </w:rPr>
                <w:t>55</w:t>
              </w:r>
            </w:hyperlink>
          </w:p>
        </w:tc>
        <w:tc>
          <w:tcPr>
            <w:tcW w:w="20" w:type="dxa"/>
            <w:vAlign w:val="bottom"/>
          </w:tcPr>
          <w:p>
            <w:pPr>
              <w:spacing w:after="0"/>
              <w:rPr>
                <w:sz w:val="16"/>
                <w:szCs w:val="16"/>
                <w:color w:val="auto"/>
              </w:rPr>
            </w:pPr>
          </w:p>
        </w:tc>
      </w:tr>
      <w:tr>
        <w:trPr>
          <w:trHeight w:val="20"/>
        </w:trPr>
        <w:tc>
          <w:tcPr>
            <w:tcW w:w="58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560" w:type="dxa"/>
            <w:vAlign w:val="bottom"/>
            <w:gridSpan w:val="4"/>
            <w:shd w:val="clear" w:color="auto" w:fill="CCEEFF"/>
          </w:tcPr>
          <w:p>
            <w:pPr>
              <w:ind w:left="580"/>
              <w:spacing w:after="0" w:line="189" w:lineRule="exact"/>
              <w:rPr>
                <w:rFonts w:ascii="Arial" w:cs="Arial" w:eastAsia="Arial" w:hAnsi="Arial"/>
                <w:sz w:val="18"/>
                <w:szCs w:val="18"/>
                <w:b w:val="1"/>
                <w:bCs w:val="1"/>
                <w:color w:val="0000FF"/>
              </w:rPr>
            </w:pPr>
            <w:hyperlink w:anchor="page55">
              <w:r>
                <w:rPr>
                  <w:rFonts w:ascii="Arial" w:cs="Arial" w:eastAsia="Arial" w:hAnsi="Arial"/>
                  <w:sz w:val="18"/>
                  <w:szCs w:val="18"/>
                  <w:b w:val="1"/>
                  <w:bCs w:val="1"/>
                  <w:color w:val="0000FF"/>
                </w:rPr>
                <w:t>Item 6.</w:t>
              </w:r>
            </w:hyperlink>
          </w:p>
        </w:tc>
        <w:tc>
          <w:tcPr>
            <w:tcW w:w="9200" w:type="dxa"/>
            <w:vAlign w:val="bottom"/>
            <w:gridSpan w:val="21"/>
            <w:shd w:val="clear" w:color="auto" w:fill="CCEEFF"/>
          </w:tcPr>
          <w:p>
            <w:pPr>
              <w:spacing w:after="0" w:line="189" w:lineRule="exact"/>
              <w:rPr>
                <w:rFonts w:ascii="Arial" w:cs="Arial" w:eastAsia="Arial" w:hAnsi="Arial"/>
                <w:sz w:val="18"/>
                <w:szCs w:val="18"/>
                <w:b w:val="1"/>
                <w:bCs w:val="1"/>
                <w:color w:val="0000FF"/>
              </w:rPr>
            </w:pPr>
            <w:hyperlink w:anchor="page55">
              <w:r>
                <w:rPr>
                  <w:rFonts w:ascii="Arial" w:cs="Arial" w:eastAsia="Arial" w:hAnsi="Arial"/>
                  <w:sz w:val="18"/>
                  <w:szCs w:val="18"/>
                  <w:b w:val="1"/>
                  <w:bCs w:val="1"/>
                  <w:color w:val="0000FF"/>
                </w:rPr>
                <w:t>Exhibits.</w:t>
              </w:r>
            </w:hyperlink>
          </w:p>
        </w:tc>
        <w:tc>
          <w:tcPr>
            <w:tcW w:w="460" w:type="dxa"/>
            <w:vAlign w:val="bottom"/>
            <w:gridSpan w:val="3"/>
            <w:shd w:val="clear" w:color="auto" w:fill="CCEEFF"/>
          </w:tcPr>
          <w:p>
            <w:pPr>
              <w:jc w:val="right"/>
              <w:spacing w:after="0" w:line="189" w:lineRule="exact"/>
              <w:rPr>
                <w:rFonts w:ascii="Arial" w:cs="Arial" w:eastAsia="Arial" w:hAnsi="Arial"/>
                <w:sz w:val="18"/>
                <w:szCs w:val="18"/>
                <w:color w:val="0000FF"/>
              </w:rPr>
            </w:pPr>
            <w:hyperlink w:anchor="page55">
              <w:r>
                <w:rPr>
                  <w:rFonts w:ascii="Arial" w:cs="Arial" w:eastAsia="Arial" w:hAnsi="Arial"/>
                  <w:sz w:val="18"/>
                  <w:szCs w:val="18"/>
                  <w:color w:val="0000FF"/>
                </w:rPr>
                <w:t>56</w:t>
              </w:r>
            </w:hyperlink>
          </w:p>
        </w:tc>
        <w:tc>
          <w:tcPr>
            <w:tcW w:w="20" w:type="dxa"/>
            <w:vAlign w:val="bottom"/>
            <w:shd w:val="clear" w:color="auto" w:fill="CCEEFF"/>
          </w:tcPr>
          <w:p>
            <w:pPr>
              <w:spacing w:after="0"/>
              <w:rPr>
                <w:sz w:val="16"/>
                <w:szCs w:val="16"/>
                <w:color w:val="auto"/>
              </w:rPr>
            </w:pPr>
          </w:p>
        </w:tc>
      </w:tr>
      <w:tr>
        <w:trPr>
          <w:trHeight w:val="20"/>
        </w:trPr>
        <w:tc>
          <w:tcPr>
            <w:tcW w:w="5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Glossary of Defined Terms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terms may be used throughout this report, including the consolidated financial statements and related notes.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20" w:type="dxa"/>
            <w:vAlign w:val="bottom"/>
            <w:gridSpan w:val="2"/>
          </w:tcPr>
          <w:p>
            <w:pPr>
              <w:ind w:left="20"/>
              <w:spacing w:after="0"/>
              <w:rPr>
                <w:sz w:val="20"/>
                <w:szCs w:val="20"/>
                <w:color w:val="auto"/>
              </w:rPr>
            </w:pPr>
            <w:r>
              <w:rPr>
                <w:rFonts w:ascii="Arial" w:cs="Arial" w:eastAsia="Arial" w:hAnsi="Arial"/>
                <w:sz w:val="18"/>
                <w:szCs w:val="18"/>
                <w:b w:val="1"/>
                <w:bCs w:val="1"/>
                <w:color w:val="auto"/>
              </w:rPr>
              <w:t>Term</w:t>
            </w:r>
          </w:p>
        </w:tc>
        <w:tc>
          <w:tcPr>
            <w:tcW w:w="8620" w:type="dxa"/>
            <w:vAlign w:val="bottom"/>
            <w:gridSpan w:val="2"/>
          </w:tcPr>
          <w:p>
            <w:pPr>
              <w:ind w:left="20"/>
              <w:spacing w:after="0"/>
              <w:rPr>
                <w:sz w:val="20"/>
                <w:szCs w:val="20"/>
                <w:color w:val="auto"/>
              </w:rPr>
            </w:pPr>
            <w:r>
              <w:rPr>
                <w:rFonts w:ascii="Arial" w:cs="Arial" w:eastAsia="Arial" w:hAnsi="Arial"/>
                <w:sz w:val="18"/>
                <w:szCs w:val="18"/>
                <w:b w:val="1"/>
                <w:bCs w:val="1"/>
                <w:color w:val="auto"/>
              </w:rPr>
              <w:t>Definition</w:t>
            </w:r>
          </w:p>
        </w:tc>
      </w:tr>
      <w:tr>
        <w:trPr>
          <w:trHeight w:val="223"/>
        </w:trPr>
        <w:tc>
          <w:tcPr>
            <w:tcW w:w="2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2020 10-K</w:t>
            </w:r>
          </w:p>
        </w:tc>
        <w:tc>
          <w:tcPr>
            <w:tcW w:w="120" w:type="dxa"/>
            <w:vAlign w:val="bottom"/>
            <w:tcBorders>
              <w:top w:val="single" w:sz="8" w:color="CCEEFF"/>
            </w:tcBorders>
            <w:shd w:val="clear" w:color="auto" w:fill="CCEEFF"/>
          </w:tcPr>
          <w:p>
            <w:pPr>
              <w:spacing w:after="0"/>
              <w:rPr>
                <w:sz w:val="19"/>
                <w:szCs w:val="19"/>
                <w:color w:val="auto"/>
              </w:rPr>
            </w:pPr>
          </w:p>
        </w:tc>
        <w:tc>
          <w:tcPr>
            <w:tcW w:w="8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Annual Report on Form 10-K for the year ended December 31, 2020</w:t>
            </w:r>
          </w:p>
        </w:tc>
        <w:tc>
          <w:tcPr>
            <w:tcW w:w="40" w:type="dxa"/>
            <w:vAlign w:val="bottom"/>
          </w:tcPr>
          <w:p>
            <w:pPr>
              <w:spacing w:after="0"/>
              <w:rPr>
                <w:sz w:val="19"/>
                <w:szCs w:val="19"/>
                <w:color w:val="auto"/>
              </w:rPr>
            </w:pPr>
          </w:p>
        </w:tc>
      </w:tr>
      <w:tr>
        <w:trPr>
          <w:trHeight w:val="230"/>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ACL</w:t>
            </w:r>
          </w:p>
        </w:tc>
        <w:tc>
          <w:tcPr>
            <w:tcW w:w="8580" w:type="dxa"/>
            <w:vAlign w:val="bottom"/>
          </w:tcPr>
          <w:p>
            <w:pPr>
              <w:ind w:left="20"/>
              <w:spacing w:after="0"/>
              <w:rPr>
                <w:sz w:val="20"/>
                <w:szCs w:val="20"/>
                <w:color w:val="auto"/>
              </w:rPr>
            </w:pPr>
            <w:r>
              <w:rPr>
                <w:rFonts w:ascii="Arial" w:cs="Arial" w:eastAsia="Arial" w:hAnsi="Arial"/>
                <w:sz w:val="18"/>
                <w:szCs w:val="18"/>
                <w:color w:val="auto"/>
              </w:rPr>
              <w:t>Allowance for credit losses</w:t>
            </w:r>
          </w:p>
        </w:tc>
        <w:tc>
          <w:tcPr>
            <w:tcW w:w="40" w:type="dxa"/>
            <w:vAlign w:val="bottom"/>
          </w:tcPr>
          <w:p>
            <w:pPr>
              <w:spacing w:after="0"/>
              <w:rPr>
                <w:sz w:val="19"/>
                <w:szCs w:val="19"/>
                <w:color w:val="auto"/>
              </w:rPr>
            </w:pPr>
          </w:p>
        </w:tc>
      </w:tr>
      <w:tr>
        <w:trPr>
          <w:trHeight w:val="229"/>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AFS</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Available-for-sale</w:t>
            </w:r>
          </w:p>
        </w:tc>
        <w:tc>
          <w:tcPr>
            <w:tcW w:w="40" w:type="dxa"/>
            <w:vAlign w:val="bottom"/>
          </w:tcPr>
          <w:p>
            <w:pPr>
              <w:spacing w:after="0"/>
              <w:rPr>
                <w:sz w:val="19"/>
                <w:szCs w:val="19"/>
                <w:color w:val="auto"/>
              </w:rPr>
            </w:pPr>
          </w:p>
        </w:tc>
      </w:tr>
      <w:tr>
        <w:trPr>
          <w:trHeight w:val="229"/>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ALCO</w:t>
            </w:r>
          </w:p>
        </w:tc>
        <w:tc>
          <w:tcPr>
            <w:tcW w:w="8580" w:type="dxa"/>
            <w:vAlign w:val="bottom"/>
          </w:tcPr>
          <w:p>
            <w:pPr>
              <w:ind w:left="20"/>
              <w:spacing w:after="0"/>
              <w:rPr>
                <w:sz w:val="20"/>
                <w:szCs w:val="20"/>
                <w:color w:val="auto"/>
              </w:rPr>
            </w:pPr>
            <w:r>
              <w:rPr>
                <w:rFonts w:ascii="Arial" w:cs="Arial" w:eastAsia="Arial" w:hAnsi="Arial"/>
                <w:sz w:val="18"/>
                <w:szCs w:val="18"/>
                <w:color w:val="auto"/>
              </w:rPr>
              <w:t>Asset/Liability Management Committee</w:t>
            </w:r>
          </w:p>
        </w:tc>
        <w:tc>
          <w:tcPr>
            <w:tcW w:w="40" w:type="dxa"/>
            <w:vAlign w:val="bottom"/>
          </w:tcPr>
          <w:p>
            <w:pPr>
              <w:spacing w:after="0"/>
              <w:rPr>
                <w:sz w:val="19"/>
                <w:szCs w:val="19"/>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AOCI</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income (loss)</w:t>
            </w:r>
          </w:p>
        </w:tc>
        <w:tc>
          <w:tcPr>
            <w:tcW w:w="40" w:type="dxa"/>
            <w:vAlign w:val="bottom"/>
          </w:tcPr>
          <w:p>
            <w:pPr>
              <w:spacing w:after="0"/>
              <w:rPr>
                <w:sz w:val="19"/>
                <w:szCs w:val="19"/>
                <w:color w:val="auto"/>
              </w:rPr>
            </w:pPr>
          </w:p>
        </w:tc>
      </w:tr>
      <w:tr>
        <w:trPr>
          <w:trHeight w:val="229"/>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ASU</w:t>
            </w:r>
          </w:p>
        </w:tc>
        <w:tc>
          <w:tcPr>
            <w:tcW w:w="8580" w:type="dxa"/>
            <w:vAlign w:val="bottom"/>
          </w:tcPr>
          <w:p>
            <w:pPr>
              <w:ind w:left="20"/>
              <w:spacing w:after="0"/>
              <w:rPr>
                <w:sz w:val="20"/>
                <w:szCs w:val="20"/>
                <w:color w:val="auto"/>
              </w:rPr>
            </w:pPr>
            <w:r>
              <w:rPr>
                <w:rFonts w:ascii="Arial" w:cs="Arial" w:eastAsia="Arial" w:hAnsi="Arial"/>
                <w:sz w:val="18"/>
                <w:szCs w:val="18"/>
                <w:color w:val="auto"/>
              </w:rPr>
              <w:t>Accounting standards update</w:t>
            </w:r>
          </w:p>
        </w:tc>
        <w:tc>
          <w:tcPr>
            <w:tcW w:w="40" w:type="dxa"/>
            <w:vAlign w:val="bottom"/>
          </w:tcPr>
          <w:p>
            <w:pPr>
              <w:spacing w:after="0"/>
              <w:rPr>
                <w:sz w:val="19"/>
                <w:szCs w:val="19"/>
                <w:color w:val="auto"/>
              </w:rPr>
            </w:pPr>
          </w:p>
        </w:tc>
      </w:tr>
      <w:tr>
        <w:trPr>
          <w:trHeight w:val="229"/>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Bank</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Community Bank</w:t>
            </w:r>
          </w:p>
        </w:tc>
        <w:tc>
          <w:tcPr>
            <w:tcW w:w="40" w:type="dxa"/>
            <w:vAlign w:val="bottom"/>
          </w:tcPr>
          <w:p>
            <w:pPr>
              <w:spacing w:after="0"/>
              <w:rPr>
                <w:sz w:val="19"/>
                <w:szCs w:val="19"/>
                <w:color w:val="auto"/>
              </w:rPr>
            </w:pPr>
          </w:p>
        </w:tc>
      </w:tr>
      <w:tr>
        <w:trPr>
          <w:trHeight w:val="230"/>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Board</w:t>
            </w:r>
          </w:p>
        </w:tc>
        <w:tc>
          <w:tcPr>
            <w:tcW w:w="8580" w:type="dxa"/>
            <w:vAlign w:val="bottom"/>
          </w:tcPr>
          <w:p>
            <w:pPr>
              <w:ind w:left="20"/>
              <w:spacing w:after="0"/>
              <w:rPr>
                <w:sz w:val="20"/>
                <w:szCs w:val="20"/>
                <w:color w:val="auto"/>
              </w:rPr>
            </w:pPr>
            <w:r>
              <w:rPr>
                <w:rFonts w:ascii="Arial" w:cs="Arial" w:eastAsia="Arial" w:hAnsi="Arial"/>
                <w:sz w:val="18"/>
                <w:szCs w:val="18"/>
                <w:color w:val="auto"/>
              </w:rPr>
              <w:t>United Community Banks Inc., Board of Directors</w:t>
            </w:r>
          </w:p>
        </w:tc>
        <w:tc>
          <w:tcPr>
            <w:tcW w:w="40" w:type="dxa"/>
            <w:vAlign w:val="bottom"/>
          </w:tcPr>
          <w:p>
            <w:pPr>
              <w:spacing w:after="0"/>
              <w:rPr>
                <w:sz w:val="19"/>
                <w:szCs w:val="19"/>
                <w:color w:val="auto"/>
              </w:rPr>
            </w:pPr>
          </w:p>
        </w:tc>
      </w:tr>
      <w:tr>
        <w:trPr>
          <w:trHeight w:val="229"/>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BOLI</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Bank-owned life insurance</w:t>
            </w:r>
          </w:p>
        </w:tc>
        <w:tc>
          <w:tcPr>
            <w:tcW w:w="40" w:type="dxa"/>
            <w:vAlign w:val="bottom"/>
          </w:tcPr>
          <w:p>
            <w:pPr>
              <w:spacing w:after="0"/>
              <w:rPr>
                <w:sz w:val="19"/>
                <w:szCs w:val="19"/>
                <w:color w:val="auto"/>
              </w:rPr>
            </w:pPr>
          </w:p>
        </w:tc>
      </w:tr>
      <w:tr>
        <w:trPr>
          <w:trHeight w:val="230"/>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CARES Act</w:t>
            </w:r>
          </w:p>
        </w:tc>
        <w:tc>
          <w:tcPr>
            <w:tcW w:w="8580" w:type="dxa"/>
            <w:vAlign w:val="bottom"/>
          </w:tcPr>
          <w:p>
            <w:pPr>
              <w:ind w:left="20"/>
              <w:spacing w:after="0"/>
              <w:rPr>
                <w:sz w:val="20"/>
                <w:szCs w:val="20"/>
                <w:color w:val="auto"/>
              </w:rPr>
            </w:pPr>
            <w:r>
              <w:rPr>
                <w:rFonts w:ascii="Arial" w:cs="Arial" w:eastAsia="Arial" w:hAnsi="Arial"/>
                <w:sz w:val="18"/>
                <w:szCs w:val="18"/>
                <w:color w:val="auto"/>
              </w:rPr>
              <w:t>Coronavirus Aid, Relief, and Economic Security Act</w:t>
            </w:r>
          </w:p>
        </w:tc>
        <w:tc>
          <w:tcPr>
            <w:tcW w:w="40" w:type="dxa"/>
            <w:vAlign w:val="bottom"/>
          </w:tcPr>
          <w:p>
            <w:pPr>
              <w:spacing w:after="0"/>
              <w:rPr>
                <w:sz w:val="19"/>
                <w:szCs w:val="19"/>
                <w:color w:val="auto"/>
              </w:rPr>
            </w:pPr>
          </w:p>
        </w:tc>
      </w:tr>
      <w:tr>
        <w:trPr>
          <w:trHeight w:val="229"/>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CECL</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expected credit loss model</w:t>
            </w:r>
          </w:p>
        </w:tc>
        <w:tc>
          <w:tcPr>
            <w:tcW w:w="40" w:type="dxa"/>
            <w:vAlign w:val="bottom"/>
          </w:tcPr>
          <w:p>
            <w:pPr>
              <w:spacing w:after="0"/>
              <w:rPr>
                <w:sz w:val="19"/>
                <w:szCs w:val="19"/>
                <w:color w:val="auto"/>
              </w:rPr>
            </w:pPr>
          </w:p>
        </w:tc>
      </w:tr>
      <w:tr>
        <w:trPr>
          <w:trHeight w:val="229"/>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CET1</w:t>
            </w:r>
          </w:p>
        </w:tc>
        <w:tc>
          <w:tcPr>
            <w:tcW w:w="8580" w:type="dxa"/>
            <w:vAlign w:val="bottom"/>
          </w:tcPr>
          <w:p>
            <w:pPr>
              <w:ind w:left="20"/>
              <w:spacing w:after="0"/>
              <w:rPr>
                <w:sz w:val="20"/>
                <w:szCs w:val="20"/>
                <w:color w:val="auto"/>
              </w:rPr>
            </w:pPr>
            <w:r>
              <w:rPr>
                <w:rFonts w:ascii="Arial" w:cs="Arial" w:eastAsia="Arial" w:hAnsi="Arial"/>
                <w:sz w:val="18"/>
                <w:szCs w:val="18"/>
                <w:color w:val="auto"/>
              </w:rPr>
              <w:t>Common equity tier 1</w:t>
            </w:r>
          </w:p>
        </w:tc>
        <w:tc>
          <w:tcPr>
            <w:tcW w:w="40" w:type="dxa"/>
            <w:vAlign w:val="bottom"/>
          </w:tcPr>
          <w:p>
            <w:pPr>
              <w:spacing w:after="0"/>
              <w:rPr>
                <w:sz w:val="19"/>
                <w:szCs w:val="19"/>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CME</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Chicago Mercantile Exchange</w:t>
            </w:r>
          </w:p>
        </w:tc>
        <w:tc>
          <w:tcPr>
            <w:tcW w:w="40" w:type="dxa"/>
            <w:vAlign w:val="bottom"/>
          </w:tcPr>
          <w:p>
            <w:pPr>
              <w:spacing w:after="0"/>
              <w:rPr>
                <w:sz w:val="19"/>
                <w:szCs w:val="19"/>
                <w:color w:val="auto"/>
              </w:rPr>
            </w:pPr>
          </w:p>
        </w:tc>
      </w:tr>
      <w:tr>
        <w:trPr>
          <w:trHeight w:val="229"/>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Company</w:t>
            </w:r>
          </w:p>
        </w:tc>
        <w:tc>
          <w:tcPr>
            <w:tcW w:w="8580" w:type="dxa"/>
            <w:vAlign w:val="bottom"/>
          </w:tcPr>
          <w:p>
            <w:pPr>
              <w:ind w:left="20"/>
              <w:spacing w:after="0"/>
              <w:rPr>
                <w:sz w:val="20"/>
                <w:szCs w:val="20"/>
                <w:color w:val="auto"/>
              </w:rPr>
            </w:pPr>
            <w:r>
              <w:rPr>
                <w:rFonts w:ascii="Arial" w:cs="Arial" w:eastAsia="Arial" w:hAnsi="Arial"/>
                <w:sz w:val="18"/>
                <w:szCs w:val="18"/>
                <w:color w:val="auto"/>
              </w:rPr>
              <w:t>United Community Banks Inc. (interchangeable with "United" below)</w:t>
            </w:r>
          </w:p>
        </w:tc>
        <w:tc>
          <w:tcPr>
            <w:tcW w:w="40" w:type="dxa"/>
            <w:vAlign w:val="bottom"/>
          </w:tcPr>
          <w:p>
            <w:pPr>
              <w:spacing w:after="0"/>
              <w:rPr>
                <w:sz w:val="19"/>
                <w:szCs w:val="19"/>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CVA</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 valuation adjustments</w:t>
            </w:r>
          </w:p>
        </w:tc>
        <w:tc>
          <w:tcPr>
            <w:tcW w:w="40" w:type="dxa"/>
            <w:vAlign w:val="bottom"/>
          </w:tcPr>
          <w:p>
            <w:pPr>
              <w:spacing w:after="0"/>
              <w:rPr>
                <w:sz w:val="19"/>
                <w:szCs w:val="19"/>
                <w:color w:val="auto"/>
              </w:rPr>
            </w:pPr>
          </w:p>
        </w:tc>
      </w:tr>
      <w:tr>
        <w:trPr>
          <w:trHeight w:val="229"/>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FASB</w:t>
            </w:r>
          </w:p>
        </w:tc>
        <w:tc>
          <w:tcPr>
            <w:tcW w:w="8580" w:type="dxa"/>
            <w:vAlign w:val="bottom"/>
          </w:tcPr>
          <w:p>
            <w:pPr>
              <w:ind w:left="20"/>
              <w:spacing w:after="0"/>
              <w:rPr>
                <w:sz w:val="20"/>
                <w:szCs w:val="20"/>
                <w:color w:val="auto"/>
              </w:rPr>
            </w:pPr>
            <w:r>
              <w:rPr>
                <w:rFonts w:ascii="Arial" w:cs="Arial" w:eastAsia="Arial" w:hAnsi="Arial"/>
                <w:sz w:val="18"/>
                <w:szCs w:val="18"/>
                <w:color w:val="auto"/>
              </w:rPr>
              <w:t>Financial Accounting Standards Board</w:t>
            </w:r>
          </w:p>
        </w:tc>
        <w:tc>
          <w:tcPr>
            <w:tcW w:w="40" w:type="dxa"/>
            <w:vAlign w:val="bottom"/>
          </w:tcPr>
          <w:p>
            <w:pPr>
              <w:spacing w:after="0"/>
              <w:rPr>
                <w:sz w:val="19"/>
                <w:szCs w:val="19"/>
                <w:color w:val="auto"/>
              </w:rPr>
            </w:pPr>
          </w:p>
        </w:tc>
      </w:tr>
      <w:tr>
        <w:trPr>
          <w:trHeight w:val="229"/>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FDIC</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Deposit Insurance Corporation</w:t>
            </w:r>
          </w:p>
        </w:tc>
        <w:tc>
          <w:tcPr>
            <w:tcW w:w="40" w:type="dxa"/>
            <w:vAlign w:val="bottom"/>
          </w:tcPr>
          <w:p>
            <w:pPr>
              <w:spacing w:after="0"/>
              <w:rPr>
                <w:sz w:val="19"/>
                <w:szCs w:val="19"/>
                <w:color w:val="auto"/>
              </w:rPr>
            </w:pPr>
          </w:p>
        </w:tc>
      </w:tr>
      <w:tr>
        <w:trPr>
          <w:trHeight w:val="230"/>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Federal Reserve</w:t>
            </w:r>
          </w:p>
        </w:tc>
        <w:tc>
          <w:tcPr>
            <w:tcW w:w="8580" w:type="dxa"/>
            <w:vAlign w:val="bottom"/>
          </w:tcPr>
          <w:p>
            <w:pPr>
              <w:ind w:left="20"/>
              <w:spacing w:after="0"/>
              <w:rPr>
                <w:sz w:val="20"/>
                <w:szCs w:val="20"/>
                <w:color w:val="auto"/>
              </w:rPr>
            </w:pPr>
            <w:r>
              <w:rPr>
                <w:rFonts w:ascii="Arial" w:cs="Arial" w:eastAsia="Arial" w:hAnsi="Arial"/>
                <w:sz w:val="18"/>
                <w:szCs w:val="18"/>
                <w:color w:val="auto"/>
              </w:rPr>
              <w:t>Federal Reserve System</w:t>
            </w:r>
          </w:p>
        </w:tc>
        <w:tc>
          <w:tcPr>
            <w:tcW w:w="40" w:type="dxa"/>
            <w:vAlign w:val="bottom"/>
          </w:tcPr>
          <w:p>
            <w:pPr>
              <w:spacing w:after="0"/>
              <w:rPr>
                <w:sz w:val="19"/>
                <w:szCs w:val="19"/>
                <w:color w:val="auto"/>
              </w:rPr>
            </w:pPr>
          </w:p>
        </w:tc>
      </w:tr>
      <w:tr>
        <w:trPr>
          <w:trHeight w:val="229"/>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FHLB</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Home Loan Bank</w:t>
            </w:r>
          </w:p>
        </w:tc>
        <w:tc>
          <w:tcPr>
            <w:tcW w:w="40" w:type="dxa"/>
            <w:vAlign w:val="bottom"/>
          </w:tcPr>
          <w:p>
            <w:pPr>
              <w:spacing w:after="0"/>
              <w:rPr>
                <w:sz w:val="19"/>
                <w:szCs w:val="19"/>
                <w:color w:val="auto"/>
              </w:rPr>
            </w:pPr>
          </w:p>
        </w:tc>
      </w:tr>
      <w:tr>
        <w:trPr>
          <w:trHeight w:val="230"/>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FTE</w:t>
            </w:r>
          </w:p>
        </w:tc>
        <w:tc>
          <w:tcPr>
            <w:tcW w:w="8580" w:type="dxa"/>
            <w:vAlign w:val="bottom"/>
          </w:tcPr>
          <w:p>
            <w:pPr>
              <w:ind w:left="20"/>
              <w:spacing w:after="0"/>
              <w:rPr>
                <w:sz w:val="20"/>
                <w:szCs w:val="20"/>
                <w:color w:val="auto"/>
              </w:rPr>
            </w:pPr>
            <w:r>
              <w:rPr>
                <w:rFonts w:ascii="Arial" w:cs="Arial" w:eastAsia="Arial" w:hAnsi="Arial"/>
                <w:sz w:val="18"/>
                <w:szCs w:val="18"/>
                <w:color w:val="auto"/>
              </w:rPr>
              <w:t>Fully taxable equivalent</w:t>
            </w:r>
          </w:p>
        </w:tc>
        <w:tc>
          <w:tcPr>
            <w:tcW w:w="40" w:type="dxa"/>
            <w:vAlign w:val="bottom"/>
          </w:tcPr>
          <w:p>
            <w:pPr>
              <w:spacing w:after="0"/>
              <w:rPr>
                <w:sz w:val="19"/>
                <w:szCs w:val="19"/>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GAAP</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Accounting principles generally accepted in the United States of America</w:t>
            </w:r>
          </w:p>
        </w:tc>
        <w:tc>
          <w:tcPr>
            <w:tcW w:w="40" w:type="dxa"/>
            <w:vAlign w:val="bottom"/>
          </w:tcPr>
          <w:p>
            <w:pPr>
              <w:spacing w:after="0"/>
              <w:rPr>
                <w:sz w:val="19"/>
                <w:szCs w:val="19"/>
                <w:color w:val="auto"/>
              </w:rPr>
            </w:pPr>
          </w:p>
        </w:tc>
      </w:tr>
      <w:tr>
        <w:trPr>
          <w:trHeight w:val="229"/>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GSE</w:t>
            </w:r>
          </w:p>
        </w:tc>
        <w:tc>
          <w:tcPr>
            <w:tcW w:w="8580" w:type="dxa"/>
            <w:vAlign w:val="bottom"/>
          </w:tcPr>
          <w:p>
            <w:pPr>
              <w:ind w:left="20"/>
              <w:spacing w:after="0"/>
              <w:rPr>
                <w:sz w:val="20"/>
                <w:szCs w:val="20"/>
                <w:color w:val="auto"/>
              </w:rPr>
            </w:pPr>
            <w:r>
              <w:rPr>
                <w:rFonts w:ascii="Arial" w:cs="Arial" w:eastAsia="Arial" w:hAnsi="Arial"/>
                <w:sz w:val="18"/>
                <w:szCs w:val="18"/>
                <w:color w:val="auto"/>
              </w:rPr>
              <w:t>U.S. government-sponsored enterprise</w:t>
            </w:r>
          </w:p>
        </w:tc>
        <w:tc>
          <w:tcPr>
            <w:tcW w:w="40" w:type="dxa"/>
            <w:vAlign w:val="bottom"/>
          </w:tcPr>
          <w:p>
            <w:pPr>
              <w:spacing w:after="0"/>
              <w:rPr>
                <w:sz w:val="19"/>
                <w:szCs w:val="19"/>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HELOC</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Home equity lines of credit</w:t>
            </w:r>
          </w:p>
        </w:tc>
        <w:tc>
          <w:tcPr>
            <w:tcW w:w="40" w:type="dxa"/>
            <w:vAlign w:val="bottom"/>
          </w:tcPr>
          <w:p>
            <w:pPr>
              <w:spacing w:after="0"/>
              <w:rPr>
                <w:sz w:val="19"/>
                <w:szCs w:val="19"/>
                <w:color w:val="auto"/>
              </w:rPr>
            </w:pPr>
          </w:p>
        </w:tc>
      </w:tr>
      <w:tr>
        <w:trPr>
          <w:trHeight w:val="230"/>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Holding Company</w:t>
            </w:r>
          </w:p>
        </w:tc>
        <w:tc>
          <w:tcPr>
            <w:tcW w:w="8580" w:type="dxa"/>
            <w:vAlign w:val="bottom"/>
          </w:tcPr>
          <w:p>
            <w:pPr>
              <w:ind w:left="20"/>
              <w:spacing w:after="0"/>
              <w:rPr>
                <w:sz w:val="20"/>
                <w:szCs w:val="20"/>
                <w:color w:val="auto"/>
              </w:rPr>
            </w:pPr>
            <w:r>
              <w:rPr>
                <w:rFonts w:ascii="Arial" w:cs="Arial" w:eastAsia="Arial" w:hAnsi="Arial"/>
                <w:sz w:val="18"/>
                <w:szCs w:val="18"/>
                <w:color w:val="auto"/>
              </w:rPr>
              <w:t>United Community Banks, Inc. on an unconsolidated basis</w:t>
            </w:r>
          </w:p>
        </w:tc>
        <w:tc>
          <w:tcPr>
            <w:tcW w:w="40" w:type="dxa"/>
            <w:vAlign w:val="bottom"/>
          </w:tcPr>
          <w:p>
            <w:pPr>
              <w:spacing w:after="0"/>
              <w:rPr>
                <w:sz w:val="19"/>
                <w:szCs w:val="19"/>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HTM</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Held-to-maturity</w:t>
            </w:r>
          </w:p>
        </w:tc>
        <w:tc>
          <w:tcPr>
            <w:tcW w:w="40" w:type="dxa"/>
            <w:vAlign w:val="bottom"/>
          </w:tcPr>
          <w:p>
            <w:pPr>
              <w:spacing w:after="0"/>
              <w:rPr>
                <w:sz w:val="19"/>
                <w:szCs w:val="19"/>
                <w:color w:val="auto"/>
              </w:rPr>
            </w:pPr>
          </w:p>
        </w:tc>
      </w:tr>
      <w:tr>
        <w:trPr>
          <w:trHeight w:val="229"/>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LIBOR</w:t>
            </w:r>
          </w:p>
        </w:tc>
        <w:tc>
          <w:tcPr>
            <w:tcW w:w="8580" w:type="dxa"/>
            <w:vAlign w:val="bottom"/>
          </w:tcPr>
          <w:p>
            <w:pPr>
              <w:ind w:left="20"/>
              <w:spacing w:after="0"/>
              <w:rPr>
                <w:sz w:val="20"/>
                <w:szCs w:val="20"/>
                <w:color w:val="auto"/>
              </w:rPr>
            </w:pPr>
            <w:r>
              <w:rPr>
                <w:rFonts w:ascii="Arial" w:cs="Arial" w:eastAsia="Arial" w:hAnsi="Arial"/>
                <w:sz w:val="18"/>
                <w:szCs w:val="18"/>
                <w:color w:val="auto"/>
              </w:rPr>
              <w:t>London Interbank Offered Rate</w:t>
            </w:r>
          </w:p>
        </w:tc>
        <w:tc>
          <w:tcPr>
            <w:tcW w:w="40" w:type="dxa"/>
            <w:vAlign w:val="bottom"/>
          </w:tcPr>
          <w:p>
            <w:pPr>
              <w:spacing w:after="0"/>
              <w:rPr>
                <w:sz w:val="19"/>
                <w:szCs w:val="19"/>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MD&amp;A</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40" w:type="dxa"/>
            <w:vAlign w:val="bottom"/>
          </w:tcPr>
          <w:p>
            <w:pPr>
              <w:spacing w:after="0"/>
              <w:rPr>
                <w:sz w:val="19"/>
                <w:szCs w:val="19"/>
                <w:color w:val="auto"/>
              </w:rPr>
            </w:pPr>
          </w:p>
        </w:tc>
      </w:tr>
      <w:tr>
        <w:trPr>
          <w:trHeight w:val="230"/>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MBS</w:t>
            </w:r>
          </w:p>
        </w:tc>
        <w:tc>
          <w:tcPr>
            <w:tcW w:w="8580" w:type="dxa"/>
            <w:vAlign w:val="bottom"/>
          </w:tcPr>
          <w:p>
            <w:pPr>
              <w:ind w:left="20"/>
              <w:spacing w:after="0"/>
              <w:rPr>
                <w:sz w:val="20"/>
                <w:szCs w:val="20"/>
                <w:color w:val="auto"/>
              </w:rPr>
            </w:pPr>
            <w:r>
              <w:rPr>
                <w:rFonts w:ascii="Arial" w:cs="Arial" w:eastAsia="Arial" w:hAnsi="Arial"/>
                <w:sz w:val="18"/>
                <w:szCs w:val="18"/>
                <w:color w:val="auto"/>
              </w:rPr>
              <w:t>Mortgage-backed securities</w:t>
            </w:r>
          </w:p>
        </w:tc>
        <w:tc>
          <w:tcPr>
            <w:tcW w:w="40" w:type="dxa"/>
            <w:vAlign w:val="bottom"/>
          </w:tcPr>
          <w:p>
            <w:pPr>
              <w:spacing w:after="0"/>
              <w:rPr>
                <w:sz w:val="19"/>
                <w:szCs w:val="19"/>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NOW</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Negotiable order of withdrawal</w:t>
            </w:r>
          </w:p>
        </w:tc>
        <w:tc>
          <w:tcPr>
            <w:tcW w:w="40" w:type="dxa"/>
            <w:vAlign w:val="bottom"/>
          </w:tcPr>
          <w:p>
            <w:pPr>
              <w:spacing w:after="0"/>
              <w:rPr>
                <w:sz w:val="19"/>
                <w:szCs w:val="19"/>
                <w:color w:val="auto"/>
              </w:rPr>
            </w:pPr>
          </w:p>
        </w:tc>
      </w:tr>
      <w:tr>
        <w:trPr>
          <w:trHeight w:val="229"/>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NPA</w:t>
            </w:r>
          </w:p>
        </w:tc>
        <w:tc>
          <w:tcPr>
            <w:tcW w:w="8580" w:type="dxa"/>
            <w:vAlign w:val="bottom"/>
          </w:tcPr>
          <w:p>
            <w:pPr>
              <w:ind w:left="20"/>
              <w:spacing w:after="0"/>
              <w:rPr>
                <w:sz w:val="20"/>
                <w:szCs w:val="20"/>
                <w:color w:val="auto"/>
              </w:rPr>
            </w:pPr>
            <w:r>
              <w:rPr>
                <w:rFonts w:ascii="Arial" w:cs="Arial" w:eastAsia="Arial" w:hAnsi="Arial"/>
                <w:sz w:val="18"/>
                <w:szCs w:val="18"/>
                <w:color w:val="auto"/>
              </w:rPr>
              <w:t>Nonperforming asset</w:t>
            </w:r>
          </w:p>
        </w:tc>
        <w:tc>
          <w:tcPr>
            <w:tcW w:w="40" w:type="dxa"/>
            <w:vAlign w:val="bottom"/>
          </w:tcPr>
          <w:p>
            <w:pPr>
              <w:spacing w:after="0"/>
              <w:rPr>
                <w:sz w:val="19"/>
                <w:szCs w:val="19"/>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OCI</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40" w:type="dxa"/>
            <w:vAlign w:val="bottom"/>
          </w:tcPr>
          <w:p>
            <w:pPr>
              <w:spacing w:after="0"/>
              <w:rPr>
                <w:sz w:val="19"/>
                <w:szCs w:val="19"/>
                <w:color w:val="auto"/>
              </w:rPr>
            </w:pPr>
          </w:p>
        </w:tc>
      </w:tr>
      <w:tr>
        <w:trPr>
          <w:trHeight w:val="230"/>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PCD</w:t>
            </w:r>
          </w:p>
        </w:tc>
        <w:tc>
          <w:tcPr>
            <w:tcW w:w="8580" w:type="dxa"/>
            <w:vAlign w:val="bottom"/>
          </w:tcPr>
          <w:p>
            <w:pPr>
              <w:ind w:left="20"/>
              <w:spacing w:after="0"/>
              <w:rPr>
                <w:sz w:val="20"/>
                <w:szCs w:val="20"/>
                <w:color w:val="auto"/>
              </w:rPr>
            </w:pPr>
            <w:r>
              <w:rPr>
                <w:rFonts w:ascii="Arial" w:cs="Arial" w:eastAsia="Arial" w:hAnsi="Arial"/>
                <w:sz w:val="18"/>
                <w:szCs w:val="18"/>
                <w:color w:val="auto"/>
              </w:rPr>
              <w:t>Purchased credit deteriorated loans</w:t>
            </w:r>
          </w:p>
        </w:tc>
        <w:tc>
          <w:tcPr>
            <w:tcW w:w="40" w:type="dxa"/>
            <w:vAlign w:val="bottom"/>
          </w:tcPr>
          <w:p>
            <w:pPr>
              <w:spacing w:after="0"/>
              <w:rPr>
                <w:sz w:val="19"/>
                <w:szCs w:val="19"/>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PPP</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Paycheck Protection Program</w:t>
            </w:r>
          </w:p>
        </w:tc>
        <w:tc>
          <w:tcPr>
            <w:tcW w:w="40" w:type="dxa"/>
            <w:vAlign w:val="bottom"/>
          </w:tcPr>
          <w:p>
            <w:pPr>
              <w:spacing w:after="0"/>
              <w:rPr>
                <w:sz w:val="19"/>
                <w:szCs w:val="19"/>
                <w:color w:val="auto"/>
              </w:rPr>
            </w:pPr>
          </w:p>
        </w:tc>
      </w:tr>
      <w:tr>
        <w:trPr>
          <w:trHeight w:val="229"/>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Report</w:t>
            </w:r>
          </w:p>
        </w:tc>
        <w:tc>
          <w:tcPr>
            <w:tcW w:w="8580" w:type="dxa"/>
            <w:vAlign w:val="bottom"/>
          </w:tcPr>
          <w:p>
            <w:pPr>
              <w:ind w:left="20"/>
              <w:spacing w:after="0"/>
              <w:rPr>
                <w:sz w:val="20"/>
                <w:szCs w:val="20"/>
                <w:color w:val="auto"/>
              </w:rPr>
            </w:pPr>
            <w:r>
              <w:rPr>
                <w:rFonts w:ascii="Arial" w:cs="Arial" w:eastAsia="Arial" w:hAnsi="Arial"/>
                <w:sz w:val="18"/>
                <w:szCs w:val="18"/>
                <w:color w:val="auto"/>
              </w:rPr>
              <w:t>Quarterly Report on Form 10-Q</w:t>
            </w:r>
          </w:p>
        </w:tc>
        <w:tc>
          <w:tcPr>
            <w:tcW w:w="40" w:type="dxa"/>
            <w:vAlign w:val="bottom"/>
          </w:tcPr>
          <w:p>
            <w:pPr>
              <w:spacing w:after="0"/>
              <w:rPr>
                <w:sz w:val="19"/>
                <w:szCs w:val="19"/>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SBA</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 Small Business Administration</w:t>
            </w:r>
          </w:p>
        </w:tc>
        <w:tc>
          <w:tcPr>
            <w:tcW w:w="40" w:type="dxa"/>
            <w:vAlign w:val="bottom"/>
          </w:tcPr>
          <w:p>
            <w:pPr>
              <w:spacing w:after="0"/>
              <w:rPr>
                <w:sz w:val="19"/>
                <w:szCs w:val="19"/>
                <w:color w:val="auto"/>
              </w:rPr>
            </w:pPr>
          </w:p>
        </w:tc>
      </w:tr>
      <w:tr>
        <w:trPr>
          <w:trHeight w:val="230"/>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Seaside</w:t>
            </w:r>
          </w:p>
        </w:tc>
        <w:tc>
          <w:tcPr>
            <w:tcW w:w="8580" w:type="dxa"/>
            <w:vAlign w:val="bottom"/>
          </w:tcPr>
          <w:p>
            <w:pPr>
              <w:ind w:left="20"/>
              <w:spacing w:after="0"/>
              <w:rPr>
                <w:sz w:val="20"/>
                <w:szCs w:val="20"/>
                <w:color w:val="auto"/>
              </w:rPr>
            </w:pPr>
            <w:r>
              <w:rPr>
                <w:rFonts w:ascii="Arial" w:cs="Arial" w:eastAsia="Arial" w:hAnsi="Arial"/>
                <w:sz w:val="18"/>
                <w:szCs w:val="18"/>
                <w:color w:val="auto"/>
              </w:rPr>
              <w:t>Seaside National Bank &amp; Trust, subsidiary bank of Three Shores Bancorporation, Inc.</w:t>
            </w:r>
          </w:p>
        </w:tc>
        <w:tc>
          <w:tcPr>
            <w:tcW w:w="40" w:type="dxa"/>
            <w:vAlign w:val="bottom"/>
          </w:tcPr>
          <w:p>
            <w:pPr>
              <w:spacing w:after="0"/>
              <w:rPr>
                <w:sz w:val="19"/>
                <w:szCs w:val="19"/>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SEC</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Securities and Exchange Commission</w:t>
            </w:r>
          </w:p>
        </w:tc>
        <w:tc>
          <w:tcPr>
            <w:tcW w:w="40" w:type="dxa"/>
            <w:vAlign w:val="bottom"/>
          </w:tcPr>
          <w:p>
            <w:pPr>
              <w:spacing w:after="0"/>
              <w:rPr>
                <w:sz w:val="19"/>
                <w:szCs w:val="19"/>
                <w:color w:val="auto"/>
              </w:rPr>
            </w:pPr>
          </w:p>
        </w:tc>
      </w:tr>
      <w:tr>
        <w:trPr>
          <w:trHeight w:val="229"/>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TDR</w:t>
            </w:r>
          </w:p>
        </w:tc>
        <w:tc>
          <w:tcPr>
            <w:tcW w:w="8580" w:type="dxa"/>
            <w:vAlign w:val="bottom"/>
          </w:tcPr>
          <w:p>
            <w:pPr>
              <w:ind w:left="20"/>
              <w:spacing w:after="0"/>
              <w:rPr>
                <w:sz w:val="20"/>
                <w:szCs w:val="20"/>
                <w:color w:val="auto"/>
              </w:rPr>
            </w:pPr>
            <w:r>
              <w:rPr>
                <w:rFonts w:ascii="Arial" w:cs="Arial" w:eastAsia="Arial" w:hAnsi="Arial"/>
                <w:sz w:val="18"/>
                <w:szCs w:val="18"/>
                <w:color w:val="auto"/>
              </w:rPr>
              <w:t>Troubled debt restructuring</w:t>
            </w:r>
          </w:p>
        </w:tc>
        <w:tc>
          <w:tcPr>
            <w:tcW w:w="40" w:type="dxa"/>
            <w:vAlign w:val="bottom"/>
          </w:tcPr>
          <w:p>
            <w:pPr>
              <w:spacing w:after="0"/>
              <w:rPr>
                <w:sz w:val="19"/>
                <w:szCs w:val="19"/>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Three Shores</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Three Shores Bancorporation, Inc., parent company of Seaside National Bank &amp; Trust</w:t>
            </w:r>
          </w:p>
        </w:tc>
        <w:tc>
          <w:tcPr>
            <w:tcW w:w="40" w:type="dxa"/>
            <w:vAlign w:val="bottom"/>
          </w:tcPr>
          <w:p>
            <w:pPr>
              <w:spacing w:after="0"/>
              <w:rPr>
                <w:sz w:val="19"/>
                <w:szCs w:val="19"/>
                <w:color w:val="auto"/>
              </w:rPr>
            </w:pPr>
          </w:p>
        </w:tc>
      </w:tr>
      <w:tr>
        <w:trPr>
          <w:trHeight w:val="230"/>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U.S. Treasury</w:t>
            </w:r>
          </w:p>
        </w:tc>
        <w:tc>
          <w:tcPr>
            <w:tcW w:w="8580" w:type="dxa"/>
            <w:vAlign w:val="bottom"/>
          </w:tcPr>
          <w:p>
            <w:pPr>
              <w:ind w:left="20"/>
              <w:spacing w:after="0"/>
              <w:rPr>
                <w:sz w:val="20"/>
                <w:szCs w:val="20"/>
                <w:color w:val="auto"/>
              </w:rPr>
            </w:pPr>
            <w:r>
              <w:rPr>
                <w:rFonts w:ascii="Arial" w:cs="Arial" w:eastAsia="Arial" w:hAnsi="Arial"/>
                <w:sz w:val="18"/>
                <w:szCs w:val="18"/>
                <w:color w:val="auto"/>
              </w:rPr>
              <w:t>United States Department of the Treasury</w:t>
            </w:r>
          </w:p>
        </w:tc>
        <w:tc>
          <w:tcPr>
            <w:tcW w:w="40" w:type="dxa"/>
            <w:vAlign w:val="bottom"/>
          </w:tcPr>
          <w:p>
            <w:pPr>
              <w:spacing w:after="0"/>
              <w:rPr>
                <w:sz w:val="19"/>
                <w:szCs w:val="19"/>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United</w:t>
            </w:r>
          </w:p>
        </w:tc>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Community Banks, Inc. and its direct and indirect subsidiaries</w:t>
            </w:r>
          </w:p>
        </w:tc>
        <w:tc>
          <w:tcPr>
            <w:tcW w:w="40" w:type="dxa"/>
            <w:vAlign w:val="bottom"/>
          </w:tcPr>
          <w:p>
            <w:pPr>
              <w:spacing w:after="0"/>
              <w:rPr>
                <w:sz w:val="19"/>
                <w:szCs w:val="19"/>
                <w:color w:val="auto"/>
              </w:rPr>
            </w:pPr>
          </w:p>
        </w:tc>
      </w:tr>
      <w:tr>
        <w:trPr>
          <w:trHeight w:val="230"/>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USDA</w:t>
            </w:r>
          </w:p>
        </w:tc>
        <w:tc>
          <w:tcPr>
            <w:tcW w:w="8580" w:type="dxa"/>
            <w:vAlign w:val="bottom"/>
          </w:tcPr>
          <w:p>
            <w:pPr>
              <w:ind w:left="20"/>
              <w:spacing w:after="0"/>
              <w:rPr>
                <w:sz w:val="20"/>
                <w:szCs w:val="20"/>
                <w:color w:val="auto"/>
              </w:rPr>
            </w:pPr>
            <w:r>
              <w:rPr>
                <w:rFonts w:ascii="Arial" w:cs="Arial" w:eastAsia="Arial" w:hAnsi="Arial"/>
                <w:sz w:val="18"/>
                <w:szCs w:val="18"/>
                <w:color w:val="auto"/>
              </w:rPr>
              <w:t>United States Department of Agriculture</w:t>
            </w:r>
          </w:p>
        </w:tc>
        <w:tc>
          <w:tcPr>
            <w:tcW w:w="40" w:type="dxa"/>
            <w:vAlign w:val="bottom"/>
          </w:tcPr>
          <w:p>
            <w:pPr>
              <w:spacing w:after="0"/>
              <w:rPr>
                <w:sz w:val="20"/>
                <w:szCs w:val="20"/>
                <w:color w:val="auto"/>
              </w:rPr>
            </w:pPr>
          </w:p>
        </w:tc>
      </w:tr>
      <w:tr>
        <w:trPr>
          <w:trHeight w:val="904"/>
        </w:trPr>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580" w:type="dxa"/>
            <w:vAlign w:val="bottom"/>
          </w:tcPr>
          <w:p>
            <w:pPr>
              <w:ind w:left="296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4"/>
                <w:szCs w:val="24"/>
                <w:color w:val="auto"/>
              </w:rPr>
            </w:pPr>
          </w:p>
        </w:tc>
      </w:tr>
      <w:tr>
        <w:trPr>
          <w:trHeight w:val="115"/>
        </w:trPr>
        <w:tc>
          <w:tcPr>
            <w:tcW w:w="25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5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Quarterly Report on Form 10-Q contains forward-looking statements within the meaning of the Private Securities Litigation Reform Act of 1995. Forward-looking statements are neither statements of historical or current fact nor are they assurances of future performance and generally can be identified by the use of forward-looking terminology such as “believes”, “expects”, “may”, “will”, “could”, “should”, “projects”, “plans”, “goal”, “targets”, “potential”, “estimates”, “pro forma”, “seeks”, “intends”, or “anticipates”, or similar expressions. Forward-looking statements include discussions of strategy, financial projections, guidance and estimates (including their underlying assumptions), statements regarding plans, objectives, expectations or consequences of various transactions or events, and statements about our future performance, operations, products and services, and should be viewed with caution.</w:t>
      </w:r>
    </w:p>
    <w:p>
      <w:pPr>
        <w:spacing w:after="0" w:line="22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Because forward-looking statements relate to the future, they are subject to known and unknown risks, uncertainties, assumptions, and changes in circumstances, many of which are beyond our control, and that are difficult to predict as to timing, extent, likelihood and degree of occurrence, and that could cause actual results to differ materially from the results implied or anticipated by the statements. Important factors that could cause our actual results and financial condition to differ materially from those indicated in the forward-looking statements include, but are not limited to the following:</w:t>
      </w:r>
    </w:p>
    <w:p>
      <w:pPr>
        <w:spacing w:after="0" w:line="184" w:lineRule="exact"/>
        <w:rPr>
          <w:sz w:val="20"/>
          <w:szCs w:val="20"/>
          <w:color w:val="auto"/>
        </w:rPr>
      </w:pPr>
    </w:p>
    <w:p>
      <w:pPr>
        <w:jc w:val="both"/>
        <w:ind w:left="340" w:hanging="332"/>
        <w:spacing w:after="0" w:line="255"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negative economic and political conditions that adversely affect the general economy, housing prices, the real estate market, the job market, consumer confidence, the financial condition of our borrowers and consumer spending habits, which may affect, among other things, the levels of non-performing assets, charge-offs and provision expense;</w:t>
      </w:r>
    </w:p>
    <w:p>
      <w:pPr>
        <w:spacing w:after="0" w:line="2" w:lineRule="exact"/>
        <w:rPr>
          <w:rFonts w:ascii="Arial" w:cs="Arial" w:eastAsia="Arial" w:hAnsi="Arial"/>
          <w:sz w:val="18"/>
          <w:szCs w:val="18"/>
          <w:color w:val="auto"/>
        </w:rPr>
      </w:pPr>
    </w:p>
    <w:p>
      <w:pPr>
        <w:ind w:left="340" w:hanging="332"/>
        <w:spacing w:after="0" w:line="250"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loan underwriting, credit review or loss policies associated with economic conditions, examination conclusions or regulatory developments, either as they currently exist or as they may be affected by conditions associated with the COVID-19 pandemic;</w:t>
      </w: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COVID-19 pandemic and its continuing effects on the economic and business environments in which we operate;</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strategic, market, operational, liquidity and interest rate risks associated with our business;</w:t>
      </w:r>
    </w:p>
    <w:p>
      <w:pPr>
        <w:spacing w:after="0" w:line="9" w:lineRule="exact"/>
        <w:rPr>
          <w:rFonts w:ascii="Arial" w:cs="Arial" w:eastAsia="Arial" w:hAnsi="Arial"/>
          <w:sz w:val="18"/>
          <w:szCs w:val="18"/>
          <w:color w:val="auto"/>
        </w:rPr>
      </w:pPr>
    </w:p>
    <w:p>
      <w:pPr>
        <w:jc w:val="both"/>
        <w:ind w:left="340" w:hanging="332"/>
        <w:spacing w:after="0" w:line="281" w:lineRule="auto"/>
        <w:tabs>
          <w:tab w:leader="none" w:pos="335"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continuation of historically low interest rates coupled with other potential fluctuations or unanticipated changes in the interest rate environment, including interest rate changes made by the Federal Reserve, the discontinuation of LIBOR as an interest rate benchmark, and cash flow reassessments, may reduce net interest margin and/or the volumes and values of loans made or held as well as the value of other financial assets;</w:t>
      </w:r>
    </w:p>
    <w:p>
      <w:pPr>
        <w:spacing w:after="0" w:line="1" w:lineRule="exact"/>
        <w:rPr>
          <w:rFonts w:ascii="Arial" w:cs="Arial" w:eastAsia="Arial" w:hAnsi="Arial"/>
          <w:sz w:val="16"/>
          <w:szCs w:val="16"/>
          <w:color w:val="auto"/>
        </w:rPr>
      </w:pPr>
    </w:p>
    <w:p>
      <w:pPr>
        <w:ind w:left="340" w:hanging="332"/>
        <w:spacing w:after="0" w:line="250"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lack of geographic diversification and any unanticipated or greater than anticipated adverse conditions in the national or local economies in which we operate;</w:t>
      </w:r>
    </w:p>
    <w:p>
      <w:pPr>
        <w:ind w:left="340" w:hanging="332"/>
        <w:spacing w:after="0" w:line="250"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loan concentration in industries or sectors that may experience unanticipated or anticipated adverse conditions greater than other industries or sectors in the national or local economies in which we operate;</w:t>
      </w: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risks of expansion into new geographic or product markets;</w:t>
      </w:r>
    </w:p>
    <w:p>
      <w:pPr>
        <w:spacing w:after="0" w:line="9" w:lineRule="exact"/>
        <w:rPr>
          <w:rFonts w:ascii="Arial" w:cs="Arial" w:eastAsia="Arial" w:hAnsi="Arial"/>
          <w:sz w:val="18"/>
          <w:szCs w:val="18"/>
          <w:color w:val="auto"/>
        </w:rPr>
      </w:pPr>
    </w:p>
    <w:p>
      <w:pPr>
        <w:ind w:left="340" w:hanging="332"/>
        <w:spacing w:after="0" w:line="250"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with respect to pending or future mergers or acquisitions, including our ability to successfully expand and complete acquisitions and integrate businesses and operations that we acquire;</w:t>
      </w: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key employees;</w:t>
      </w:r>
    </w:p>
    <w:p>
      <w:pPr>
        <w:spacing w:after="0" w:line="9" w:lineRule="exact"/>
        <w:rPr>
          <w:rFonts w:ascii="Arial" w:cs="Arial" w:eastAsia="Arial" w:hAnsi="Arial"/>
          <w:sz w:val="18"/>
          <w:szCs w:val="18"/>
          <w:color w:val="auto"/>
        </w:rPr>
      </w:pPr>
    </w:p>
    <w:p>
      <w:pPr>
        <w:ind w:left="340" w:right="20" w:hanging="332"/>
        <w:spacing w:after="0" w:line="250"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from financial institutions and other financial service providers, including non-bank financial technology providers, and our ability to attract customers from other financial institutions;</w:t>
      </w: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losses due to fraudulent and negligent conduct of our customers, third party service providers or employees;</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cybersecurity risks and the vulnerability of our network and online banking portals, and the systems of parties with whom we contract, to unauthorized access, computer viruses, phishing schemes, spam attacks, human error, natural disasters, power loss and other security breaches that could adversely affect our business and financial performance or reputation;</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 parties to provide key components of our business infrastructure and services required to operate our business;</w:t>
      </w:r>
    </w:p>
    <w:p>
      <w:pPr>
        <w:spacing w:after="0" w:line="9" w:lineRule="exact"/>
        <w:rPr>
          <w:rFonts w:ascii="Arial" w:cs="Arial" w:eastAsia="Arial" w:hAnsi="Arial"/>
          <w:sz w:val="18"/>
          <w:szCs w:val="18"/>
          <w:color w:val="auto"/>
        </w:rPr>
      </w:pPr>
    </w:p>
    <w:p>
      <w:pPr>
        <w:ind w:left="340" w:hanging="332"/>
        <w:spacing w:after="0" w:line="250"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 that we may be required to make substantial expenditures to keep pace with regulatory initiatives and the rapid technological changes in the financial services market;</w:t>
      </w: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and access to capital;</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legislative, regulatory or accounting changes that may adversely affect us;</w:t>
      </w:r>
    </w:p>
    <w:p>
      <w:pPr>
        <w:spacing w:after="0" w:line="9" w:lineRule="exact"/>
        <w:rPr>
          <w:rFonts w:ascii="Arial" w:cs="Arial" w:eastAsia="Arial" w:hAnsi="Arial"/>
          <w:sz w:val="18"/>
          <w:szCs w:val="18"/>
          <w:color w:val="auto"/>
        </w:rPr>
      </w:pPr>
    </w:p>
    <w:p>
      <w:pPr>
        <w:ind w:left="340" w:hanging="332"/>
        <w:spacing w:after="0" w:line="250"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volatility in the ACL resulting from the CECL methodology, either alone or as that may be affected by conditions arising out of the COVID-19 pandemic;</w:t>
      </w:r>
    </w:p>
    <w:p>
      <w:pPr>
        <w:ind w:left="340" w:right="20" w:hanging="332"/>
        <w:spacing w:after="0" w:line="265" w:lineRule="auto"/>
        <w:tabs>
          <w:tab w:leader="none" w:pos="335" w:val="left"/>
        </w:tabs>
        <w:numPr>
          <w:ilvl w:val="0"/>
          <w:numId w:val="3"/>
        </w:numPr>
        <w:rPr>
          <w:rFonts w:ascii="Arial" w:cs="Arial" w:eastAsia="Arial" w:hAnsi="Arial"/>
          <w:sz w:val="17"/>
          <w:szCs w:val="17"/>
          <w:color w:val="auto"/>
        </w:rPr>
      </w:pPr>
      <w:r>
        <w:rPr>
          <w:rFonts w:ascii="Arial" w:cs="Arial" w:eastAsia="Arial" w:hAnsi="Arial"/>
          <w:sz w:val="17"/>
          <w:szCs w:val="17"/>
          <w:color w:val="auto"/>
        </w:rPr>
        <w:t>adverse results (including judgments, costs, fines, reputational harm, inability to obtain necessary approvals and/or other negative effects) from current or future litigation, regulatory proceedings, examinations, investigations, or similar matters, or developments related thereto;</w:t>
      </w: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matter that would cause us to conclude that there was impairment of any asset, including intangible assets, such as goodwill;</w:t>
      </w:r>
    </w:p>
    <w:p>
      <w:pPr>
        <w:spacing w:after="0" w:line="9" w:lineRule="exact"/>
        <w:rPr>
          <w:rFonts w:ascii="Arial" w:cs="Arial" w:eastAsia="Arial" w:hAnsi="Arial"/>
          <w:sz w:val="18"/>
          <w:szCs w:val="18"/>
          <w:color w:val="auto"/>
        </w:rPr>
      </w:pPr>
    </w:p>
    <w:p>
      <w:pPr>
        <w:ind w:left="340" w:hanging="332"/>
        <w:spacing w:after="0" w:line="265" w:lineRule="auto"/>
        <w:tabs>
          <w:tab w:leader="none" w:pos="335" w:val="left"/>
        </w:tabs>
        <w:numPr>
          <w:ilvl w:val="0"/>
          <w:numId w:val="3"/>
        </w:numPr>
        <w:rPr>
          <w:rFonts w:ascii="Arial" w:cs="Arial" w:eastAsia="Arial" w:hAnsi="Arial"/>
          <w:sz w:val="17"/>
          <w:szCs w:val="17"/>
          <w:color w:val="auto"/>
        </w:rPr>
      </w:pPr>
      <w:r>
        <w:rPr>
          <w:rFonts w:ascii="Arial" w:cs="Arial" w:eastAsia="Arial" w:hAnsi="Arial"/>
          <w:sz w:val="17"/>
          <w:szCs w:val="17"/>
          <w:color w:val="auto"/>
        </w:rPr>
        <w:t>limitations on our ability to declare and pay dividends and other distributions from the Bank to the Holding Company, which could affect Holding Company liquidity, including the ability to pay dividends to shareholders or undertake other capital initiatives, such as share repurchases; and</w:t>
      </w:r>
    </w:p>
    <w:p>
      <w:pPr>
        <w:ind w:left="340" w:hanging="332"/>
        <w:spacing w:after="0" w:line="260"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uncertainties disclosed in documents filed or furnished by us with or to the SEC, any of which could cause actual results to differ materially from future results expressed, implied or otherwise anticipated by such forward-looking statements.</w:t>
      </w:r>
    </w:p>
    <w:p>
      <w:pPr>
        <w:spacing w:after="0" w:line="21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caution readers that the foregoing list of factors is not exclusive, is not necessarily in order of importance and readers should not place undue reliance on forward-looking statements. Additional factors that may cause actual results to differ materially from those contemplated by any forward-looking statements also may be found in our 2020 10-K (including the “Risk Factor” section of that report), Quarterly Reports on Form 10-Q, and Current Reports on Form 8-K filed with the SEC and available at the SEC’s website at http://www.sec.gov. We do not intend to and, except as required by law, hereby disclaim any obligation to update or revise any forward-looking statement contained in this Form 10-Q, which speaks only as of the date hereof, whether as a result of new information, future events, or otherwise. The financial statements and information contained herein have not been reviewed, or confirmed for accuracy or relevance, by the FDIC or any other regulator.</w:t>
      </w:r>
    </w:p>
    <w:p>
      <w:pPr>
        <w:sectPr>
          <w:pgSz w:w="11900" w:h="16838" w:orient="portrait"/>
          <w:cols w:equalWidth="0" w:num="1">
            <w:col w:w="11240"/>
          </w:cols>
          <w:pgMar w:left="320" w:top="931" w:right="339" w:bottom="10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095" w:gutter="0" w:footer="0" w:header="0"/>
          <w:type w:val="continuous"/>
        </w:sectPr>
      </w:pPr>
    </w:p>
    <w:bookmarkStart w:id="4" w:name="page5"/>
    <w:bookmarkEnd w:id="4"/>
    <w:p>
      <w:pPr>
        <w:jc w:val="center"/>
        <w:ind w:right="60"/>
        <w:spacing w:after="0"/>
        <w:rPr>
          <w:sz w:val="20"/>
          <w:szCs w:val="20"/>
          <w:color w:val="auto"/>
        </w:rPr>
      </w:pPr>
      <w:r>
        <w:rPr>
          <w:rFonts w:ascii="Arial" w:cs="Arial" w:eastAsia="Arial" w:hAnsi="Arial"/>
          <w:sz w:val="16"/>
          <w:szCs w:val="16"/>
          <w:b w:val="1"/>
          <w:bCs w:val="1"/>
          <w:color w:val="auto"/>
        </w:rPr>
        <w:t>Part I. FINANCIAL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Financial Statements</w:t>
      </w:r>
    </w:p>
    <w:p>
      <w:pPr>
        <w:spacing w:after="0" w:line="26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 xml:space="preserve">Consolidated Balance Sheets </w:t>
      </w:r>
      <w:r>
        <w:rPr>
          <w:rFonts w:ascii="Arial" w:cs="Arial" w:eastAsia="Arial" w:hAnsi="Arial"/>
          <w:sz w:val="18"/>
          <w:szCs w:val="18"/>
          <w:i w:val="1"/>
          <w:iCs w:val="1"/>
          <w:color w:val="auto"/>
        </w:rPr>
        <w:t>(Unaudited)</w:t>
      </w:r>
    </w:p>
    <w:p>
      <w:pPr>
        <w:spacing w:after="0" w:line="26"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17780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1"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8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w:t>
            </w:r>
          </w:p>
        </w:tc>
        <w:tc>
          <w:tcPr>
            <w:tcW w:w="220" w:type="dxa"/>
            <w:vAlign w:val="bottom"/>
          </w:tcPr>
          <w:p>
            <w:pPr>
              <w:spacing w:after="0"/>
              <w:rPr>
                <w:sz w:val="16"/>
                <w:szCs w:val="16"/>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0"/>
        </w:trPr>
        <w:tc>
          <w:tcPr>
            <w:tcW w:w="8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2"/>
        </w:trPr>
        <w:tc>
          <w:tcPr>
            <w:tcW w:w="8280" w:type="dxa"/>
            <w:vAlign w:val="bottom"/>
          </w:tcPr>
          <w:p>
            <w:pPr>
              <w:ind w:left="100"/>
              <w:spacing w:after="0"/>
              <w:rPr>
                <w:sz w:val="20"/>
                <w:szCs w:val="20"/>
                <w:color w:val="auto"/>
              </w:rPr>
            </w:pPr>
            <w:r>
              <w:rPr>
                <w:rFonts w:ascii="Arial" w:cs="Arial" w:eastAsia="Arial" w:hAnsi="Arial"/>
                <w:sz w:val="16"/>
                <w:szCs w:val="16"/>
                <w:b w:val="1"/>
                <w:bCs w:val="1"/>
                <w:color w:val="auto"/>
              </w:rPr>
              <w:t>ASSETS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due from banks</w:t>
            </w:r>
          </w:p>
        </w:tc>
        <w:tc>
          <w:tcPr>
            <w:tcW w:w="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121,589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148,896</w:t>
            </w:r>
          </w:p>
        </w:tc>
        <w:tc>
          <w:tcPr>
            <w:tcW w:w="0" w:type="dxa"/>
            <w:vAlign w:val="bottom"/>
          </w:tcPr>
          <w:p>
            <w:pPr>
              <w:spacing w:after="0"/>
              <w:rPr>
                <w:sz w:val="1"/>
                <w:szCs w:val="1"/>
                <w:color w:val="auto"/>
              </w:rPr>
            </w:pPr>
          </w:p>
        </w:tc>
      </w:tr>
      <w:tr>
        <w:trPr>
          <w:trHeight w:val="213"/>
        </w:trPr>
        <w:tc>
          <w:tcPr>
            <w:tcW w:w="82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Interest-bearing deposits in banks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1,297,808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1,459,723</w:t>
            </w:r>
          </w:p>
        </w:tc>
        <w:tc>
          <w:tcPr>
            <w:tcW w:w="0" w:type="dxa"/>
            <w:vAlign w:val="bottom"/>
          </w:tcPr>
          <w:p>
            <w:pPr>
              <w:spacing w:after="0"/>
              <w:rPr>
                <w:sz w:val="1"/>
                <w:szCs w:val="1"/>
                <w:color w:val="auto"/>
              </w:rPr>
            </w:pPr>
          </w:p>
        </w:tc>
      </w:tr>
      <w:tr>
        <w:trPr>
          <w:trHeight w:val="213"/>
        </w:trPr>
        <w:tc>
          <w:tcPr>
            <w:tcW w:w="82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Cash and cash equivalents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1,419,397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1,608,619</w:t>
            </w:r>
          </w:p>
        </w:tc>
        <w:tc>
          <w:tcPr>
            <w:tcW w:w="0" w:type="dxa"/>
            <w:vAlign w:val="bottom"/>
          </w:tcPr>
          <w:p>
            <w:pPr>
              <w:spacing w:after="0"/>
              <w:rPr>
                <w:sz w:val="1"/>
                <w:szCs w:val="1"/>
                <w:color w:val="auto"/>
              </w:rPr>
            </w:pPr>
          </w:p>
        </w:tc>
      </w:tr>
      <w:tr>
        <w:trPr>
          <w:trHeight w:val="213"/>
        </w:trPr>
        <w:tc>
          <w:tcPr>
            <w:tcW w:w="8280" w:type="dxa"/>
            <w:vAlign w:val="bottom"/>
          </w:tcPr>
          <w:p>
            <w:pPr>
              <w:ind w:left="220"/>
              <w:spacing w:after="0"/>
              <w:rPr>
                <w:sz w:val="20"/>
                <w:szCs w:val="20"/>
                <w:color w:val="auto"/>
              </w:rPr>
            </w:pPr>
            <w:r>
              <w:rPr>
                <w:rFonts w:ascii="Arial" w:cs="Arial" w:eastAsia="Arial" w:hAnsi="Arial"/>
                <w:sz w:val="16"/>
                <w:szCs w:val="16"/>
                <w:color w:val="auto"/>
              </w:rPr>
              <w:t>Debt securities available-for-sale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4,075,781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3,224,721</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Debt securities held-to-maturity (fair value $861,488 and $437,193, respectively)</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852,404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420,361</w:t>
            </w:r>
          </w:p>
        </w:tc>
        <w:tc>
          <w:tcPr>
            <w:tcW w:w="0" w:type="dxa"/>
            <w:vAlign w:val="bottom"/>
          </w:tcPr>
          <w:p>
            <w:pPr>
              <w:spacing w:after="0"/>
              <w:rPr>
                <w:sz w:val="1"/>
                <w:szCs w:val="1"/>
                <w:color w:val="auto"/>
              </w:rPr>
            </w:pPr>
          </w:p>
        </w:tc>
      </w:tr>
      <w:tr>
        <w:trPr>
          <w:trHeight w:val="213"/>
        </w:trPr>
        <w:tc>
          <w:tcPr>
            <w:tcW w:w="8280" w:type="dxa"/>
            <w:vAlign w:val="bottom"/>
          </w:tcPr>
          <w:p>
            <w:pPr>
              <w:ind w:left="220"/>
              <w:spacing w:after="0"/>
              <w:rPr>
                <w:sz w:val="20"/>
                <w:szCs w:val="20"/>
                <w:color w:val="auto"/>
              </w:rPr>
            </w:pPr>
            <w:r>
              <w:rPr>
                <w:rFonts w:ascii="Arial" w:cs="Arial" w:eastAsia="Arial" w:hAnsi="Arial"/>
                <w:sz w:val="16"/>
                <w:szCs w:val="16"/>
                <w:color w:val="auto"/>
              </w:rPr>
              <w:t>Loans held for sale at fair value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98,194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105,433</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Loans and leases held for investment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11,390,746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11,370,815</w:t>
            </w:r>
          </w:p>
        </w:tc>
        <w:tc>
          <w:tcPr>
            <w:tcW w:w="0" w:type="dxa"/>
            <w:vAlign w:val="bottom"/>
          </w:tcPr>
          <w:p>
            <w:pPr>
              <w:spacing w:after="0"/>
              <w:rPr>
                <w:sz w:val="1"/>
                <w:szCs w:val="1"/>
                <w:color w:val="auto"/>
              </w:rPr>
            </w:pPr>
          </w:p>
        </w:tc>
      </w:tr>
      <w:tr>
        <w:trPr>
          <w:trHeight w:val="213"/>
        </w:trPr>
        <w:tc>
          <w:tcPr>
            <w:tcW w:w="828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Less allowance for credit losses - loans and leases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(111,616)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(137,010)</w:t>
            </w:r>
          </w:p>
        </w:tc>
        <w:tc>
          <w:tcPr>
            <w:tcW w:w="0" w:type="dxa"/>
            <w:vAlign w:val="bottom"/>
          </w:tcPr>
          <w:p>
            <w:pPr>
              <w:spacing w:after="0"/>
              <w:rPr>
                <w:sz w:val="1"/>
                <w:szCs w:val="1"/>
                <w:color w:val="auto"/>
              </w:rPr>
            </w:pPr>
          </w:p>
        </w:tc>
      </w:tr>
      <w:tr>
        <w:trPr>
          <w:trHeight w:val="213"/>
        </w:trPr>
        <w:tc>
          <w:tcPr>
            <w:tcW w:w="82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Loans and leases, net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11,279,130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11,233,805</w:t>
            </w:r>
          </w:p>
        </w:tc>
        <w:tc>
          <w:tcPr>
            <w:tcW w:w="0" w:type="dxa"/>
            <w:vAlign w:val="bottom"/>
          </w:tcPr>
          <w:p>
            <w:pPr>
              <w:spacing w:after="0"/>
              <w:rPr>
                <w:sz w:val="1"/>
                <w:szCs w:val="1"/>
                <w:color w:val="auto"/>
              </w:rPr>
            </w:pPr>
          </w:p>
        </w:tc>
      </w:tr>
      <w:tr>
        <w:trPr>
          <w:trHeight w:val="213"/>
        </w:trPr>
        <w:tc>
          <w:tcPr>
            <w:tcW w:w="8280" w:type="dxa"/>
            <w:vAlign w:val="bottom"/>
          </w:tcPr>
          <w:p>
            <w:pPr>
              <w:ind w:left="220"/>
              <w:spacing w:after="0"/>
              <w:rPr>
                <w:sz w:val="20"/>
                <w:szCs w:val="20"/>
                <w:color w:val="auto"/>
              </w:rPr>
            </w:pPr>
            <w:r>
              <w:rPr>
                <w:rFonts w:ascii="Arial" w:cs="Arial" w:eastAsia="Arial" w:hAnsi="Arial"/>
                <w:sz w:val="16"/>
                <w:szCs w:val="16"/>
                <w:color w:val="auto"/>
              </w:rPr>
              <w:t>Premises and equipment, net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224,980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218,489</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Bank owned life insurance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203,449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201,969</w:t>
            </w:r>
          </w:p>
        </w:tc>
        <w:tc>
          <w:tcPr>
            <w:tcW w:w="0" w:type="dxa"/>
            <w:vAlign w:val="bottom"/>
          </w:tcPr>
          <w:p>
            <w:pPr>
              <w:spacing w:after="0"/>
              <w:rPr>
                <w:sz w:val="1"/>
                <w:szCs w:val="1"/>
                <w:color w:val="auto"/>
              </w:rPr>
            </w:pPr>
          </w:p>
        </w:tc>
      </w:tr>
      <w:tr>
        <w:trPr>
          <w:trHeight w:val="213"/>
        </w:trPr>
        <w:tc>
          <w:tcPr>
            <w:tcW w:w="8280" w:type="dxa"/>
            <w:vAlign w:val="bottom"/>
          </w:tcPr>
          <w:p>
            <w:pPr>
              <w:ind w:left="220"/>
              <w:spacing w:after="0"/>
              <w:rPr>
                <w:sz w:val="20"/>
                <w:szCs w:val="20"/>
                <w:color w:val="auto"/>
              </w:rPr>
            </w:pPr>
            <w:r>
              <w:rPr>
                <w:rFonts w:ascii="Arial" w:cs="Arial" w:eastAsia="Arial" w:hAnsi="Arial"/>
                <w:sz w:val="16"/>
                <w:szCs w:val="16"/>
                <w:color w:val="auto"/>
              </w:rPr>
              <w:t>Accrued interest receivable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43,521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47,672</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deferred tax asset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32,918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38,411</w:t>
            </w:r>
          </w:p>
        </w:tc>
        <w:tc>
          <w:tcPr>
            <w:tcW w:w="0" w:type="dxa"/>
            <w:vAlign w:val="bottom"/>
          </w:tcPr>
          <w:p>
            <w:pPr>
              <w:spacing w:after="0"/>
              <w:rPr>
                <w:sz w:val="1"/>
                <w:szCs w:val="1"/>
                <w:color w:val="auto"/>
              </w:rPr>
            </w:pPr>
          </w:p>
        </w:tc>
      </w:tr>
      <w:tr>
        <w:trPr>
          <w:trHeight w:val="213"/>
        </w:trPr>
        <w:tc>
          <w:tcPr>
            <w:tcW w:w="8280" w:type="dxa"/>
            <w:vAlign w:val="bottom"/>
          </w:tcPr>
          <w:p>
            <w:pPr>
              <w:ind w:left="220"/>
              <w:spacing w:after="0"/>
              <w:rPr>
                <w:sz w:val="20"/>
                <w:szCs w:val="20"/>
                <w:color w:val="auto"/>
              </w:rPr>
            </w:pPr>
            <w:r>
              <w:rPr>
                <w:rFonts w:ascii="Arial" w:cs="Arial" w:eastAsia="Arial" w:hAnsi="Arial"/>
                <w:sz w:val="16"/>
                <w:szCs w:val="16"/>
                <w:color w:val="auto"/>
              </w:rPr>
              <w:t>Derivative financial instruments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58,489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86,666</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Goodwill and other intangible assets, net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379,909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381,823</w:t>
            </w:r>
          </w:p>
        </w:tc>
        <w:tc>
          <w:tcPr>
            <w:tcW w:w="0" w:type="dxa"/>
            <w:vAlign w:val="bottom"/>
          </w:tcPr>
          <w:p>
            <w:pPr>
              <w:spacing w:after="0"/>
              <w:rPr>
                <w:sz w:val="1"/>
                <w:szCs w:val="1"/>
                <w:color w:val="auto"/>
              </w:rPr>
            </w:pPr>
          </w:p>
        </w:tc>
      </w:tr>
      <w:tr>
        <w:trPr>
          <w:trHeight w:val="213"/>
        </w:trPr>
        <w:tc>
          <w:tcPr>
            <w:tcW w:w="82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assets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227,551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226,405</w:t>
            </w:r>
          </w:p>
        </w:tc>
        <w:tc>
          <w:tcPr>
            <w:tcW w:w="0" w:type="dxa"/>
            <w:vAlign w:val="bottom"/>
          </w:tcPr>
          <w:p>
            <w:pPr>
              <w:spacing w:after="0"/>
              <w:rPr>
                <w:sz w:val="1"/>
                <w:szCs w:val="1"/>
                <w:color w:val="auto"/>
              </w:rPr>
            </w:pPr>
          </w:p>
        </w:tc>
      </w:tr>
      <w:tr>
        <w:trPr>
          <w:trHeight w:val="237"/>
        </w:trPr>
        <w:tc>
          <w:tcPr>
            <w:tcW w:w="82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b w:val="1"/>
                <w:bCs w:val="1"/>
                <w:color w:val="auto"/>
              </w:rPr>
              <w:t>Total assets</w:t>
            </w:r>
          </w:p>
        </w:tc>
        <w:tc>
          <w:tcPr>
            <w:tcW w:w="3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18,895,723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17,794,374</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6"/>
                <w:szCs w:val="16"/>
                <w:b w:val="1"/>
                <w:bCs w:val="1"/>
                <w:color w:val="auto"/>
              </w:rPr>
              <w:t>LIABILITIES AND SHAREHOLDERS’ EQUITY</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28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Liabilities: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80" w:type="dxa"/>
            <w:vAlign w:val="bottom"/>
          </w:tcPr>
          <w:p>
            <w:pPr>
              <w:ind w:left="220"/>
              <w:spacing w:after="0"/>
              <w:rPr>
                <w:sz w:val="20"/>
                <w:szCs w:val="20"/>
                <w:color w:val="auto"/>
              </w:rPr>
            </w:pPr>
            <w:r>
              <w:rPr>
                <w:rFonts w:ascii="Arial" w:cs="Arial" w:eastAsia="Arial" w:hAnsi="Arial"/>
                <w:sz w:val="16"/>
                <w:szCs w:val="16"/>
                <w:color w:val="auto"/>
              </w:rPr>
              <w:t>Deposits: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Noninterest-bearing demand</w:t>
            </w:r>
          </w:p>
        </w:tc>
        <w:tc>
          <w:tcPr>
            <w:tcW w:w="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6,260,756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5,390,291</w:t>
            </w:r>
          </w:p>
        </w:tc>
        <w:tc>
          <w:tcPr>
            <w:tcW w:w="0" w:type="dxa"/>
            <w:vAlign w:val="bottom"/>
          </w:tcPr>
          <w:p>
            <w:pPr>
              <w:spacing w:after="0"/>
              <w:rPr>
                <w:sz w:val="1"/>
                <w:szCs w:val="1"/>
                <w:color w:val="auto"/>
              </w:rPr>
            </w:pPr>
          </w:p>
        </w:tc>
      </w:tr>
      <w:tr>
        <w:trPr>
          <w:trHeight w:val="213"/>
        </w:trPr>
        <w:tc>
          <w:tcPr>
            <w:tcW w:w="828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Interest-bearing deposits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10,067,011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9,842,067</w:t>
            </w:r>
          </w:p>
        </w:tc>
        <w:tc>
          <w:tcPr>
            <w:tcW w:w="0" w:type="dxa"/>
            <w:vAlign w:val="bottom"/>
          </w:tcPr>
          <w:p>
            <w:pPr>
              <w:spacing w:after="0"/>
              <w:rPr>
                <w:sz w:val="1"/>
                <w:szCs w:val="1"/>
                <w:color w:val="auto"/>
              </w:rPr>
            </w:pPr>
          </w:p>
        </w:tc>
      </w:tr>
      <w:tr>
        <w:trPr>
          <w:trHeight w:val="213"/>
        </w:trPr>
        <w:tc>
          <w:tcPr>
            <w:tcW w:w="82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Total deposits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16,327,767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15,232,358</w:t>
            </w:r>
          </w:p>
        </w:tc>
        <w:tc>
          <w:tcPr>
            <w:tcW w:w="0" w:type="dxa"/>
            <w:vAlign w:val="bottom"/>
          </w:tcPr>
          <w:p>
            <w:pPr>
              <w:spacing w:after="0"/>
              <w:rPr>
                <w:sz w:val="1"/>
                <w:szCs w:val="1"/>
                <w:color w:val="auto"/>
              </w:rPr>
            </w:pPr>
          </w:p>
        </w:tc>
      </w:tr>
      <w:tr>
        <w:trPr>
          <w:trHeight w:val="213"/>
        </w:trPr>
        <w:tc>
          <w:tcPr>
            <w:tcW w:w="8280" w:type="dxa"/>
            <w:vAlign w:val="bottom"/>
          </w:tcPr>
          <w:p>
            <w:pPr>
              <w:ind w:left="220"/>
              <w:spacing w:after="0"/>
              <w:rPr>
                <w:sz w:val="20"/>
                <w:szCs w:val="20"/>
                <w:color w:val="auto"/>
              </w:rPr>
            </w:pPr>
            <w:r>
              <w:rPr>
                <w:rFonts w:ascii="Arial" w:cs="Arial" w:eastAsia="Arial" w:hAnsi="Arial"/>
                <w:sz w:val="16"/>
                <w:szCs w:val="16"/>
                <w:color w:val="auto"/>
              </w:rPr>
              <w:t>Long-term debt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261,919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326,956</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Derivative financial instruments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27,089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29,003</w:t>
            </w:r>
          </w:p>
        </w:tc>
        <w:tc>
          <w:tcPr>
            <w:tcW w:w="0" w:type="dxa"/>
            <w:vAlign w:val="bottom"/>
          </w:tcPr>
          <w:p>
            <w:pPr>
              <w:spacing w:after="0"/>
              <w:rPr>
                <w:sz w:val="1"/>
                <w:szCs w:val="1"/>
                <w:color w:val="auto"/>
              </w:rPr>
            </w:pPr>
          </w:p>
        </w:tc>
      </w:tr>
      <w:tr>
        <w:trPr>
          <w:trHeight w:val="213"/>
        </w:trPr>
        <w:tc>
          <w:tcPr>
            <w:tcW w:w="82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Accrued expenses and other liabilities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192,662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198,527</w:t>
            </w:r>
          </w:p>
        </w:tc>
        <w:tc>
          <w:tcPr>
            <w:tcW w:w="0" w:type="dxa"/>
            <w:vAlign w:val="bottom"/>
          </w:tcPr>
          <w:p>
            <w:pPr>
              <w:spacing w:after="0"/>
              <w:rPr>
                <w:sz w:val="1"/>
                <w:szCs w:val="1"/>
                <w:color w:val="auto"/>
              </w:rPr>
            </w:pPr>
          </w:p>
        </w:tc>
      </w:tr>
      <w:tr>
        <w:trPr>
          <w:trHeight w:val="213"/>
        </w:trPr>
        <w:tc>
          <w:tcPr>
            <w:tcW w:w="8280" w:type="dxa"/>
            <w:vAlign w:val="bottom"/>
            <w:shd w:val="clear" w:color="auto" w:fill="CCEEFF"/>
          </w:tcPr>
          <w:p>
            <w:pPr>
              <w:ind w:left="440"/>
              <w:spacing w:after="0"/>
              <w:rPr>
                <w:sz w:val="20"/>
                <w:szCs w:val="20"/>
                <w:color w:val="auto"/>
              </w:rPr>
            </w:pPr>
            <w:r>
              <w:rPr>
                <w:rFonts w:ascii="Arial" w:cs="Arial" w:eastAsia="Arial" w:hAnsi="Arial"/>
                <w:sz w:val="16"/>
                <w:szCs w:val="16"/>
                <w:b w:val="1"/>
                <w:bCs w:val="1"/>
                <w:color w:val="auto"/>
              </w:rPr>
              <w:t>Total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16,809,437</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15,786,844</w:t>
            </w:r>
          </w:p>
        </w:tc>
        <w:tc>
          <w:tcPr>
            <w:tcW w:w="0" w:type="dxa"/>
            <w:vAlign w:val="bottom"/>
          </w:tcPr>
          <w:p>
            <w:pPr>
              <w:spacing w:after="0"/>
              <w:rPr>
                <w:sz w:val="1"/>
                <w:szCs w:val="1"/>
                <w:color w:val="auto"/>
              </w:rPr>
            </w:pPr>
          </w:p>
        </w:tc>
      </w:tr>
      <w:tr>
        <w:trPr>
          <w:trHeight w:val="193"/>
        </w:trPr>
        <w:tc>
          <w:tcPr>
            <w:tcW w:w="8280" w:type="dxa"/>
            <w:vAlign w:val="bottom"/>
          </w:tcPr>
          <w:p>
            <w:pPr>
              <w:ind w:left="100"/>
              <w:spacing w:after="0"/>
              <w:rPr>
                <w:sz w:val="20"/>
                <w:szCs w:val="20"/>
                <w:color w:val="auto"/>
              </w:rPr>
            </w:pPr>
            <w:r>
              <w:rPr>
                <w:rFonts w:ascii="Arial" w:cs="Arial" w:eastAsia="Arial" w:hAnsi="Arial"/>
                <w:sz w:val="16"/>
                <w:szCs w:val="16"/>
                <w:color w:val="auto"/>
              </w:rPr>
              <w:t>Shareholders' equity:</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8280" w:type="dxa"/>
            <w:vAlign w:val="bottom"/>
            <w:shd w:val="clear" w:color="auto" w:fill="CCEEFF"/>
          </w:tcPr>
          <w:p>
            <w:pPr>
              <w:ind w:left="220"/>
              <w:spacing w:after="0" w:line="169" w:lineRule="exact"/>
              <w:rPr>
                <w:sz w:val="20"/>
                <w:szCs w:val="20"/>
                <w:color w:val="auto"/>
              </w:rPr>
            </w:pPr>
            <w:r>
              <w:rPr>
                <w:rFonts w:ascii="Arial" w:cs="Arial" w:eastAsia="Arial" w:hAnsi="Arial"/>
                <w:sz w:val="16"/>
                <w:szCs w:val="16"/>
                <w:color w:val="auto"/>
                <w:w w:val="96"/>
              </w:rPr>
              <w:t>Preferred stock, $1 par value: 10,000,000 shares authorized; Series I, $25,000 per share liquidation preference; 4,000</w:t>
            </w:r>
          </w:p>
        </w:tc>
        <w:tc>
          <w:tcPr>
            <w:tcW w:w="3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96,422</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96,422</w:t>
            </w:r>
          </w:p>
        </w:tc>
        <w:tc>
          <w:tcPr>
            <w:tcW w:w="0" w:type="dxa"/>
            <w:vAlign w:val="bottom"/>
          </w:tcPr>
          <w:p>
            <w:pPr>
              <w:spacing w:after="0"/>
              <w:rPr>
                <w:sz w:val="1"/>
                <w:szCs w:val="1"/>
                <w:color w:val="auto"/>
              </w:rPr>
            </w:pPr>
          </w:p>
        </w:tc>
      </w:tr>
      <w:tr>
        <w:trPr>
          <w:trHeight w:val="212"/>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shares issued and outstanding</w:t>
            </w:r>
          </w:p>
        </w:tc>
        <w:tc>
          <w:tcPr>
            <w:tcW w:w="32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8280" w:type="dxa"/>
            <w:vAlign w:val="bottom"/>
          </w:tcPr>
          <w:p>
            <w:pPr>
              <w:ind w:left="220"/>
              <w:spacing w:after="0" w:line="166" w:lineRule="exact"/>
              <w:rPr>
                <w:sz w:val="20"/>
                <w:szCs w:val="20"/>
                <w:color w:val="auto"/>
              </w:rPr>
            </w:pPr>
            <w:r>
              <w:rPr>
                <w:rFonts w:ascii="Arial" w:cs="Arial" w:eastAsia="Arial" w:hAnsi="Arial"/>
                <w:sz w:val="16"/>
                <w:szCs w:val="16"/>
                <w:color w:val="auto"/>
                <w:w w:val="93"/>
              </w:rPr>
              <w:t>Common stock, $1 par value: 200,000,000 and 150,000,000 shares authorized, respectively; 86,664,894 and 86,675,279</w:t>
            </w:r>
          </w:p>
        </w:tc>
        <w:tc>
          <w:tcPr>
            <w:tcW w:w="3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86,665</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86,675</w:t>
            </w:r>
          </w:p>
        </w:tc>
        <w:tc>
          <w:tcPr>
            <w:tcW w:w="0" w:type="dxa"/>
            <w:vAlign w:val="bottom"/>
          </w:tcPr>
          <w:p>
            <w:pPr>
              <w:spacing w:after="0"/>
              <w:rPr>
                <w:sz w:val="1"/>
                <w:szCs w:val="1"/>
                <w:color w:val="auto"/>
              </w:rPr>
            </w:pPr>
          </w:p>
        </w:tc>
      </w:tr>
      <w:tr>
        <w:trPr>
          <w:trHeight w:val="209"/>
        </w:trPr>
        <w:tc>
          <w:tcPr>
            <w:tcW w:w="8280" w:type="dxa"/>
            <w:vAlign w:val="bottom"/>
          </w:tcPr>
          <w:p>
            <w:pPr>
              <w:ind w:left="140"/>
              <w:spacing w:after="0"/>
              <w:rPr>
                <w:sz w:val="20"/>
                <w:szCs w:val="20"/>
                <w:color w:val="auto"/>
              </w:rPr>
            </w:pPr>
            <w:r>
              <w:rPr>
                <w:rFonts w:ascii="Arial" w:cs="Arial" w:eastAsia="Arial" w:hAnsi="Arial"/>
                <w:sz w:val="16"/>
                <w:szCs w:val="16"/>
                <w:color w:val="auto"/>
              </w:rPr>
              <w:t>shares issued and outstanding, respectively</w:t>
            </w:r>
          </w:p>
        </w:tc>
        <w:tc>
          <w:tcPr>
            <w:tcW w:w="3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Common stock issuable: 571,580 and 600,834 shares, respectively</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10,650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10,855</w:t>
            </w:r>
          </w:p>
        </w:tc>
        <w:tc>
          <w:tcPr>
            <w:tcW w:w="0" w:type="dxa"/>
            <w:vAlign w:val="bottom"/>
          </w:tcPr>
          <w:p>
            <w:pPr>
              <w:spacing w:after="0"/>
              <w:rPr>
                <w:sz w:val="1"/>
                <w:szCs w:val="1"/>
                <w:color w:val="auto"/>
              </w:rPr>
            </w:pPr>
          </w:p>
        </w:tc>
      </w:tr>
      <w:tr>
        <w:trPr>
          <w:trHeight w:val="213"/>
        </w:trPr>
        <w:tc>
          <w:tcPr>
            <w:tcW w:w="8280" w:type="dxa"/>
            <w:vAlign w:val="bottom"/>
          </w:tcPr>
          <w:p>
            <w:pPr>
              <w:ind w:left="220"/>
              <w:spacing w:after="0"/>
              <w:rPr>
                <w:sz w:val="20"/>
                <w:szCs w:val="20"/>
                <w:color w:val="auto"/>
              </w:rPr>
            </w:pPr>
            <w:r>
              <w:rPr>
                <w:rFonts w:ascii="Arial" w:cs="Arial" w:eastAsia="Arial" w:hAnsi="Arial"/>
                <w:sz w:val="16"/>
                <w:szCs w:val="16"/>
                <w:color w:val="auto"/>
              </w:rPr>
              <w:t>Capital surplus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1,636,875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1,638,999</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Retained earnings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244,006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136,869</w:t>
            </w:r>
          </w:p>
        </w:tc>
        <w:tc>
          <w:tcPr>
            <w:tcW w:w="0" w:type="dxa"/>
            <w:vAlign w:val="bottom"/>
          </w:tcPr>
          <w:p>
            <w:pPr>
              <w:spacing w:after="0"/>
              <w:rPr>
                <w:sz w:val="1"/>
                <w:szCs w:val="1"/>
                <w:color w:val="auto"/>
              </w:rPr>
            </w:pPr>
          </w:p>
        </w:tc>
      </w:tr>
      <w:tr>
        <w:trPr>
          <w:trHeight w:val="213"/>
        </w:trPr>
        <w:tc>
          <w:tcPr>
            <w:tcW w:w="82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Accumulated other comprehensive income</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11,668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37,710</w:t>
            </w:r>
          </w:p>
        </w:tc>
        <w:tc>
          <w:tcPr>
            <w:tcW w:w="0" w:type="dxa"/>
            <w:vAlign w:val="bottom"/>
          </w:tcPr>
          <w:p>
            <w:pPr>
              <w:spacing w:after="0"/>
              <w:rPr>
                <w:sz w:val="1"/>
                <w:szCs w:val="1"/>
                <w:color w:val="auto"/>
              </w:rPr>
            </w:pPr>
          </w:p>
        </w:tc>
      </w:tr>
      <w:tr>
        <w:trPr>
          <w:trHeight w:val="210"/>
        </w:trPr>
        <w:tc>
          <w:tcPr>
            <w:tcW w:w="8280" w:type="dxa"/>
            <w:vAlign w:val="bottom"/>
            <w:shd w:val="clear" w:color="auto" w:fill="CCEEFF"/>
          </w:tcPr>
          <w:p>
            <w:pPr>
              <w:ind w:left="320"/>
              <w:spacing w:after="0"/>
              <w:rPr>
                <w:sz w:val="20"/>
                <w:szCs w:val="20"/>
                <w:color w:val="auto"/>
              </w:rPr>
            </w:pPr>
            <w:r>
              <w:rPr>
                <w:rFonts w:ascii="Arial" w:cs="Arial" w:eastAsia="Arial" w:hAnsi="Arial"/>
                <w:sz w:val="16"/>
                <w:szCs w:val="16"/>
                <w:b w:val="1"/>
                <w:bCs w:val="1"/>
                <w:color w:val="auto"/>
              </w:rPr>
              <w:t>Total shareholders' equity</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2,086,286</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2,007,530</w:t>
            </w:r>
          </w:p>
        </w:tc>
        <w:tc>
          <w:tcPr>
            <w:tcW w:w="0" w:type="dxa"/>
            <w:vAlign w:val="bottom"/>
          </w:tcPr>
          <w:p>
            <w:pPr>
              <w:spacing w:after="0"/>
              <w:rPr>
                <w:sz w:val="1"/>
                <w:szCs w:val="1"/>
                <w:color w:val="auto"/>
              </w:rPr>
            </w:pPr>
          </w:p>
        </w:tc>
      </w:tr>
      <w:tr>
        <w:trPr>
          <w:trHeight w:val="213"/>
        </w:trPr>
        <w:tc>
          <w:tcPr>
            <w:tcW w:w="8280" w:type="dxa"/>
            <w:vAlign w:val="bottom"/>
          </w:tcPr>
          <w:p>
            <w:pPr>
              <w:ind w:left="320"/>
              <w:spacing w:after="0"/>
              <w:rPr>
                <w:sz w:val="20"/>
                <w:szCs w:val="20"/>
                <w:color w:val="auto"/>
              </w:rPr>
            </w:pPr>
            <w:r>
              <w:rPr>
                <w:rFonts w:ascii="Arial" w:cs="Arial" w:eastAsia="Arial" w:hAnsi="Arial"/>
                <w:sz w:val="16"/>
                <w:szCs w:val="16"/>
                <w:b w:val="1"/>
                <w:bCs w:val="1"/>
                <w:color w:val="auto"/>
              </w:rPr>
              <w:t>Total liabilities and shareholders' equity</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18,895,723</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17,794,374</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See accompanying notes to consolidated financial statements (unaudited).</w:t>
      </w:r>
    </w:p>
    <w:p>
      <w:pPr>
        <w:spacing w:after="0" w:line="200" w:lineRule="exact"/>
        <w:rPr>
          <w:sz w:val="20"/>
          <w:szCs w:val="20"/>
          <w:color w:val="auto"/>
        </w:rPr>
      </w:pPr>
    </w:p>
    <w:p>
      <w:pPr>
        <w:spacing w:after="0" w:line="39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936" w:right="279" w:bottom="1440" w:gutter="0" w:footer="0" w:header="0"/>
        </w:sectPr>
      </w:pPr>
    </w:p>
    <w:bookmarkStart w:id="5" w:name="page6"/>
    <w:bookmarkEnd w:id="5"/>
    <w:p>
      <w:pPr>
        <w:ind w:left="20"/>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Consolidated Statements of Income </w:t>
      </w:r>
      <w:r>
        <w:rPr>
          <w:rFonts w:ascii="Arial" w:cs="Arial" w:eastAsia="Arial" w:hAnsi="Arial"/>
          <w:sz w:val="16"/>
          <w:szCs w:val="16"/>
          <w:i w:val="1"/>
          <w:iCs w:val="1"/>
          <w:color w:val="auto"/>
        </w:rPr>
        <w:t>(Unaudited)</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5"/>
          <w:szCs w:val="15"/>
          <w:i w:val="1"/>
          <w:iCs w:val="1"/>
          <w:color w:val="auto"/>
        </w:rPr>
        <w:t>(in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20" w:type="dxa"/>
            <w:vAlign w:val="bottom"/>
            <w:gridSpan w:val="5"/>
          </w:tcPr>
          <w:p>
            <w:pPr>
              <w:ind w:left="320"/>
              <w:spacing w:after="0"/>
              <w:rPr>
                <w:sz w:val="20"/>
                <w:szCs w:val="20"/>
                <w:color w:val="auto"/>
              </w:rPr>
            </w:pPr>
            <w:r>
              <w:rPr>
                <w:rFonts w:ascii="Arial" w:cs="Arial" w:eastAsia="Arial" w:hAnsi="Arial"/>
                <w:sz w:val="15"/>
                <w:szCs w:val="15"/>
                <w:b w:val="1"/>
                <w:bCs w:val="1"/>
                <w:color w:val="auto"/>
              </w:rPr>
              <w:t>Three Months Ended</w:t>
            </w:r>
          </w:p>
        </w:tc>
        <w:tc>
          <w:tcPr>
            <w:tcW w:w="280" w:type="dxa"/>
            <w:vAlign w:val="bottom"/>
          </w:tcPr>
          <w:p>
            <w:pPr>
              <w:spacing w:after="0"/>
              <w:rPr>
                <w:sz w:val="14"/>
                <w:szCs w:val="14"/>
                <w:color w:val="auto"/>
              </w:rPr>
            </w:pPr>
          </w:p>
        </w:tc>
        <w:tc>
          <w:tcPr>
            <w:tcW w:w="2340" w:type="dxa"/>
            <w:vAlign w:val="bottom"/>
            <w:gridSpan w:val="4"/>
          </w:tcPr>
          <w:p>
            <w:pPr>
              <w:jc w:val="right"/>
              <w:ind w:right="628"/>
              <w:spacing w:after="0"/>
              <w:rPr>
                <w:sz w:val="20"/>
                <w:szCs w:val="20"/>
                <w:color w:val="auto"/>
              </w:rPr>
            </w:pPr>
            <w:r>
              <w:rPr>
                <w:rFonts w:ascii="Arial" w:cs="Arial" w:eastAsia="Arial" w:hAnsi="Arial"/>
                <w:sz w:val="15"/>
                <w:szCs w:val="15"/>
                <w:b w:val="1"/>
                <w:bCs w:val="1"/>
                <w:color w:val="auto"/>
              </w:rPr>
              <w:t>Six Months Ended</w:t>
            </w:r>
          </w:p>
        </w:tc>
        <w:tc>
          <w:tcPr>
            <w:tcW w:w="0" w:type="dxa"/>
            <w:vAlign w:val="bottom"/>
          </w:tcPr>
          <w:p>
            <w:pPr>
              <w:spacing w:after="0"/>
              <w:rPr>
                <w:sz w:val="1"/>
                <w:szCs w:val="1"/>
                <w:color w:val="auto"/>
              </w:rPr>
            </w:pPr>
          </w:p>
        </w:tc>
      </w:tr>
      <w:tr>
        <w:trPr>
          <w:trHeight w:val="200"/>
        </w:trPr>
        <w:tc>
          <w:tcPr>
            <w:tcW w:w="59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5"/>
                <w:szCs w:val="15"/>
                <w:b w:val="1"/>
                <w:bCs w:val="1"/>
                <w:color w:val="auto"/>
              </w:rPr>
              <w:t>June 30,</w:t>
            </w: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5"/>
                <w:szCs w:val="15"/>
                <w:b w:val="1"/>
                <w:bCs w:val="1"/>
                <w:color w:val="auto"/>
              </w:rPr>
              <w:t>June 30,</w:t>
            </w: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9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5"/>
                <w:szCs w:val="15"/>
                <w:b w:val="1"/>
                <w:bCs w:val="1"/>
                <w:color w:val="auto"/>
              </w:rPr>
              <w:t>2021</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08"/>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08"/>
              <w:spacing w:after="0"/>
              <w:rPr>
                <w:sz w:val="20"/>
                <w:szCs w:val="20"/>
                <w:color w:val="auto"/>
              </w:rPr>
            </w:pPr>
            <w:r>
              <w:rPr>
                <w:rFonts w:ascii="Arial" w:cs="Arial" w:eastAsia="Arial" w:hAnsi="Arial"/>
                <w:sz w:val="15"/>
                <w:szCs w:val="15"/>
                <w:b w:val="1"/>
                <w:bCs w:val="1"/>
                <w:color w:val="auto"/>
              </w:rPr>
              <w:t>2020</w:t>
            </w:r>
          </w:p>
        </w:tc>
        <w:tc>
          <w:tcPr>
            <w:tcW w:w="0" w:type="dxa"/>
            <w:vAlign w:val="bottom"/>
          </w:tcPr>
          <w:p>
            <w:pPr>
              <w:spacing w:after="0"/>
              <w:rPr>
                <w:sz w:val="1"/>
                <w:szCs w:val="1"/>
                <w:color w:val="auto"/>
              </w:rPr>
            </w:pPr>
          </w:p>
        </w:tc>
      </w:tr>
      <w:tr>
        <w:trPr>
          <w:trHeight w:val="181"/>
        </w:trPr>
        <w:tc>
          <w:tcPr>
            <w:tcW w:w="5920" w:type="dxa"/>
            <w:vAlign w:val="bottom"/>
          </w:tcPr>
          <w:p>
            <w:pPr>
              <w:ind w:left="20"/>
              <w:spacing w:after="0"/>
              <w:rPr>
                <w:sz w:val="20"/>
                <w:szCs w:val="20"/>
                <w:color w:val="auto"/>
              </w:rPr>
            </w:pPr>
            <w:r>
              <w:rPr>
                <w:rFonts w:ascii="Arial" w:cs="Arial" w:eastAsia="Arial" w:hAnsi="Arial"/>
                <w:sz w:val="14"/>
                <w:szCs w:val="14"/>
                <w:b w:val="1"/>
                <w:bCs w:val="1"/>
                <w:color w:val="auto"/>
              </w:rPr>
              <w:t>Interest revenue:</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Loans, including fees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128,058</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107,862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253,784</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225,925</w:t>
            </w:r>
          </w:p>
        </w:tc>
        <w:tc>
          <w:tcPr>
            <w:tcW w:w="0" w:type="dxa"/>
            <w:vAlign w:val="bottom"/>
          </w:tcPr>
          <w:p>
            <w:pPr>
              <w:spacing w:after="0"/>
              <w:rPr>
                <w:sz w:val="1"/>
                <w:szCs w:val="1"/>
                <w:color w:val="auto"/>
              </w:rPr>
            </w:pPr>
          </w:p>
        </w:tc>
      </w:tr>
      <w:tr>
        <w:trPr>
          <w:trHeight w:val="135"/>
        </w:trPr>
        <w:tc>
          <w:tcPr>
            <w:tcW w:w="5920" w:type="dxa"/>
            <w:vAlign w:val="bottom"/>
          </w:tcPr>
          <w:p>
            <w:pPr>
              <w:ind w:left="140"/>
              <w:spacing w:after="0" w:line="135" w:lineRule="exact"/>
              <w:rPr>
                <w:sz w:val="20"/>
                <w:szCs w:val="20"/>
                <w:color w:val="auto"/>
              </w:rPr>
            </w:pPr>
            <w:r>
              <w:rPr>
                <w:rFonts w:ascii="Arial" w:cs="Arial" w:eastAsia="Arial" w:hAnsi="Arial"/>
                <w:sz w:val="14"/>
                <w:szCs w:val="14"/>
                <w:color w:val="auto"/>
              </w:rPr>
              <w:t>Investment securities, including tax exempt of $2,255 and $1,570 and $4,405 and $3,093,</w:t>
            </w:r>
          </w:p>
        </w:tc>
        <w:tc>
          <w:tcPr>
            <w:tcW w:w="28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17,542</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15,615</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32,990</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33,009</w:t>
            </w:r>
          </w:p>
        </w:tc>
        <w:tc>
          <w:tcPr>
            <w:tcW w:w="0" w:type="dxa"/>
            <w:vAlign w:val="bottom"/>
          </w:tcPr>
          <w:p>
            <w:pPr>
              <w:spacing w:after="0"/>
              <w:rPr>
                <w:sz w:val="1"/>
                <w:szCs w:val="1"/>
                <w:color w:val="auto"/>
              </w:rPr>
            </w:pPr>
          </w:p>
        </w:tc>
      </w:tr>
      <w:tr>
        <w:trPr>
          <w:trHeight w:val="186"/>
        </w:trPr>
        <w:tc>
          <w:tcPr>
            <w:tcW w:w="5920" w:type="dxa"/>
            <w:vAlign w:val="bottom"/>
          </w:tcPr>
          <w:p>
            <w:pPr>
              <w:ind w:left="140"/>
              <w:spacing w:after="0"/>
              <w:rPr>
                <w:sz w:val="20"/>
                <w:szCs w:val="20"/>
                <w:color w:val="auto"/>
              </w:rPr>
            </w:pPr>
            <w:r>
              <w:rPr>
                <w:rFonts w:ascii="Arial" w:cs="Arial" w:eastAsia="Arial" w:hAnsi="Arial"/>
                <w:sz w:val="14"/>
                <w:szCs w:val="14"/>
                <w:color w:val="auto"/>
              </w:rPr>
              <w:t>respectively</w:t>
            </w: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Deposits in banks and short-term investments</w:t>
            </w: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577</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1,218</w:t>
            </w:r>
          </w:p>
        </w:tc>
        <w:tc>
          <w:tcPr>
            <w:tcW w:w="0" w:type="dxa"/>
            <w:vAlign w:val="bottom"/>
          </w:tcPr>
          <w:p>
            <w:pPr>
              <w:spacing w:after="0"/>
              <w:rPr>
                <w:sz w:val="1"/>
                <w:szCs w:val="1"/>
                <w:color w:val="auto"/>
              </w:rPr>
            </w:pPr>
          </w:p>
        </w:tc>
      </w:tr>
      <w:tr>
        <w:trPr>
          <w:trHeight w:val="179"/>
        </w:trPr>
        <w:tc>
          <w:tcPr>
            <w:tcW w:w="592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Total interest revenue</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145,809</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123,605</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287,351</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260,152</w:t>
            </w:r>
          </w:p>
        </w:tc>
        <w:tc>
          <w:tcPr>
            <w:tcW w:w="0" w:type="dxa"/>
            <w:vAlign w:val="bottom"/>
          </w:tcPr>
          <w:p>
            <w:pPr>
              <w:spacing w:after="0"/>
              <w:rPr>
                <w:sz w:val="1"/>
                <w:szCs w:val="1"/>
                <w:color w:val="auto"/>
              </w:rPr>
            </w:pPr>
          </w:p>
        </w:tc>
      </w:tr>
      <w:tr>
        <w:trPr>
          <w:trHeight w:val="186"/>
        </w:trPr>
        <w:tc>
          <w:tcPr>
            <w:tcW w:w="59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920" w:type="dxa"/>
            <w:vAlign w:val="bottom"/>
          </w:tcPr>
          <w:p>
            <w:pPr>
              <w:ind w:left="20"/>
              <w:spacing w:after="0"/>
              <w:rPr>
                <w:sz w:val="20"/>
                <w:szCs w:val="20"/>
                <w:color w:val="auto"/>
              </w:rPr>
            </w:pPr>
            <w:r>
              <w:rPr>
                <w:rFonts w:ascii="Arial" w:cs="Arial" w:eastAsia="Arial" w:hAnsi="Arial"/>
                <w:sz w:val="14"/>
                <w:szCs w:val="14"/>
                <w:b w:val="1"/>
                <w:bCs w:val="1"/>
                <w:color w:val="auto"/>
              </w:rPr>
              <w:t>Interest expense:</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Deposits</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3,620</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11,271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8,839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26,346</w:t>
            </w:r>
          </w:p>
        </w:tc>
        <w:tc>
          <w:tcPr>
            <w:tcW w:w="0" w:type="dxa"/>
            <w:vAlign w:val="bottom"/>
          </w:tcPr>
          <w:p>
            <w:pPr>
              <w:spacing w:after="0"/>
              <w:rPr>
                <w:sz w:val="1"/>
                <w:szCs w:val="1"/>
                <w:color w:val="auto"/>
              </w:rPr>
            </w:pPr>
          </w:p>
        </w:tc>
      </w:tr>
      <w:tr>
        <w:trPr>
          <w:trHeight w:val="186"/>
        </w:trPr>
        <w:tc>
          <w:tcPr>
            <w:tcW w:w="5920" w:type="dxa"/>
            <w:vAlign w:val="bottom"/>
          </w:tcPr>
          <w:p>
            <w:pPr>
              <w:ind w:left="140"/>
              <w:spacing w:after="0"/>
              <w:rPr>
                <w:sz w:val="20"/>
                <w:szCs w:val="20"/>
                <w:color w:val="auto"/>
              </w:rPr>
            </w:pPr>
            <w:r>
              <w:rPr>
                <w:rFonts w:ascii="Arial" w:cs="Arial" w:eastAsia="Arial" w:hAnsi="Arial"/>
                <w:sz w:val="14"/>
                <w:szCs w:val="14"/>
                <w:color w:val="auto"/>
              </w:rPr>
              <w:t>Short-term borrowings</w:t>
            </w:r>
          </w:p>
        </w:tc>
        <w:tc>
          <w:tcPr>
            <w:tcW w:w="28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2"/>
        </w:trPr>
        <w:tc>
          <w:tcPr>
            <w:tcW w:w="5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Long-term debt</w:t>
            </w: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3,813</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3,030</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8,070</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5,894</w:t>
            </w:r>
          </w:p>
        </w:tc>
        <w:tc>
          <w:tcPr>
            <w:tcW w:w="0" w:type="dxa"/>
            <w:vAlign w:val="bottom"/>
          </w:tcPr>
          <w:p>
            <w:pPr>
              <w:spacing w:after="0"/>
              <w:rPr>
                <w:sz w:val="1"/>
                <w:szCs w:val="1"/>
                <w:color w:val="auto"/>
              </w:rPr>
            </w:pPr>
          </w:p>
        </w:tc>
      </w:tr>
      <w:tr>
        <w:trPr>
          <w:trHeight w:val="179"/>
        </w:trPr>
        <w:tc>
          <w:tcPr>
            <w:tcW w:w="59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Total interest expense</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7,433</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14,301</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16,911</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32,242</w:t>
            </w:r>
          </w:p>
        </w:tc>
        <w:tc>
          <w:tcPr>
            <w:tcW w:w="0" w:type="dxa"/>
            <w:vAlign w:val="bottom"/>
          </w:tcPr>
          <w:p>
            <w:pPr>
              <w:spacing w:after="0"/>
              <w:rPr>
                <w:sz w:val="1"/>
                <w:szCs w:val="1"/>
                <w:color w:val="auto"/>
              </w:rPr>
            </w:pPr>
          </w:p>
        </w:tc>
      </w:tr>
      <w:tr>
        <w:trPr>
          <w:trHeight w:val="186"/>
        </w:trPr>
        <w:tc>
          <w:tcPr>
            <w:tcW w:w="59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interest revenue</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138,376</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109,304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270,440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227,910</w:t>
            </w:r>
          </w:p>
        </w:tc>
        <w:tc>
          <w:tcPr>
            <w:tcW w:w="0" w:type="dxa"/>
            <w:vAlign w:val="bottom"/>
          </w:tcPr>
          <w:p>
            <w:pPr>
              <w:spacing w:after="0"/>
              <w:rPr>
                <w:sz w:val="1"/>
                <w:szCs w:val="1"/>
                <w:color w:val="auto"/>
              </w:rPr>
            </w:pPr>
          </w:p>
        </w:tc>
      </w:tr>
      <w:tr>
        <w:trPr>
          <w:trHeight w:val="186"/>
        </w:trPr>
        <w:tc>
          <w:tcPr>
            <w:tcW w:w="59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(Release of) provision for credit losses</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(13,588)</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33,543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(25,869)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55,734</w:t>
            </w:r>
          </w:p>
        </w:tc>
        <w:tc>
          <w:tcPr>
            <w:tcW w:w="0" w:type="dxa"/>
            <w:vAlign w:val="bottom"/>
          </w:tcPr>
          <w:p>
            <w:pPr>
              <w:spacing w:after="0"/>
              <w:rPr>
                <w:sz w:val="1"/>
                <w:szCs w:val="1"/>
                <w:color w:val="auto"/>
              </w:rPr>
            </w:pPr>
          </w:p>
        </w:tc>
      </w:tr>
      <w:tr>
        <w:trPr>
          <w:trHeight w:val="183"/>
        </w:trPr>
        <w:tc>
          <w:tcPr>
            <w:tcW w:w="59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interest revenue after provision for credit losses</w:t>
            </w: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151,964</w:t>
            </w:r>
          </w:p>
        </w:tc>
        <w:tc>
          <w:tcPr>
            <w:tcW w:w="1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75,761</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296,309</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172,176</w:t>
            </w:r>
          </w:p>
        </w:tc>
        <w:tc>
          <w:tcPr>
            <w:tcW w:w="0" w:type="dxa"/>
            <w:vAlign w:val="bottom"/>
          </w:tcPr>
          <w:p>
            <w:pPr>
              <w:spacing w:after="0"/>
              <w:rPr>
                <w:sz w:val="1"/>
                <w:szCs w:val="1"/>
                <w:color w:val="auto"/>
              </w:rPr>
            </w:pPr>
          </w:p>
        </w:tc>
      </w:tr>
      <w:tr>
        <w:trPr>
          <w:trHeight w:val="186"/>
        </w:trPr>
        <w:tc>
          <w:tcPr>
            <w:tcW w:w="5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Noninterest income:</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920" w:type="dxa"/>
            <w:vAlign w:val="bottom"/>
          </w:tcPr>
          <w:p>
            <w:pPr>
              <w:ind w:left="140"/>
              <w:spacing w:after="0"/>
              <w:rPr>
                <w:sz w:val="20"/>
                <w:szCs w:val="20"/>
                <w:color w:val="auto"/>
              </w:rPr>
            </w:pPr>
            <w:r>
              <w:rPr>
                <w:rFonts w:ascii="Arial" w:cs="Arial" w:eastAsia="Arial" w:hAnsi="Arial"/>
                <w:sz w:val="14"/>
                <w:szCs w:val="14"/>
                <w:color w:val="auto"/>
              </w:rPr>
              <w:t>Service charges and fees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8,335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6,995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15,905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15,633</w:t>
            </w:r>
          </w:p>
        </w:tc>
        <w:tc>
          <w:tcPr>
            <w:tcW w:w="0" w:type="dxa"/>
            <w:vAlign w:val="bottom"/>
          </w:tcPr>
          <w:p>
            <w:pPr>
              <w:spacing w:after="0"/>
              <w:rPr>
                <w:sz w:val="1"/>
                <w:szCs w:val="1"/>
                <w:color w:val="auto"/>
              </w:rPr>
            </w:pPr>
          </w:p>
        </w:tc>
      </w:tr>
      <w:tr>
        <w:trPr>
          <w:trHeight w:val="192"/>
        </w:trPr>
        <w:tc>
          <w:tcPr>
            <w:tcW w:w="5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Mortgage loan gains and other related fees</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11,136</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23,659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33,708</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31,969</w:t>
            </w:r>
          </w:p>
        </w:tc>
        <w:tc>
          <w:tcPr>
            <w:tcW w:w="0" w:type="dxa"/>
            <w:vAlign w:val="bottom"/>
          </w:tcPr>
          <w:p>
            <w:pPr>
              <w:spacing w:after="0"/>
              <w:rPr>
                <w:sz w:val="1"/>
                <w:szCs w:val="1"/>
                <w:color w:val="auto"/>
              </w:rPr>
            </w:pPr>
          </w:p>
        </w:tc>
      </w:tr>
      <w:tr>
        <w:trPr>
          <w:trHeight w:val="186"/>
        </w:trPr>
        <w:tc>
          <w:tcPr>
            <w:tcW w:w="5920" w:type="dxa"/>
            <w:vAlign w:val="bottom"/>
          </w:tcPr>
          <w:p>
            <w:pPr>
              <w:ind w:left="140"/>
              <w:spacing w:after="0"/>
              <w:rPr>
                <w:sz w:val="20"/>
                <w:szCs w:val="20"/>
                <w:color w:val="auto"/>
              </w:rPr>
            </w:pPr>
            <w:r>
              <w:rPr>
                <w:rFonts w:ascii="Arial" w:cs="Arial" w:eastAsia="Arial" w:hAnsi="Arial"/>
                <w:sz w:val="14"/>
                <w:szCs w:val="14"/>
                <w:color w:val="auto"/>
              </w:rPr>
              <w:t>Wealth management fees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3,822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7,327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2,964</w:t>
            </w:r>
          </w:p>
        </w:tc>
        <w:tc>
          <w:tcPr>
            <w:tcW w:w="0" w:type="dxa"/>
            <w:vAlign w:val="bottom"/>
          </w:tcPr>
          <w:p>
            <w:pPr>
              <w:spacing w:after="0"/>
              <w:rPr>
                <w:sz w:val="1"/>
                <w:szCs w:val="1"/>
                <w:color w:val="auto"/>
              </w:rPr>
            </w:pPr>
          </w:p>
        </w:tc>
      </w:tr>
      <w:tr>
        <w:trPr>
          <w:trHeight w:val="192"/>
        </w:trPr>
        <w:tc>
          <w:tcPr>
            <w:tcW w:w="5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Gains from sales of other loans, net</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4,123</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5,153</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2,714</w:t>
            </w:r>
          </w:p>
        </w:tc>
        <w:tc>
          <w:tcPr>
            <w:tcW w:w="0" w:type="dxa"/>
            <w:vAlign w:val="bottom"/>
          </w:tcPr>
          <w:p>
            <w:pPr>
              <w:spacing w:after="0"/>
              <w:rPr>
                <w:sz w:val="1"/>
                <w:szCs w:val="1"/>
                <w:color w:val="auto"/>
              </w:rPr>
            </w:pPr>
          </w:p>
        </w:tc>
      </w:tr>
      <w:tr>
        <w:trPr>
          <w:trHeight w:val="186"/>
        </w:trPr>
        <w:tc>
          <w:tcPr>
            <w:tcW w:w="5920" w:type="dxa"/>
            <w:vAlign w:val="bottom"/>
          </w:tcPr>
          <w:p>
            <w:pPr>
              <w:ind w:left="140"/>
              <w:spacing w:after="0"/>
              <w:rPr>
                <w:sz w:val="20"/>
                <w:szCs w:val="20"/>
                <w:color w:val="auto"/>
              </w:rPr>
            </w:pPr>
            <w:r>
              <w:rPr>
                <w:rFonts w:ascii="Arial" w:cs="Arial" w:eastAsia="Arial" w:hAnsi="Arial"/>
                <w:sz w:val="14"/>
                <w:szCs w:val="14"/>
                <w:color w:val="auto"/>
              </w:rPr>
              <w:t>Securities gains, net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5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w:t>
            </w: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8,384</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7,220</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18,412</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12,772</w:t>
            </w:r>
          </w:p>
        </w:tc>
        <w:tc>
          <w:tcPr>
            <w:tcW w:w="0" w:type="dxa"/>
            <w:vAlign w:val="bottom"/>
          </w:tcPr>
          <w:p>
            <w:pPr>
              <w:spacing w:after="0"/>
              <w:rPr>
                <w:sz w:val="1"/>
                <w:szCs w:val="1"/>
                <w:color w:val="auto"/>
              </w:rPr>
            </w:pPr>
          </w:p>
        </w:tc>
      </w:tr>
      <w:tr>
        <w:trPr>
          <w:trHeight w:val="179"/>
        </w:trPr>
        <w:tc>
          <w:tcPr>
            <w:tcW w:w="59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Total noninterest income</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35,841</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40,238</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80,546</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66,052</w:t>
            </w:r>
          </w:p>
        </w:tc>
        <w:tc>
          <w:tcPr>
            <w:tcW w:w="0" w:type="dxa"/>
            <w:vAlign w:val="bottom"/>
          </w:tcPr>
          <w:p>
            <w:pPr>
              <w:spacing w:after="0"/>
              <w:rPr>
                <w:sz w:val="1"/>
                <w:szCs w:val="1"/>
                <w:color w:val="auto"/>
              </w:rPr>
            </w:pPr>
          </w:p>
        </w:tc>
      </w:tr>
      <w:tr>
        <w:trPr>
          <w:trHeight w:val="183"/>
        </w:trPr>
        <w:tc>
          <w:tcPr>
            <w:tcW w:w="5920" w:type="dxa"/>
            <w:vAlign w:val="bottom"/>
            <w:shd w:val="clear" w:color="auto" w:fill="CCEEFF"/>
          </w:tcPr>
          <w:p>
            <w:pPr>
              <w:ind w:left="220"/>
              <w:spacing w:after="0"/>
              <w:rPr>
                <w:sz w:val="20"/>
                <w:szCs w:val="20"/>
                <w:color w:val="auto"/>
              </w:rPr>
            </w:pPr>
            <w:r>
              <w:rPr>
                <w:rFonts w:ascii="Arial" w:cs="Arial" w:eastAsia="Arial" w:hAnsi="Arial"/>
                <w:sz w:val="14"/>
                <w:szCs w:val="14"/>
                <w:b w:val="1"/>
                <w:bCs w:val="1"/>
                <w:color w:val="auto"/>
              </w:rPr>
              <w:t>Total revenue</w:t>
            </w: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187,805</w:t>
            </w:r>
          </w:p>
        </w:tc>
        <w:tc>
          <w:tcPr>
            <w:tcW w:w="1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115,999</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376,855</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238,228</w:t>
            </w:r>
          </w:p>
        </w:tc>
        <w:tc>
          <w:tcPr>
            <w:tcW w:w="0" w:type="dxa"/>
            <w:vAlign w:val="bottom"/>
          </w:tcPr>
          <w:p>
            <w:pPr>
              <w:spacing w:after="0"/>
              <w:rPr>
                <w:sz w:val="1"/>
                <w:szCs w:val="1"/>
                <w:color w:val="auto"/>
              </w:rPr>
            </w:pPr>
          </w:p>
        </w:tc>
      </w:tr>
      <w:tr>
        <w:trPr>
          <w:trHeight w:val="186"/>
        </w:trPr>
        <w:tc>
          <w:tcPr>
            <w:tcW w:w="5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Noninterest expenses:</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920" w:type="dxa"/>
            <w:vAlign w:val="bottom"/>
          </w:tcPr>
          <w:p>
            <w:pPr>
              <w:ind w:left="140"/>
              <w:spacing w:after="0"/>
              <w:rPr>
                <w:sz w:val="20"/>
                <w:szCs w:val="20"/>
                <w:color w:val="auto"/>
              </w:rPr>
            </w:pPr>
            <w:r>
              <w:rPr>
                <w:rFonts w:ascii="Arial" w:cs="Arial" w:eastAsia="Arial" w:hAnsi="Arial"/>
                <w:sz w:val="14"/>
                <w:szCs w:val="14"/>
                <w:color w:val="auto"/>
              </w:rPr>
              <w:t>Salaries and employee benefits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59,414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51,811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119,999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103,169</w:t>
            </w:r>
          </w:p>
        </w:tc>
        <w:tc>
          <w:tcPr>
            <w:tcW w:w="0" w:type="dxa"/>
            <w:vAlign w:val="bottom"/>
          </w:tcPr>
          <w:p>
            <w:pPr>
              <w:spacing w:after="0"/>
              <w:rPr>
                <w:sz w:val="1"/>
                <w:szCs w:val="1"/>
                <w:color w:val="auto"/>
              </w:rPr>
            </w:pPr>
          </w:p>
        </w:tc>
      </w:tr>
      <w:tr>
        <w:trPr>
          <w:trHeight w:val="192"/>
        </w:trPr>
        <w:tc>
          <w:tcPr>
            <w:tcW w:w="5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Communications and equipment</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7,408</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6,556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14,611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12,502</w:t>
            </w:r>
          </w:p>
        </w:tc>
        <w:tc>
          <w:tcPr>
            <w:tcW w:w="0" w:type="dxa"/>
            <w:vAlign w:val="bottom"/>
          </w:tcPr>
          <w:p>
            <w:pPr>
              <w:spacing w:after="0"/>
              <w:rPr>
                <w:sz w:val="1"/>
                <w:szCs w:val="1"/>
                <w:color w:val="auto"/>
              </w:rPr>
            </w:pPr>
          </w:p>
        </w:tc>
      </w:tr>
      <w:tr>
        <w:trPr>
          <w:trHeight w:val="186"/>
        </w:trPr>
        <w:tc>
          <w:tcPr>
            <w:tcW w:w="5920" w:type="dxa"/>
            <w:vAlign w:val="bottom"/>
          </w:tcPr>
          <w:p>
            <w:pPr>
              <w:ind w:left="140"/>
              <w:spacing w:after="0"/>
              <w:rPr>
                <w:sz w:val="20"/>
                <w:szCs w:val="20"/>
                <w:color w:val="auto"/>
              </w:rPr>
            </w:pPr>
            <w:r>
              <w:rPr>
                <w:rFonts w:ascii="Arial" w:cs="Arial" w:eastAsia="Arial" w:hAnsi="Arial"/>
                <w:sz w:val="14"/>
                <w:szCs w:val="14"/>
                <w:color w:val="auto"/>
              </w:rPr>
              <w:t>Occupancy</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7,078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5,945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14,034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11,659</w:t>
            </w:r>
          </w:p>
        </w:tc>
        <w:tc>
          <w:tcPr>
            <w:tcW w:w="0" w:type="dxa"/>
            <w:vAlign w:val="bottom"/>
          </w:tcPr>
          <w:p>
            <w:pPr>
              <w:spacing w:after="0"/>
              <w:rPr>
                <w:sz w:val="1"/>
                <w:szCs w:val="1"/>
                <w:color w:val="auto"/>
              </w:rPr>
            </w:pPr>
          </w:p>
        </w:tc>
      </w:tr>
      <w:tr>
        <w:trPr>
          <w:trHeight w:val="192"/>
        </w:trPr>
        <w:tc>
          <w:tcPr>
            <w:tcW w:w="5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Advertising and public relations</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1,493</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3,534</w:t>
            </w:r>
          </w:p>
        </w:tc>
        <w:tc>
          <w:tcPr>
            <w:tcW w:w="0" w:type="dxa"/>
            <w:vAlign w:val="bottom"/>
          </w:tcPr>
          <w:p>
            <w:pPr>
              <w:spacing w:after="0"/>
              <w:rPr>
                <w:sz w:val="1"/>
                <w:szCs w:val="1"/>
                <w:color w:val="auto"/>
              </w:rPr>
            </w:pPr>
          </w:p>
        </w:tc>
      </w:tr>
      <w:tr>
        <w:trPr>
          <w:trHeight w:val="186"/>
        </w:trPr>
        <w:tc>
          <w:tcPr>
            <w:tcW w:w="5920" w:type="dxa"/>
            <w:vAlign w:val="bottom"/>
          </w:tcPr>
          <w:p>
            <w:pPr>
              <w:ind w:left="140"/>
              <w:spacing w:after="0"/>
              <w:rPr>
                <w:sz w:val="20"/>
                <w:szCs w:val="20"/>
                <w:color w:val="auto"/>
              </w:rPr>
            </w:pPr>
            <w:r>
              <w:rPr>
                <w:rFonts w:ascii="Arial" w:cs="Arial" w:eastAsia="Arial" w:hAnsi="Arial"/>
                <w:sz w:val="14"/>
                <w:szCs w:val="14"/>
                <w:color w:val="auto"/>
              </w:rPr>
              <w:t>Postage, printing and supplies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1,618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1,613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3,440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3,283</w:t>
            </w:r>
          </w:p>
        </w:tc>
        <w:tc>
          <w:tcPr>
            <w:tcW w:w="0" w:type="dxa"/>
            <w:vAlign w:val="bottom"/>
          </w:tcPr>
          <w:p>
            <w:pPr>
              <w:spacing w:after="0"/>
              <w:rPr>
                <w:sz w:val="1"/>
                <w:szCs w:val="1"/>
                <w:color w:val="auto"/>
              </w:rPr>
            </w:pPr>
          </w:p>
        </w:tc>
      </w:tr>
      <w:tr>
        <w:trPr>
          <w:trHeight w:val="192"/>
        </w:trPr>
        <w:tc>
          <w:tcPr>
            <w:tcW w:w="5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Professional fees</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4,928</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9,162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8,920</w:t>
            </w:r>
          </w:p>
        </w:tc>
        <w:tc>
          <w:tcPr>
            <w:tcW w:w="0" w:type="dxa"/>
            <w:vAlign w:val="bottom"/>
          </w:tcPr>
          <w:p>
            <w:pPr>
              <w:spacing w:after="0"/>
              <w:rPr>
                <w:sz w:val="1"/>
                <w:szCs w:val="1"/>
                <w:color w:val="auto"/>
              </w:rPr>
            </w:pPr>
          </w:p>
        </w:tc>
      </w:tr>
      <w:tr>
        <w:trPr>
          <w:trHeight w:val="186"/>
        </w:trPr>
        <w:tc>
          <w:tcPr>
            <w:tcW w:w="5920" w:type="dxa"/>
            <w:vAlign w:val="bottom"/>
          </w:tcPr>
          <w:p>
            <w:pPr>
              <w:ind w:left="140"/>
              <w:spacing w:after="0"/>
              <w:rPr>
                <w:sz w:val="20"/>
                <w:szCs w:val="20"/>
                <w:color w:val="auto"/>
              </w:rPr>
            </w:pPr>
            <w:r>
              <w:rPr>
                <w:rFonts w:ascii="Arial" w:cs="Arial" w:eastAsia="Arial" w:hAnsi="Arial"/>
                <w:sz w:val="14"/>
                <w:szCs w:val="14"/>
                <w:color w:val="auto"/>
              </w:rPr>
              <w:t>Lending and loan servicing expense</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3,181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3,189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6,058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5,482</w:t>
            </w:r>
          </w:p>
        </w:tc>
        <w:tc>
          <w:tcPr>
            <w:tcW w:w="0" w:type="dxa"/>
            <w:vAlign w:val="bottom"/>
          </w:tcPr>
          <w:p>
            <w:pPr>
              <w:spacing w:after="0"/>
              <w:rPr>
                <w:sz w:val="1"/>
                <w:szCs w:val="1"/>
                <w:color w:val="auto"/>
              </w:rPr>
            </w:pPr>
          </w:p>
        </w:tc>
      </w:tr>
      <w:tr>
        <w:trPr>
          <w:trHeight w:val="192"/>
        </w:trPr>
        <w:tc>
          <w:tcPr>
            <w:tcW w:w="5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Outside services - electronic banking</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2,285</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4,503</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3,628</w:t>
            </w:r>
          </w:p>
        </w:tc>
        <w:tc>
          <w:tcPr>
            <w:tcW w:w="0" w:type="dxa"/>
            <w:vAlign w:val="bottom"/>
          </w:tcPr>
          <w:p>
            <w:pPr>
              <w:spacing w:after="0"/>
              <w:rPr>
                <w:sz w:val="1"/>
                <w:szCs w:val="1"/>
                <w:color w:val="auto"/>
              </w:rPr>
            </w:pPr>
          </w:p>
        </w:tc>
      </w:tr>
      <w:tr>
        <w:trPr>
          <w:trHeight w:val="186"/>
        </w:trPr>
        <w:tc>
          <w:tcPr>
            <w:tcW w:w="5920" w:type="dxa"/>
            <w:vAlign w:val="bottom"/>
          </w:tcPr>
          <w:p>
            <w:pPr>
              <w:ind w:left="140"/>
              <w:spacing w:after="0"/>
              <w:rPr>
                <w:sz w:val="20"/>
                <w:szCs w:val="20"/>
                <w:color w:val="auto"/>
              </w:rPr>
            </w:pPr>
            <w:r>
              <w:rPr>
                <w:rFonts w:ascii="Arial" w:cs="Arial" w:eastAsia="Arial" w:hAnsi="Arial"/>
                <w:sz w:val="14"/>
                <w:szCs w:val="14"/>
                <w:color w:val="auto"/>
              </w:rPr>
              <w:t>FDIC assessments and other regulatory charges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1,901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1,558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3,797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3,042</w:t>
            </w:r>
          </w:p>
        </w:tc>
        <w:tc>
          <w:tcPr>
            <w:tcW w:w="0" w:type="dxa"/>
            <w:vAlign w:val="bottom"/>
          </w:tcPr>
          <w:p>
            <w:pPr>
              <w:spacing w:after="0"/>
              <w:rPr>
                <w:sz w:val="1"/>
                <w:szCs w:val="1"/>
                <w:color w:val="auto"/>
              </w:rPr>
            </w:pPr>
          </w:p>
        </w:tc>
      </w:tr>
      <w:tr>
        <w:trPr>
          <w:trHeight w:val="192"/>
        </w:trPr>
        <w:tc>
          <w:tcPr>
            <w:tcW w:w="5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Amortization of intangibles</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929</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1,914</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2,027</w:t>
            </w:r>
          </w:p>
        </w:tc>
        <w:tc>
          <w:tcPr>
            <w:tcW w:w="0" w:type="dxa"/>
            <w:vAlign w:val="bottom"/>
          </w:tcPr>
          <w:p>
            <w:pPr>
              <w:spacing w:after="0"/>
              <w:rPr>
                <w:sz w:val="1"/>
                <w:szCs w:val="1"/>
                <w:color w:val="auto"/>
              </w:rPr>
            </w:pPr>
          </w:p>
        </w:tc>
      </w:tr>
      <w:tr>
        <w:trPr>
          <w:trHeight w:val="186"/>
        </w:trPr>
        <w:tc>
          <w:tcPr>
            <w:tcW w:w="5920" w:type="dxa"/>
            <w:vAlign w:val="bottom"/>
          </w:tcPr>
          <w:p>
            <w:pPr>
              <w:ind w:left="140"/>
              <w:spacing w:after="0"/>
              <w:rPr>
                <w:sz w:val="20"/>
                <w:szCs w:val="20"/>
                <w:color w:val="auto"/>
              </w:rPr>
            </w:pPr>
            <w:r>
              <w:rPr>
                <w:rFonts w:ascii="Arial" w:cs="Arial" w:eastAsia="Arial" w:hAnsi="Arial"/>
                <w:sz w:val="14"/>
                <w:szCs w:val="14"/>
                <w:color w:val="auto"/>
              </w:rPr>
              <w:t>Merger-related and other charges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1,078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397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2,621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1,205</w:t>
            </w:r>
          </w:p>
        </w:tc>
        <w:tc>
          <w:tcPr>
            <w:tcW w:w="0" w:type="dxa"/>
            <w:vAlign w:val="bottom"/>
          </w:tcPr>
          <w:p>
            <w:pPr>
              <w:spacing w:after="0"/>
              <w:rPr>
                <w:sz w:val="1"/>
                <w:szCs w:val="1"/>
                <w:color w:val="auto"/>
              </w:rPr>
            </w:pPr>
          </w:p>
        </w:tc>
      </w:tr>
      <w:tr>
        <w:trPr>
          <w:trHeight w:val="192"/>
        </w:trPr>
        <w:tc>
          <w:tcPr>
            <w:tcW w:w="5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w:t>
            </w: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4,227</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3,045</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7,903</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7,067</w:t>
            </w:r>
          </w:p>
        </w:tc>
        <w:tc>
          <w:tcPr>
            <w:tcW w:w="0" w:type="dxa"/>
            <w:vAlign w:val="bottom"/>
          </w:tcPr>
          <w:p>
            <w:pPr>
              <w:spacing w:after="0"/>
              <w:rPr>
                <w:sz w:val="1"/>
                <w:szCs w:val="1"/>
                <w:color w:val="auto"/>
              </w:rPr>
            </w:pPr>
          </w:p>
        </w:tc>
      </w:tr>
      <w:tr>
        <w:trPr>
          <w:trHeight w:val="179"/>
        </w:trPr>
        <w:tc>
          <w:tcPr>
            <w:tcW w:w="59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Total noninterest expenses</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95,540</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83,980</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190,734</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165,518</w:t>
            </w:r>
          </w:p>
        </w:tc>
        <w:tc>
          <w:tcPr>
            <w:tcW w:w="0" w:type="dxa"/>
            <w:vAlign w:val="bottom"/>
          </w:tcPr>
          <w:p>
            <w:pPr>
              <w:spacing w:after="0"/>
              <w:rPr>
                <w:sz w:val="1"/>
                <w:szCs w:val="1"/>
                <w:color w:val="auto"/>
              </w:rPr>
            </w:pPr>
          </w:p>
        </w:tc>
      </w:tr>
      <w:tr>
        <w:trPr>
          <w:trHeight w:val="186"/>
        </w:trPr>
        <w:tc>
          <w:tcPr>
            <w:tcW w:w="59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Income before income taxes</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92,265</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32,019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186,121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72,710</w:t>
            </w:r>
          </w:p>
        </w:tc>
        <w:tc>
          <w:tcPr>
            <w:tcW w:w="0" w:type="dxa"/>
            <w:vAlign w:val="bottom"/>
          </w:tcPr>
          <w:p>
            <w:pPr>
              <w:spacing w:after="0"/>
              <w:rPr>
                <w:sz w:val="1"/>
                <w:szCs w:val="1"/>
                <w:color w:val="auto"/>
              </w:rPr>
            </w:pPr>
          </w:p>
        </w:tc>
      </w:tr>
      <w:tr>
        <w:trPr>
          <w:trHeight w:val="186"/>
        </w:trPr>
        <w:tc>
          <w:tcPr>
            <w:tcW w:w="59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Income tax expense</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22,005</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42,155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15,730</w:t>
            </w:r>
          </w:p>
        </w:tc>
        <w:tc>
          <w:tcPr>
            <w:tcW w:w="0" w:type="dxa"/>
            <w:vAlign w:val="bottom"/>
          </w:tcPr>
          <w:p>
            <w:pPr>
              <w:spacing w:after="0"/>
              <w:rPr>
                <w:sz w:val="1"/>
                <w:szCs w:val="1"/>
                <w:color w:val="auto"/>
              </w:rPr>
            </w:pPr>
          </w:p>
        </w:tc>
      </w:tr>
      <w:tr>
        <w:trPr>
          <w:trHeight w:val="211"/>
        </w:trPr>
        <w:tc>
          <w:tcPr>
            <w:tcW w:w="5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b w:val="1"/>
                <w:bCs w:val="1"/>
                <w:color w:val="auto"/>
              </w:rPr>
              <w:t>Net income</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70,260</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25,096</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143,966</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56,980</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5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b w:val="1"/>
                <w:bCs w:val="1"/>
                <w:color w:val="auto"/>
              </w:rPr>
              <w:t>Net income available to common shareholders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68,109</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24,913</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139,634</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56,554</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per common share:</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920" w:type="dxa"/>
            <w:vAlign w:val="bottom"/>
          </w:tcPr>
          <w:p>
            <w:pPr>
              <w:ind w:left="140"/>
              <w:spacing w:after="0"/>
              <w:rPr>
                <w:sz w:val="20"/>
                <w:szCs w:val="20"/>
                <w:color w:val="auto"/>
              </w:rPr>
            </w:pPr>
            <w:r>
              <w:rPr>
                <w:rFonts w:ascii="Arial" w:cs="Arial" w:eastAsia="Arial" w:hAnsi="Arial"/>
                <w:sz w:val="14"/>
                <w:szCs w:val="14"/>
                <w:color w:val="auto"/>
              </w:rPr>
              <w:t>Basic</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0.78</w:t>
            </w:r>
          </w:p>
        </w:tc>
        <w:tc>
          <w:tcPr>
            <w:tcW w:w="12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0.32</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1.60</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0.71</w:t>
            </w:r>
          </w:p>
        </w:tc>
        <w:tc>
          <w:tcPr>
            <w:tcW w:w="0" w:type="dxa"/>
            <w:vAlign w:val="bottom"/>
          </w:tcPr>
          <w:p>
            <w:pPr>
              <w:spacing w:after="0"/>
              <w:rPr>
                <w:sz w:val="1"/>
                <w:szCs w:val="1"/>
                <w:color w:val="auto"/>
              </w:rPr>
            </w:pPr>
          </w:p>
        </w:tc>
      </w:tr>
      <w:tr>
        <w:trPr>
          <w:trHeight w:val="192"/>
        </w:trPr>
        <w:tc>
          <w:tcPr>
            <w:tcW w:w="5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Diluted</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0.78</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0.71</w:t>
            </w:r>
          </w:p>
        </w:tc>
        <w:tc>
          <w:tcPr>
            <w:tcW w:w="0" w:type="dxa"/>
            <w:vAlign w:val="bottom"/>
          </w:tcPr>
          <w:p>
            <w:pPr>
              <w:spacing w:after="0"/>
              <w:rPr>
                <w:sz w:val="1"/>
                <w:szCs w:val="1"/>
                <w:color w:val="auto"/>
              </w:rPr>
            </w:pPr>
          </w:p>
        </w:tc>
      </w:tr>
      <w:tr>
        <w:trPr>
          <w:trHeight w:val="186"/>
        </w:trPr>
        <w:tc>
          <w:tcPr>
            <w:tcW w:w="5920" w:type="dxa"/>
            <w:vAlign w:val="bottom"/>
          </w:tcPr>
          <w:p>
            <w:pPr>
              <w:ind w:left="20"/>
              <w:spacing w:after="0"/>
              <w:rPr>
                <w:sz w:val="20"/>
                <w:szCs w:val="20"/>
                <w:color w:val="auto"/>
              </w:rPr>
            </w:pPr>
            <w:r>
              <w:rPr>
                <w:rFonts w:ascii="Arial" w:cs="Arial" w:eastAsia="Arial" w:hAnsi="Arial"/>
                <w:sz w:val="14"/>
                <w:szCs w:val="14"/>
                <w:color w:val="auto"/>
              </w:rPr>
              <w:t>Weighted average common shares outstanding:</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Basic</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87,289</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78,920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87,306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79,130</w:t>
            </w:r>
          </w:p>
        </w:tc>
        <w:tc>
          <w:tcPr>
            <w:tcW w:w="0" w:type="dxa"/>
            <w:vAlign w:val="bottom"/>
          </w:tcPr>
          <w:p>
            <w:pPr>
              <w:spacing w:after="0"/>
              <w:rPr>
                <w:sz w:val="1"/>
                <w:szCs w:val="1"/>
                <w:color w:val="auto"/>
              </w:rPr>
            </w:pPr>
          </w:p>
        </w:tc>
      </w:tr>
      <w:tr>
        <w:trPr>
          <w:trHeight w:val="182"/>
        </w:trPr>
        <w:tc>
          <w:tcPr>
            <w:tcW w:w="5920" w:type="dxa"/>
            <w:vAlign w:val="bottom"/>
          </w:tcPr>
          <w:p>
            <w:pPr>
              <w:ind w:left="140"/>
              <w:spacing w:after="0"/>
              <w:rPr>
                <w:sz w:val="20"/>
                <w:szCs w:val="20"/>
                <w:color w:val="auto"/>
              </w:rPr>
            </w:pPr>
            <w:r>
              <w:rPr>
                <w:rFonts w:ascii="Arial" w:cs="Arial" w:eastAsia="Arial" w:hAnsi="Arial"/>
                <w:sz w:val="14"/>
                <w:szCs w:val="14"/>
                <w:color w:val="auto"/>
              </w:rPr>
              <w:t>Diluted</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87,421</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78,924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87,443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79,186</w:t>
            </w:r>
          </w:p>
        </w:tc>
        <w:tc>
          <w:tcPr>
            <w:tcW w:w="0" w:type="dxa"/>
            <w:vAlign w:val="bottom"/>
          </w:tcPr>
          <w:p>
            <w:pPr>
              <w:spacing w:after="0"/>
              <w:rPr>
                <w:sz w:val="1"/>
                <w:szCs w:val="1"/>
                <w:color w:val="auto"/>
              </w:rPr>
            </w:pPr>
          </w:p>
        </w:tc>
      </w:tr>
    </w:tbl>
    <w:p>
      <w:pPr>
        <w:spacing w:after="0" w:line="32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See accompanying notes to consolidated financial statements (unaudited).</w:t>
      </w:r>
    </w:p>
    <w:p>
      <w:pPr>
        <w:sectPr>
          <w:pgSz w:w="11900" w:h="16838" w:orient="portrait"/>
          <w:cols w:equalWidth="0" w:num="1">
            <w:col w:w="11240"/>
          </w:cols>
          <w:pgMar w:left="320" w:top="972" w:right="339" w:bottom="1440" w:gutter="0" w:footer="0" w:header="0"/>
        </w:sect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type w:val="continuous"/>
        </w:sectPr>
      </w:pPr>
    </w:p>
    <w:bookmarkStart w:id="6" w:name="page7"/>
    <w:bookmarkEnd w:id="6"/>
    <w:p>
      <w:pPr>
        <w:ind w:left="20"/>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Consolidated Statements of Comprehensive Income </w:t>
      </w:r>
      <w:r>
        <w:rPr>
          <w:rFonts w:ascii="Arial" w:cs="Arial" w:eastAsia="Arial" w:hAnsi="Arial"/>
          <w:sz w:val="16"/>
          <w:szCs w:val="16"/>
          <w:i w:val="1"/>
          <w:iCs w:val="1"/>
          <w:color w:val="auto"/>
        </w:rPr>
        <w:t>(Unaudited)</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7"/>
          </w:tcPr>
          <w:p>
            <w:pPr>
              <w:jc w:val="center"/>
              <w:ind w:right="41"/>
              <w:spacing w:after="0"/>
              <w:rPr>
                <w:sz w:val="20"/>
                <w:szCs w:val="20"/>
                <w:color w:val="auto"/>
              </w:rPr>
            </w:pPr>
            <w:r>
              <w:rPr>
                <w:rFonts w:ascii="Arial" w:cs="Arial" w:eastAsia="Arial" w:hAnsi="Arial"/>
                <w:sz w:val="16"/>
                <w:szCs w:val="16"/>
                <w:b w:val="1"/>
                <w:bCs w:val="1"/>
                <w:color w:val="auto"/>
                <w:w w:val="92"/>
              </w:rPr>
              <w:t>Three Months Ended June 30,</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7"/>
          </w:tcPr>
          <w:p>
            <w:pPr>
              <w:jc w:val="center"/>
              <w:ind w:right="21"/>
              <w:spacing w:after="0"/>
              <w:rPr>
                <w:sz w:val="20"/>
                <w:szCs w:val="20"/>
                <w:color w:val="auto"/>
              </w:rPr>
            </w:pPr>
            <w:r>
              <w:rPr>
                <w:rFonts w:ascii="Arial" w:cs="Arial" w:eastAsia="Arial" w:hAnsi="Arial"/>
                <w:sz w:val="16"/>
                <w:szCs w:val="16"/>
                <w:b w:val="1"/>
                <w:bCs w:val="1"/>
                <w:color w:val="auto"/>
                <w:w w:val="91"/>
              </w:rPr>
              <w:t>Six Months Ended June 30,</w:t>
            </w:r>
          </w:p>
        </w:tc>
        <w:tc>
          <w:tcPr>
            <w:tcW w:w="0" w:type="dxa"/>
            <w:vAlign w:val="bottom"/>
          </w:tcPr>
          <w:p>
            <w:pPr>
              <w:spacing w:after="0"/>
              <w:rPr>
                <w:sz w:val="1"/>
                <w:szCs w:val="1"/>
                <w:color w:val="auto"/>
              </w:rPr>
            </w:pPr>
          </w:p>
        </w:tc>
      </w:tr>
      <w:tr>
        <w:trPr>
          <w:trHeight w:val="158"/>
        </w:trPr>
        <w:tc>
          <w:tcPr>
            <w:tcW w:w="5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90"/>
              </w:rPr>
              <w:t>Before-tax</w:t>
            </w:r>
          </w:p>
        </w:tc>
        <w:tc>
          <w:tcPr>
            <w:tcW w:w="140" w:type="dxa"/>
            <w:vAlign w:val="bottom"/>
          </w:tcPr>
          <w:p>
            <w:pPr>
              <w:spacing w:after="0"/>
              <w:rPr>
                <w:sz w:val="13"/>
                <w:szCs w:val="13"/>
                <w:color w:val="auto"/>
              </w:rPr>
            </w:pPr>
          </w:p>
        </w:tc>
        <w:tc>
          <w:tcPr>
            <w:tcW w:w="80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4"/>
              </w:rPr>
              <w:t>Tax</w:t>
            </w:r>
          </w:p>
        </w:tc>
        <w:tc>
          <w:tcPr>
            <w:tcW w:w="940" w:type="dxa"/>
            <w:vAlign w:val="bottom"/>
            <w:gridSpan w:val="3"/>
            <w:vMerge w:val="restart"/>
          </w:tcPr>
          <w:p>
            <w:pPr>
              <w:jc w:val="center"/>
              <w:ind w:right="60"/>
              <w:spacing w:after="0"/>
              <w:rPr>
                <w:sz w:val="20"/>
                <w:szCs w:val="20"/>
                <w:color w:val="auto"/>
              </w:rPr>
            </w:pPr>
            <w:r>
              <w:rPr>
                <w:rFonts w:ascii="Arial" w:cs="Arial" w:eastAsia="Arial" w:hAnsi="Arial"/>
                <w:sz w:val="16"/>
                <w:szCs w:val="16"/>
                <w:b w:val="1"/>
                <w:bCs w:val="1"/>
                <w:color w:val="auto"/>
                <w:w w:val="93"/>
              </w:rPr>
              <w:t>Net of Tax</w:t>
            </w:r>
          </w:p>
        </w:tc>
        <w:tc>
          <w:tcPr>
            <w:tcW w:w="960" w:type="dxa"/>
            <w:vAlign w:val="bottom"/>
            <w:gridSpan w:val="3"/>
            <w:vMerge w:val="restart"/>
          </w:tcPr>
          <w:p>
            <w:pPr>
              <w:jc w:val="center"/>
              <w:ind w:right="80"/>
              <w:spacing w:after="0"/>
              <w:rPr>
                <w:sz w:val="20"/>
                <w:szCs w:val="20"/>
                <w:color w:val="auto"/>
              </w:rPr>
            </w:pPr>
            <w:r>
              <w:rPr>
                <w:rFonts w:ascii="Arial" w:cs="Arial" w:eastAsia="Arial" w:hAnsi="Arial"/>
                <w:sz w:val="16"/>
                <w:szCs w:val="16"/>
                <w:b w:val="1"/>
                <w:bCs w:val="1"/>
                <w:color w:val="auto"/>
                <w:w w:val="90"/>
              </w:rPr>
              <w:t>Before-tax</w:t>
            </w:r>
          </w:p>
        </w:tc>
        <w:tc>
          <w:tcPr>
            <w:tcW w:w="140" w:type="dxa"/>
            <w:vAlign w:val="bottom"/>
          </w:tcPr>
          <w:p>
            <w:pPr>
              <w:spacing w:after="0"/>
              <w:rPr>
                <w:sz w:val="13"/>
                <w:szCs w:val="13"/>
                <w:color w:val="auto"/>
              </w:rPr>
            </w:pPr>
          </w:p>
        </w:tc>
        <w:tc>
          <w:tcPr>
            <w:tcW w:w="80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4"/>
              </w:rPr>
              <w:t>Tax</w:t>
            </w:r>
          </w:p>
        </w:tc>
        <w:tc>
          <w:tcPr>
            <w:tcW w:w="860" w:type="dxa"/>
            <w:vAlign w:val="bottom"/>
            <w:gridSpan w:val="2"/>
            <w:vMerge w:val="restart"/>
          </w:tcPr>
          <w:p>
            <w:pPr>
              <w:jc w:val="right"/>
              <w:ind w:right="1"/>
              <w:spacing w:after="0"/>
              <w:rPr>
                <w:sz w:val="20"/>
                <w:szCs w:val="20"/>
                <w:color w:val="auto"/>
              </w:rPr>
            </w:pPr>
            <w:r>
              <w:rPr>
                <w:rFonts w:ascii="Arial" w:cs="Arial" w:eastAsia="Arial" w:hAnsi="Arial"/>
                <w:sz w:val="16"/>
                <w:szCs w:val="16"/>
                <w:b w:val="1"/>
                <w:bCs w:val="1"/>
                <w:color w:val="auto"/>
                <w:w w:val="98"/>
              </w:rPr>
              <w:t>Net of Tax</w:t>
            </w:r>
          </w:p>
        </w:tc>
        <w:tc>
          <w:tcPr>
            <w:tcW w:w="0" w:type="dxa"/>
            <w:vAlign w:val="bottom"/>
          </w:tcPr>
          <w:p>
            <w:pPr>
              <w:spacing w:after="0"/>
              <w:rPr>
                <w:sz w:val="1"/>
                <w:szCs w:val="1"/>
                <w:color w:val="auto"/>
              </w:rPr>
            </w:pPr>
          </w:p>
        </w:tc>
      </w:tr>
      <w:tr>
        <w:trPr>
          <w:trHeight w:val="162"/>
        </w:trPr>
        <w:tc>
          <w:tcPr>
            <w:tcW w:w="5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940" w:type="dxa"/>
            <w:vAlign w:val="bottom"/>
            <w:gridSpan w:val="3"/>
          </w:tcPr>
          <w:p>
            <w:pPr>
              <w:jc w:val="center"/>
              <w:ind w:right="80"/>
              <w:spacing w:after="0" w:line="162" w:lineRule="exact"/>
              <w:rPr>
                <w:sz w:val="20"/>
                <w:szCs w:val="20"/>
                <w:color w:val="auto"/>
              </w:rPr>
            </w:pPr>
            <w:r>
              <w:rPr>
                <w:rFonts w:ascii="Arial" w:cs="Arial" w:eastAsia="Arial" w:hAnsi="Arial"/>
                <w:sz w:val="16"/>
                <w:szCs w:val="16"/>
                <w:b w:val="1"/>
                <w:bCs w:val="1"/>
                <w:color w:val="auto"/>
                <w:w w:val="91"/>
              </w:rPr>
              <w:t>(Expense)</w:t>
            </w:r>
          </w:p>
        </w:tc>
        <w:tc>
          <w:tcPr>
            <w:tcW w:w="940" w:type="dxa"/>
            <w:vAlign w:val="bottom"/>
            <w:gridSpan w:val="3"/>
            <w:vMerge w:val="continue"/>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940" w:type="dxa"/>
            <w:vAlign w:val="bottom"/>
            <w:gridSpan w:val="3"/>
          </w:tcPr>
          <w:p>
            <w:pPr>
              <w:jc w:val="center"/>
              <w:ind w:right="100"/>
              <w:spacing w:after="0" w:line="162" w:lineRule="exact"/>
              <w:rPr>
                <w:sz w:val="20"/>
                <w:szCs w:val="20"/>
                <w:color w:val="auto"/>
              </w:rPr>
            </w:pPr>
            <w:r>
              <w:rPr>
                <w:rFonts w:ascii="Arial" w:cs="Arial" w:eastAsia="Arial" w:hAnsi="Arial"/>
                <w:sz w:val="16"/>
                <w:szCs w:val="16"/>
                <w:b w:val="1"/>
                <w:bCs w:val="1"/>
                <w:color w:val="auto"/>
                <w:w w:val="88"/>
              </w:rPr>
              <w:t>(Expense)</w:t>
            </w: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5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Amount</w:t>
            </w:r>
          </w:p>
        </w:tc>
        <w:tc>
          <w:tcPr>
            <w:tcW w:w="140" w:type="dxa"/>
            <w:vAlign w:val="bottom"/>
          </w:tcPr>
          <w:p>
            <w:pPr>
              <w:spacing w:after="0"/>
              <w:rPr>
                <w:sz w:val="18"/>
                <w:szCs w:val="18"/>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Benefit</w:t>
            </w:r>
          </w:p>
        </w:tc>
        <w:tc>
          <w:tcPr>
            <w:tcW w:w="120" w:type="dxa"/>
            <w:vAlign w:val="bottom"/>
          </w:tcPr>
          <w:p>
            <w:pPr>
              <w:spacing w:after="0"/>
              <w:rPr>
                <w:sz w:val="18"/>
                <w:szCs w:val="18"/>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5"/>
              </w:rPr>
              <w:t>Amount</w:t>
            </w:r>
          </w:p>
        </w:tc>
        <w:tc>
          <w:tcPr>
            <w:tcW w:w="120" w:type="dxa"/>
            <w:vAlign w:val="bottom"/>
          </w:tcPr>
          <w:p>
            <w:pPr>
              <w:spacing w:after="0"/>
              <w:rPr>
                <w:sz w:val="18"/>
                <w:szCs w:val="18"/>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Amount</w:t>
            </w:r>
          </w:p>
        </w:tc>
        <w:tc>
          <w:tcPr>
            <w:tcW w:w="140" w:type="dxa"/>
            <w:vAlign w:val="bottom"/>
          </w:tcPr>
          <w:p>
            <w:pPr>
              <w:spacing w:after="0"/>
              <w:rPr>
                <w:sz w:val="18"/>
                <w:szCs w:val="18"/>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Benefit</w:t>
            </w:r>
          </w:p>
        </w:tc>
        <w:tc>
          <w:tcPr>
            <w:tcW w:w="120" w:type="dxa"/>
            <w:vAlign w:val="bottom"/>
          </w:tcPr>
          <w:p>
            <w:pPr>
              <w:spacing w:after="0"/>
              <w:rPr>
                <w:sz w:val="18"/>
                <w:szCs w:val="18"/>
                <w:color w:val="auto"/>
              </w:rPr>
            </w:pPr>
          </w:p>
        </w:tc>
        <w:tc>
          <w:tcPr>
            <w:tcW w:w="740" w:type="dxa"/>
            <w:vAlign w:val="bottom"/>
          </w:tcPr>
          <w:p>
            <w:pPr>
              <w:jc w:val="right"/>
              <w:ind w:right="61"/>
              <w:spacing w:after="0"/>
              <w:rPr>
                <w:sz w:val="20"/>
                <w:szCs w:val="20"/>
                <w:color w:val="auto"/>
              </w:rPr>
            </w:pPr>
            <w:r>
              <w:rPr>
                <w:rFonts w:ascii="Arial" w:cs="Arial" w:eastAsia="Arial" w:hAnsi="Arial"/>
                <w:sz w:val="16"/>
                <w:szCs w:val="16"/>
                <w:b w:val="1"/>
                <w:bCs w:val="1"/>
                <w:color w:val="auto"/>
                <w:w w:val="95"/>
              </w:rPr>
              <w:t>Amount</w:t>
            </w:r>
          </w:p>
        </w:tc>
        <w:tc>
          <w:tcPr>
            <w:tcW w:w="0" w:type="dxa"/>
            <w:vAlign w:val="bottom"/>
          </w:tcPr>
          <w:p>
            <w:pPr>
              <w:spacing w:after="0"/>
              <w:rPr>
                <w:sz w:val="1"/>
                <w:szCs w:val="1"/>
                <w:color w:val="auto"/>
              </w:rPr>
            </w:pPr>
          </w:p>
        </w:tc>
      </w:tr>
      <w:tr>
        <w:trPr>
          <w:trHeight w:val="181"/>
        </w:trPr>
        <w:tc>
          <w:tcPr>
            <w:tcW w:w="55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CCEEFF"/>
            </w:tcBorders>
          </w:tcPr>
          <w:p>
            <w:pPr>
              <w:spacing w:after="0"/>
              <w:rPr>
                <w:sz w:val="15"/>
                <w:szCs w:val="15"/>
                <w:color w:val="auto"/>
              </w:rPr>
            </w:pPr>
          </w:p>
        </w:tc>
        <w:tc>
          <w:tcPr>
            <w:tcW w:w="740" w:type="dxa"/>
            <w:vAlign w:val="bottom"/>
            <w:tcBorders>
              <w:top w:val="single" w:sz="8" w:color="auto"/>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CCEEFF"/>
            </w:tcBorders>
          </w:tcPr>
          <w:p>
            <w:pPr>
              <w:spacing w:after="0"/>
              <w:rPr>
                <w:sz w:val="15"/>
                <w:szCs w:val="15"/>
                <w:color w:val="auto"/>
              </w:rPr>
            </w:pPr>
          </w:p>
        </w:tc>
        <w:tc>
          <w:tcPr>
            <w:tcW w:w="720" w:type="dxa"/>
            <w:vAlign w:val="bottom"/>
            <w:tcBorders>
              <w:top w:val="single" w:sz="8" w:color="auto"/>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CCEEFF"/>
            </w:tcBorders>
          </w:tcPr>
          <w:p>
            <w:pPr>
              <w:spacing w:after="0"/>
              <w:rPr>
                <w:sz w:val="15"/>
                <w:szCs w:val="15"/>
                <w:color w:val="auto"/>
              </w:rPr>
            </w:pPr>
          </w:p>
        </w:tc>
        <w:tc>
          <w:tcPr>
            <w:tcW w:w="740" w:type="dxa"/>
            <w:vAlign w:val="bottom"/>
            <w:tcBorders>
              <w:top w:val="single" w:sz="8" w:color="auto"/>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CCEEFF"/>
            </w:tcBorders>
          </w:tcPr>
          <w:p>
            <w:pPr>
              <w:spacing w:after="0"/>
              <w:rPr>
                <w:sz w:val="15"/>
                <w:szCs w:val="15"/>
                <w:color w:val="auto"/>
              </w:rPr>
            </w:pPr>
          </w:p>
        </w:tc>
        <w:tc>
          <w:tcPr>
            <w:tcW w:w="740" w:type="dxa"/>
            <w:vAlign w:val="bottom"/>
            <w:tcBorders>
              <w:top w:val="single" w:sz="8" w:color="auto"/>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CCEEFF"/>
            </w:tcBorders>
          </w:tcPr>
          <w:p>
            <w:pPr>
              <w:spacing w:after="0"/>
              <w:rPr>
                <w:sz w:val="15"/>
                <w:szCs w:val="15"/>
                <w:color w:val="auto"/>
              </w:rPr>
            </w:pPr>
          </w:p>
        </w:tc>
        <w:tc>
          <w:tcPr>
            <w:tcW w:w="720" w:type="dxa"/>
            <w:vAlign w:val="bottom"/>
            <w:tcBorders>
              <w:top w:val="single" w:sz="8" w:color="auto"/>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CCEEFF"/>
            </w:tcBorders>
          </w:tcPr>
          <w:p>
            <w:pPr>
              <w:spacing w:after="0"/>
              <w:rPr>
                <w:sz w:val="15"/>
                <w:szCs w:val="15"/>
                <w:color w:val="auto"/>
              </w:rPr>
            </w:pPr>
          </w:p>
        </w:tc>
        <w:tc>
          <w:tcPr>
            <w:tcW w:w="740" w:type="dxa"/>
            <w:vAlign w:val="bottom"/>
            <w:tcBorders>
              <w:top w:val="single" w:sz="8" w:color="auto"/>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92,265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(22,005)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70,260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186,121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(42,155)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143,966</w:t>
            </w:r>
          </w:p>
        </w:tc>
        <w:tc>
          <w:tcPr>
            <w:tcW w:w="0" w:type="dxa"/>
            <w:vAlign w:val="bottom"/>
          </w:tcPr>
          <w:p>
            <w:pPr>
              <w:spacing w:after="0"/>
              <w:rPr>
                <w:sz w:val="1"/>
                <w:szCs w:val="1"/>
                <w:color w:val="auto"/>
              </w:rPr>
            </w:pPr>
          </w:p>
        </w:tc>
      </w:tr>
      <w:tr>
        <w:trPr>
          <w:trHeight w:val="201"/>
        </w:trPr>
        <w:tc>
          <w:tcPr>
            <w:tcW w:w="5660" w:type="dxa"/>
            <w:vAlign w:val="bottom"/>
            <w:gridSpan w:val="2"/>
          </w:tcPr>
          <w:p>
            <w:pPr>
              <w:ind w:left="20"/>
              <w:spacing w:after="0"/>
              <w:rPr>
                <w:sz w:val="20"/>
                <w:szCs w:val="20"/>
                <w:color w:val="auto"/>
              </w:rPr>
            </w:pPr>
            <w:r>
              <w:rPr>
                <w:rFonts w:ascii="Arial" w:cs="Arial" w:eastAsia="Arial" w:hAnsi="Arial"/>
                <w:sz w:val="16"/>
                <w:szCs w:val="16"/>
                <w:color w:val="auto"/>
              </w:rPr>
              <w:t>Other comprehensive income:</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6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Unrealized gains (losses) on available-for-sale securities:</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660" w:type="dxa"/>
            <w:vAlign w:val="bottom"/>
            <w:gridSpan w:val="2"/>
          </w:tcPr>
          <w:p>
            <w:pPr>
              <w:ind w:left="240"/>
              <w:spacing w:after="0"/>
              <w:rPr>
                <w:sz w:val="20"/>
                <w:szCs w:val="20"/>
                <w:color w:val="auto"/>
              </w:rPr>
            </w:pPr>
            <w:r>
              <w:rPr>
                <w:rFonts w:ascii="Arial" w:cs="Arial" w:eastAsia="Arial" w:hAnsi="Arial"/>
                <w:sz w:val="16"/>
                <w:szCs w:val="16"/>
                <w:color w:val="auto"/>
              </w:rPr>
              <w:t>Unrealized holding gains (losses) arising during the period</w:t>
            </w:r>
          </w:p>
        </w:tc>
        <w:tc>
          <w:tcPr>
            <w:tcW w:w="120" w:type="dxa"/>
            <w:vAlign w:val="bottom"/>
          </w:tcPr>
          <w:p>
            <w:pPr>
              <w:spacing w:after="0"/>
              <w:rPr>
                <w:sz w:val="17"/>
                <w:szCs w:val="17"/>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10,268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(1,470)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8,798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(39,967)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11,080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(28,887)</w:t>
            </w:r>
          </w:p>
        </w:tc>
        <w:tc>
          <w:tcPr>
            <w:tcW w:w="0" w:type="dxa"/>
            <w:vAlign w:val="bottom"/>
          </w:tcPr>
          <w:p>
            <w:pPr>
              <w:spacing w:after="0"/>
              <w:rPr>
                <w:sz w:val="1"/>
                <w:szCs w:val="1"/>
                <w:color w:val="auto"/>
              </w:rPr>
            </w:pPr>
          </w:p>
        </w:tc>
      </w:tr>
      <w:tr>
        <w:trPr>
          <w:trHeight w:val="204"/>
        </w:trPr>
        <w:tc>
          <w:tcPr>
            <w:tcW w:w="56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Reclassification adjustment for gains included in net income</w:t>
            </w: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95"/>
        </w:trPr>
        <w:tc>
          <w:tcPr>
            <w:tcW w:w="5660" w:type="dxa"/>
            <w:vAlign w:val="bottom"/>
            <w:gridSpan w:val="2"/>
          </w:tcPr>
          <w:p>
            <w:pPr>
              <w:ind w:left="360"/>
              <w:spacing w:after="0"/>
              <w:rPr>
                <w:sz w:val="20"/>
                <w:szCs w:val="20"/>
                <w:color w:val="auto"/>
              </w:rPr>
            </w:pPr>
            <w:r>
              <w:rPr>
                <w:rFonts w:ascii="Arial" w:cs="Arial" w:eastAsia="Arial" w:hAnsi="Arial"/>
                <w:sz w:val="16"/>
                <w:szCs w:val="16"/>
                <w:color w:val="auto"/>
              </w:rPr>
              <w:t>Net unrealized gains (losses)</w:t>
            </w:r>
          </w:p>
        </w:tc>
        <w:tc>
          <w:tcPr>
            <w:tcW w:w="120" w:type="dxa"/>
            <w:vAlign w:val="bottom"/>
          </w:tcPr>
          <w:p>
            <w:pPr>
              <w:spacing w:after="0"/>
              <w:rPr>
                <w:sz w:val="16"/>
                <w:szCs w:val="16"/>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10,227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(1,456)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8,771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(40,008)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11,094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(28,914)</w:t>
            </w:r>
          </w:p>
        </w:tc>
        <w:tc>
          <w:tcPr>
            <w:tcW w:w="0" w:type="dxa"/>
            <w:vAlign w:val="bottom"/>
          </w:tcPr>
          <w:p>
            <w:pPr>
              <w:spacing w:after="0"/>
              <w:rPr>
                <w:sz w:val="1"/>
                <w:szCs w:val="1"/>
                <w:color w:val="auto"/>
              </w:rPr>
            </w:pPr>
          </w:p>
        </w:tc>
      </w:tr>
      <w:tr>
        <w:trPr>
          <w:trHeight w:val="204"/>
        </w:trPr>
        <w:tc>
          <w:tcPr>
            <w:tcW w:w="56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Derivative instruments designated as cash flow hedges:</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660" w:type="dxa"/>
            <w:vAlign w:val="bottom"/>
            <w:gridSpan w:val="2"/>
          </w:tcPr>
          <w:p>
            <w:pPr>
              <w:ind w:left="260"/>
              <w:spacing w:after="0"/>
              <w:rPr>
                <w:sz w:val="20"/>
                <w:szCs w:val="20"/>
                <w:color w:val="auto"/>
              </w:rPr>
            </w:pPr>
            <w:r>
              <w:rPr>
                <w:rFonts w:ascii="Arial" w:cs="Arial" w:eastAsia="Arial" w:hAnsi="Arial"/>
                <w:sz w:val="16"/>
                <w:szCs w:val="16"/>
                <w:color w:val="auto"/>
              </w:rPr>
              <w:t>Unrealized holding gains (losses) on derivatives arising during the period</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(2,739)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(2,039)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3,044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(777)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2,267</w:t>
            </w:r>
          </w:p>
        </w:tc>
        <w:tc>
          <w:tcPr>
            <w:tcW w:w="0" w:type="dxa"/>
            <w:vAlign w:val="bottom"/>
          </w:tcPr>
          <w:p>
            <w:pPr>
              <w:spacing w:after="0"/>
              <w:rPr>
                <w:sz w:val="1"/>
                <w:szCs w:val="1"/>
                <w:color w:val="auto"/>
              </w:rPr>
            </w:pPr>
          </w:p>
        </w:tc>
      </w:tr>
      <w:tr>
        <w:trPr>
          <w:trHeight w:val="204"/>
        </w:trPr>
        <w:tc>
          <w:tcPr>
            <w:tcW w:w="56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Reclassification of losses on derivative instruments realized in net income</w:t>
            </w: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147</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0" w:type="dxa"/>
            <w:vAlign w:val="bottom"/>
          </w:tcPr>
          <w:p>
            <w:pPr>
              <w:spacing w:after="0"/>
              <w:rPr>
                <w:sz w:val="1"/>
                <w:szCs w:val="1"/>
                <w:color w:val="auto"/>
              </w:rPr>
            </w:pPr>
          </w:p>
        </w:tc>
      </w:tr>
      <w:tr>
        <w:trPr>
          <w:trHeight w:val="195"/>
        </w:trPr>
        <w:tc>
          <w:tcPr>
            <w:tcW w:w="5660" w:type="dxa"/>
            <w:vAlign w:val="bottom"/>
            <w:gridSpan w:val="2"/>
          </w:tcPr>
          <w:p>
            <w:pPr>
              <w:ind w:left="360"/>
              <w:spacing w:after="0"/>
              <w:rPr>
                <w:sz w:val="20"/>
                <w:szCs w:val="20"/>
                <w:color w:val="auto"/>
              </w:rPr>
            </w:pPr>
            <w:r>
              <w:rPr>
                <w:rFonts w:ascii="Arial" w:cs="Arial" w:eastAsia="Arial" w:hAnsi="Arial"/>
                <w:sz w:val="16"/>
                <w:szCs w:val="16"/>
                <w:color w:val="auto"/>
              </w:rPr>
              <w:t>Net cash flow hedge activity</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(2,592)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663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(1,929)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3,335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(851)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2,484</w:t>
            </w:r>
          </w:p>
        </w:tc>
        <w:tc>
          <w:tcPr>
            <w:tcW w:w="0" w:type="dxa"/>
            <w:vAlign w:val="bottom"/>
          </w:tcPr>
          <w:p>
            <w:pPr>
              <w:spacing w:after="0"/>
              <w:rPr>
                <w:sz w:val="1"/>
                <w:szCs w:val="1"/>
                <w:color w:val="auto"/>
              </w:rPr>
            </w:pPr>
          </w:p>
        </w:tc>
      </w:tr>
      <w:tr>
        <w:trPr>
          <w:trHeight w:val="150"/>
        </w:trPr>
        <w:tc>
          <w:tcPr>
            <w:tcW w:w="5660" w:type="dxa"/>
            <w:vAlign w:val="bottom"/>
            <w:gridSpan w:val="2"/>
            <w:shd w:val="clear" w:color="auto" w:fill="CCEEFF"/>
          </w:tcPr>
          <w:p>
            <w:pPr>
              <w:ind w:left="140"/>
              <w:spacing w:after="0" w:line="150" w:lineRule="exact"/>
              <w:rPr>
                <w:sz w:val="20"/>
                <w:szCs w:val="20"/>
                <w:color w:val="auto"/>
              </w:rPr>
            </w:pPr>
            <w:r>
              <w:rPr>
                <w:rFonts w:ascii="Arial" w:cs="Arial" w:eastAsia="Arial" w:hAnsi="Arial"/>
                <w:sz w:val="16"/>
                <w:szCs w:val="16"/>
                <w:color w:val="auto"/>
              </w:rPr>
              <w:t>Amortization of prior service cost and actuarial losses included in net periodic</w:t>
            </w:r>
          </w:p>
        </w:tc>
        <w:tc>
          <w:tcPr>
            <w:tcW w:w="12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261</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522</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388</w:t>
            </w:r>
          </w:p>
        </w:tc>
        <w:tc>
          <w:tcPr>
            <w:tcW w:w="0" w:type="dxa"/>
            <w:vAlign w:val="bottom"/>
          </w:tcPr>
          <w:p>
            <w:pPr>
              <w:spacing w:after="0"/>
              <w:rPr>
                <w:sz w:val="1"/>
                <w:szCs w:val="1"/>
                <w:color w:val="auto"/>
              </w:rPr>
            </w:pPr>
          </w:p>
        </w:tc>
      </w:tr>
      <w:tr>
        <w:trPr>
          <w:trHeight w:val="203"/>
        </w:trPr>
        <w:tc>
          <w:tcPr>
            <w:tcW w:w="56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pension cost for defined benefit pension plan</w:t>
            </w: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660" w:type="dxa"/>
            <w:vAlign w:val="bottom"/>
            <w:tcBorders>
              <w:bottom w:val="single" w:sz="8" w:color="CCEEFF"/>
            </w:tcBorders>
            <w:gridSpan w:val="2"/>
          </w:tcPr>
          <w:p>
            <w:pPr>
              <w:ind w:left="360"/>
              <w:spacing w:after="0"/>
              <w:rPr>
                <w:sz w:val="20"/>
                <w:szCs w:val="20"/>
                <w:color w:val="auto"/>
              </w:rPr>
            </w:pPr>
            <w:r>
              <w:rPr>
                <w:rFonts w:ascii="Arial" w:cs="Arial" w:eastAsia="Arial" w:hAnsi="Arial"/>
                <w:sz w:val="16"/>
                <w:szCs w:val="16"/>
                <w:color w:val="auto"/>
              </w:rPr>
              <w:t>Total other comprehensive income (loss)</w:t>
            </w: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7,896</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(860)</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7,036</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(36,151)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10,109</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(26,042)</w:t>
            </w:r>
          </w:p>
        </w:tc>
        <w:tc>
          <w:tcPr>
            <w:tcW w:w="0" w:type="dxa"/>
            <w:vAlign w:val="bottom"/>
          </w:tcPr>
          <w:p>
            <w:pPr>
              <w:spacing w:after="0"/>
              <w:rPr>
                <w:sz w:val="1"/>
                <w:szCs w:val="1"/>
                <w:color w:val="auto"/>
              </w:rPr>
            </w:pPr>
          </w:p>
        </w:tc>
      </w:tr>
      <w:tr>
        <w:trPr>
          <w:trHeight w:val="222"/>
        </w:trPr>
        <w:tc>
          <w:tcPr>
            <w:tcW w:w="56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Comprehensive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100,161</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(22,865)</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77,296</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149,970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(32,046)</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117,924</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2020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5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32,019</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(6,923)</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25,096</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72,710</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(15,730)</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56,980</w:t>
            </w:r>
          </w:p>
        </w:tc>
        <w:tc>
          <w:tcPr>
            <w:tcW w:w="0" w:type="dxa"/>
            <w:vAlign w:val="bottom"/>
          </w:tcPr>
          <w:p>
            <w:pPr>
              <w:spacing w:after="0"/>
              <w:rPr>
                <w:sz w:val="1"/>
                <w:szCs w:val="1"/>
                <w:color w:val="auto"/>
              </w:rPr>
            </w:pPr>
          </w:p>
        </w:tc>
      </w:tr>
      <w:tr>
        <w:trPr>
          <w:trHeight w:val="204"/>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660" w:type="dxa"/>
            <w:vAlign w:val="bottom"/>
            <w:gridSpan w:val="2"/>
          </w:tcPr>
          <w:p>
            <w:pPr>
              <w:ind w:left="140"/>
              <w:spacing w:after="0"/>
              <w:rPr>
                <w:sz w:val="20"/>
                <w:szCs w:val="20"/>
                <w:color w:val="auto"/>
              </w:rPr>
            </w:pPr>
            <w:r>
              <w:rPr>
                <w:rFonts w:ascii="Arial" w:cs="Arial" w:eastAsia="Arial" w:hAnsi="Arial"/>
                <w:sz w:val="16"/>
                <w:szCs w:val="16"/>
                <w:color w:val="auto"/>
              </w:rPr>
              <w:t>Unrealized gains on available-for-sale securities</w:t>
            </w:r>
          </w:p>
        </w:tc>
        <w:tc>
          <w:tcPr>
            <w:tcW w:w="120" w:type="dxa"/>
            <w:vAlign w:val="bottom"/>
          </w:tcPr>
          <w:p>
            <w:pPr>
              <w:spacing w:after="0"/>
              <w:rPr>
                <w:sz w:val="17"/>
                <w:szCs w:val="17"/>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28,985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(6,969)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22,016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42,670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(10,402)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32,268</w:t>
            </w:r>
          </w:p>
        </w:tc>
        <w:tc>
          <w:tcPr>
            <w:tcW w:w="0" w:type="dxa"/>
            <w:vAlign w:val="bottom"/>
          </w:tcPr>
          <w:p>
            <w:pPr>
              <w:spacing w:after="0"/>
              <w:rPr>
                <w:sz w:val="1"/>
                <w:szCs w:val="1"/>
                <w:color w:val="auto"/>
              </w:rPr>
            </w:pPr>
          </w:p>
        </w:tc>
      </w:tr>
      <w:tr>
        <w:trPr>
          <w:trHeight w:val="150"/>
        </w:trPr>
        <w:tc>
          <w:tcPr>
            <w:tcW w:w="5660" w:type="dxa"/>
            <w:vAlign w:val="bottom"/>
            <w:gridSpan w:val="2"/>
            <w:shd w:val="clear" w:color="auto" w:fill="CCEEFF"/>
          </w:tcPr>
          <w:p>
            <w:pPr>
              <w:ind w:left="140"/>
              <w:spacing w:after="0" w:line="150" w:lineRule="exact"/>
              <w:rPr>
                <w:sz w:val="20"/>
                <w:szCs w:val="20"/>
                <w:color w:val="auto"/>
              </w:rPr>
            </w:pPr>
            <w:r>
              <w:rPr>
                <w:rFonts w:ascii="Arial" w:cs="Arial" w:eastAsia="Arial" w:hAnsi="Arial"/>
                <w:sz w:val="16"/>
                <w:szCs w:val="16"/>
                <w:color w:val="auto"/>
              </w:rPr>
              <w:t>Amortization of losses included in net income on available-for-sale securities</w:t>
            </w:r>
          </w:p>
        </w:tc>
        <w:tc>
          <w:tcPr>
            <w:tcW w:w="12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96</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02"/>
        </w:trPr>
        <w:tc>
          <w:tcPr>
            <w:tcW w:w="56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transferred to held-to-maturity</w:t>
            </w:r>
          </w:p>
        </w:tc>
        <w:tc>
          <w:tcPr>
            <w:tcW w:w="12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660" w:type="dxa"/>
            <w:vAlign w:val="bottom"/>
            <w:gridSpan w:val="2"/>
          </w:tcPr>
          <w:p>
            <w:pPr>
              <w:ind w:left="140"/>
              <w:spacing w:after="0"/>
              <w:rPr>
                <w:sz w:val="20"/>
                <w:szCs w:val="20"/>
                <w:color w:val="auto"/>
              </w:rPr>
            </w:pPr>
            <w:r>
              <w:rPr>
                <w:rFonts w:ascii="Arial" w:cs="Arial" w:eastAsia="Arial" w:hAnsi="Arial"/>
                <w:sz w:val="16"/>
                <w:szCs w:val="16"/>
                <w:color w:val="auto"/>
              </w:rPr>
              <w:t>Derivative instruments designated as cash flow hedges:</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6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Unrealized holding losses on derivatives arising during the period</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w:t>
            </w:r>
          </w:p>
        </w:tc>
        <w:tc>
          <w:tcPr>
            <w:tcW w:w="0" w:type="dxa"/>
            <w:vAlign w:val="bottom"/>
          </w:tcPr>
          <w:p>
            <w:pPr>
              <w:spacing w:after="0"/>
              <w:rPr>
                <w:sz w:val="1"/>
                <w:szCs w:val="1"/>
                <w:color w:val="auto"/>
              </w:rPr>
            </w:pPr>
          </w:p>
        </w:tc>
      </w:tr>
      <w:tr>
        <w:trPr>
          <w:trHeight w:val="201"/>
        </w:trPr>
        <w:tc>
          <w:tcPr>
            <w:tcW w:w="5660" w:type="dxa"/>
            <w:vAlign w:val="bottom"/>
            <w:tcBorders>
              <w:bottom w:val="single" w:sz="8" w:color="CCEEFF"/>
            </w:tcBorders>
            <w:gridSpan w:val="2"/>
          </w:tcPr>
          <w:p>
            <w:pPr>
              <w:ind w:left="260"/>
              <w:spacing w:after="0"/>
              <w:rPr>
                <w:sz w:val="20"/>
                <w:szCs w:val="20"/>
                <w:color w:val="auto"/>
              </w:rPr>
            </w:pPr>
            <w:r>
              <w:rPr>
                <w:rFonts w:ascii="Arial" w:cs="Arial" w:eastAsia="Arial" w:hAnsi="Arial"/>
                <w:sz w:val="16"/>
                <w:szCs w:val="16"/>
                <w:color w:val="auto"/>
              </w:rPr>
              <w:t>Reclassification of losses on derivative instruments realized in net income</w:t>
            </w: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67</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197"/>
        </w:trPr>
        <w:tc>
          <w:tcPr>
            <w:tcW w:w="566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Net cash flow hedge activity</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w:t>
            </w:r>
          </w:p>
        </w:tc>
        <w:tc>
          <w:tcPr>
            <w:tcW w:w="0" w:type="dxa"/>
            <w:vAlign w:val="bottom"/>
          </w:tcPr>
          <w:p>
            <w:pPr>
              <w:spacing w:after="0"/>
              <w:rPr>
                <w:sz w:val="1"/>
                <w:szCs w:val="1"/>
                <w:color w:val="auto"/>
              </w:rPr>
            </w:pPr>
          </w:p>
        </w:tc>
      </w:tr>
      <w:tr>
        <w:trPr>
          <w:trHeight w:val="148"/>
        </w:trPr>
        <w:tc>
          <w:tcPr>
            <w:tcW w:w="5660" w:type="dxa"/>
            <w:vAlign w:val="bottom"/>
            <w:gridSpan w:val="2"/>
          </w:tcPr>
          <w:p>
            <w:pPr>
              <w:ind w:left="140"/>
              <w:spacing w:after="0" w:line="148" w:lineRule="exact"/>
              <w:rPr>
                <w:sz w:val="20"/>
                <w:szCs w:val="20"/>
                <w:color w:val="auto"/>
              </w:rPr>
            </w:pPr>
            <w:r>
              <w:rPr>
                <w:rFonts w:ascii="Arial" w:cs="Arial" w:eastAsia="Arial" w:hAnsi="Arial"/>
                <w:sz w:val="16"/>
                <w:szCs w:val="16"/>
                <w:color w:val="auto"/>
              </w:rPr>
              <w:t>Amortization of prior service cost and actuarial losses included in net periodic</w:t>
            </w:r>
          </w:p>
        </w:tc>
        <w:tc>
          <w:tcPr>
            <w:tcW w:w="120" w:type="dxa"/>
            <w:vAlign w:val="bottom"/>
          </w:tcPr>
          <w:p>
            <w:pPr>
              <w:spacing w:after="0"/>
              <w:rPr>
                <w:sz w:val="12"/>
                <w:szCs w:val="12"/>
                <w:color w:val="auto"/>
              </w:rPr>
            </w:pPr>
          </w:p>
        </w:tc>
        <w:tc>
          <w:tcPr>
            <w:tcW w:w="740" w:type="dxa"/>
            <w:vAlign w:val="bottom"/>
            <w:vMerge w:val="restart"/>
          </w:tcPr>
          <w:p>
            <w:pPr>
              <w:jc w:val="right"/>
              <w:ind w:right="1"/>
              <w:spacing w:after="0"/>
              <w:rPr>
                <w:sz w:val="20"/>
                <w:szCs w:val="20"/>
                <w:color w:val="auto"/>
              </w:rPr>
            </w:pPr>
            <w:r>
              <w:rPr>
                <w:rFonts w:ascii="Arial" w:cs="Arial" w:eastAsia="Arial" w:hAnsi="Arial"/>
                <w:sz w:val="16"/>
                <w:szCs w:val="16"/>
                <w:color w:val="auto"/>
              </w:rPr>
              <w:t>214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(55)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159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428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(109)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319</w:t>
            </w:r>
          </w:p>
        </w:tc>
        <w:tc>
          <w:tcPr>
            <w:tcW w:w="0" w:type="dxa"/>
            <w:vAlign w:val="bottom"/>
          </w:tcPr>
          <w:p>
            <w:pPr>
              <w:spacing w:after="0"/>
              <w:rPr>
                <w:sz w:val="1"/>
                <w:szCs w:val="1"/>
                <w:color w:val="auto"/>
              </w:rPr>
            </w:pPr>
          </w:p>
        </w:tc>
      </w:tr>
      <w:tr>
        <w:trPr>
          <w:trHeight w:val="201"/>
        </w:trPr>
        <w:tc>
          <w:tcPr>
            <w:tcW w:w="566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pension cost for defined benefit pension plan</w:t>
            </w: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6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Total other comprehensive income</w:t>
            </w: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28,534</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(6,853)</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21,681</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42,516</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(10,360)</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32,156</w:t>
            </w:r>
          </w:p>
        </w:tc>
        <w:tc>
          <w:tcPr>
            <w:tcW w:w="0" w:type="dxa"/>
            <w:vAlign w:val="bottom"/>
          </w:tcPr>
          <w:p>
            <w:pPr>
              <w:spacing w:after="0"/>
              <w:rPr>
                <w:sz w:val="1"/>
                <w:szCs w:val="1"/>
                <w:color w:val="auto"/>
              </w:rPr>
            </w:pPr>
          </w:p>
        </w:tc>
      </w:tr>
      <w:tr>
        <w:trPr>
          <w:trHeight w:val="197"/>
        </w:trPr>
        <w:tc>
          <w:tcPr>
            <w:tcW w:w="5660" w:type="dxa"/>
            <w:vAlign w:val="bottom"/>
            <w:gridSpan w:val="2"/>
          </w:tcPr>
          <w:p>
            <w:pPr>
              <w:ind w:left="360"/>
              <w:spacing w:after="0"/>
              <w:rPr>
                <w:sz w:val="20"/>
                <w:szCs w:val="20"/>
                <w:color w:val="auto"/>
              </w:rPr>
            </w:pPr>
            <w:r>
              <w:rPr>
                <w:rFonts w:ascii="Arial" w:cs="Arial" w:eastAsia="Arial" w:hAnsi="Arial"/>
                <w:sz w:val="16"/>
                <w:szCs w:val="16"/>
                <w:color w:val="auto"/>
              </w:rPr>
              <w:t>Comprehensive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60,553</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(13,776)</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46,777</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115,226</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(26,090)</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89,136</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 (unaudited).</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7" w:name="page8"/>
    <w:bookmarkEnd w:id="7"/>
    <w:p>
      <w:pPr>
        <w:ind w:left="20"/>
        <w:spacing w:after="0"/>
        <w:rPr>
          <w:sz w:val="20"/>
          <w:szCs w:val="20"/>
          <w:color w:val="auto"/>
        </w:rPr>
      </w:pPr>
      <w:r>
        <w:rPr>
          <w:rFonts w:ascii="Arial" w:cs="Arial" w:eastAsia="Arial" w:hAnsi="Arial"/>
          <w:sz w:val="16"/>
          <w:szCs w:val="16"/>
          <w:b w:val="1"/>
          <w:bCs w:val="1"/>
          <w:color w:val="auto"/>
        </w:rPr>
        <w:t>UNITED COMMUNITY BANKS, INC.</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Consolidated Statement of Changes in Shareholders’ Equity </w:t>
      </w:r>
      <w:r>
        <w:rPr>
          <w:rFonts w:ascii="Arial" w:cs="Arial" w:eastAsia="Arial" w:hAnsi="Arial"/>
          <w:sz w:val="16"/>
          <w:szCs w:val="16"/>
          <w:i w:val="1"/>
          <w:iCs w:val="1"/>
          <w:color w:val="auto"/>
        </w:rPr>
        <w:t>(Unaudited)</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Shares of</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Common</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14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Preferred</w:t>
            </w:r>
          </w:p>
        </w:tc>
        <w:tc>
          <w:tcPr>
            <w:tcW w:w="100" w:type="dxa"/>
            <w:vAlign w:val="bottom"/>
          </w:tcPr>
          <w:p>
            <w:pPr>
              <w:spacing w:after="0"/>
              <w:rPr>
                <w:sz w:val="11"/>
                <w:szCs w:val="11"/>
                <w:color w:val="auto"/>
              </w:rPr>
            </w:pPr>
          </w:p>
        </w:tc>
        <w:tc>
          <w:tcPr>
            <w:tcW w:w="8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Common</w:t>
            </w:r>
          </w:p>
        </w:tc>
        <w:tc>
          <w:tcPr>
            <w:tcW w:w="1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1"/>
                <w:szCs w:val="11"/>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1"/>
                <w:szCs w:val="11"/>
                <w:color w:val="auto"/>
              </w:rPr>
            </w:pPr>
          </w:p>
        </w:tc>
        <w:tc>
          <w:tcPr>
            <w:tcW w:w="12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tcPr>
          <w:p>
            <w:pPr>
              <w:spacing w:after="0"/>
              <w:rPr>
                <w:sz w:val="11"/>
                <w:szCs w:val="11"/>
                <w:color w:val="auto"/>
              </w:rPr>
            </w:pPr>
          </w:p>
        </w:tc>
        <w:tc>
          <w:tcPr>
            <w:tcW w:w="10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2"/>
              </w:rPr>
              <w:t>Common</w:t>
            </w: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4"/>
              </w:rPr>
              <w:t>Stock</w:t>
            </w:r>
          </w:p>
        </w:tc>
        <w:tc>
          <w:tcPr>
            <w:tcW w:w="16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80" w:type="dxa"/>
            <w:vAlign w:val="bottom"/>
          </w:tcPr>
          <w:p>
            <w:pPr>
              <w:spacing w:after="0"/>
              <w:rPr>
                <w:sz w:val="11"/>
                <w:szCs w:val="11"/>
                <w:color w:val="auto"/>
              </w:rPr>
            </w:pPr>
          </w:p>
        </w:tc>
        <w:tc>
          <w:tcPr>
            <w:tcW w:w="7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140" w:type="dxa"/>
            <w:vAlign w:val="bottom"/>
          </w:tcPr>
          <w:p>
            <w:pPr>
              <w:spacing w:after="0"/>
              <w:rPr>
                <w:sz w:val="16"/>
                <w:szCs w:val="16"/>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6"/>
                <w:szCs w:val="16"/>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6"/>
                <w:szCs w:val="16"/>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6"/>
                <w:szCs w:val="16"/>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Issuable</w:t>
            </w:r>
          </w:p>
        </w:tc>
        <w:tc>
          <w:tcPr>
            <w:tcW w:w="16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Surplus</w:t>
            </w:r>
          </w:p>
        </w:tc>
        <w:tc>
          <w:tcPr>
            <w:tcW w:w="120" w:type="dxa"/>
            <w:vAlign w:val="bottom"/>
          </w:tcPr>
          <w:p>
            <w:pPr>
              <w:spacing w:after="0"/>
              <w:rPr>
                <w:sz w:val="16"/>
                <w:szCs w:val="16"/>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6"/>
                <w:szCs w:val="16"/>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Income (Loss)</w:t>
            </w: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March 31, 2020</w:t>
            </w:r>
          </w:p>
        </w:tc>
        <w:tc>
          <w:tcPr>
            <w:tcW w:w="9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78,283,544</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78,284</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10,534</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1,478,719</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54,206</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18,869</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1,640,612</w:t>
            </w:r>
          </w:p>
        </w:tc>
        <w:tc>
          <w:tcPr>
            <w:tcW w:w="0" w:type="dxa"/>
            <w:vAlign w:val="bottom"/>
          </w:tcPr>
          <w:p>
            <w:pPr>
              <w:spacing w:after="0"/>
              <w:rPr>
                <w:sz w:val="1"/>
                <w:szCs w:val="1"/>
                <w:color w:val="auto"/>
              </w:rPr>
            </w:pPr>
          </w:p>
        </w:tc>
      </w:tr>
      <w:tr>
        <w:trPr>
          <w:trHeight w:val="186"/>
        </w:trPr>
        <w:tc>
          <w:tcPr>
            <w:tcW w:w="31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25,096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25,096</w:t>
            </w:r>
          </w:p>
        </w:tc>
        <w:tc>
          <w:tcPr>
            <w:tcW w:w="0" w:type="dxa"/>
            <w:vAlign w:val="bottom"/>
          </w:tcPr>
          <w:p>
            <w:pPr>
              <w:spacing w:after="0"/>
              <w:rPr>
                <w:sz w:val="1"/>
                <w:szCs w:val="1"/>
                <w:color w:val="auto"/>
              </w:rPr>
            </w:pPr>
          </w:p>
        </w:tc>
      </w:tr>
      <w:tr>
        <w:trPr>
          <w:trHeight w:val="192"/>
        </w:trPr>
        <w:tc>
          <w:tcPr>
            <w:tcW w:w="3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21,681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21,681</w:t>
            </w:r>
          </w:p>
        </w:tc>
        <w:tc>
          <w:tcPr>
            <w:tcW w:w="0" w:type="dxa"/>
            <w:vAlign w:val="bottom"/>
          </w:tcPr>
          <w:p>
            <w:pPr>
              <w:spacing w:after="0"/>
              <w:rPr>
                <w:sz w:val="1"/>
                <w:szCs w:val="1"/>
                <w:color w:val="auto"/>
              </w:rPr>
            </w:pPr>
          </w:p>
        </w:tc>
      </w:tr>
      <w:tr>
        <w:trPr>
          <w:trHeight w:val="186"/>
        </w:trPr>
        <w:tc>
          <w:tcPr>
            <w:tcW w:w="3140" w:type="dxa"/>
            <w:vAlign w:val="bottom"/>
          </w:tcPr>
          <w:p>
            <w:pPr>
              <w:ind w:left="20"/>
              <w:spacing w:after="0"/>
              <w:rPr>
                <w:sz w:val="20"/>
                <w:szCs w:val="20"/>
                <w:color w:val="auto"/>
              </w:rPr>
            </w:pPr>
            <w:r>
              <w:rPr>
                <w:rFonts w:ascii="Arial" w:cs="Arial" w:eastAsia="Arial" w:hAnsi="Arial"/>
                <w:sz w:val="14"/>
                <w:szCs w:val="14"/>
                <w:color w:val="auto"/>
              </w:rPr>
              <w:t>Issuance of preferred stock</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96,660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96,660</w:t>
            </w:r>
          </w:p>
        </w:tc>
        <w:tc>
          <w:tcPr>
            <w:tcW w:w="0" w:type="dxa"/>
            <w:vAlign w:val="bottom"/>
          </w:tcPr>
          <w:p>
            <w:pPr>
              <w:spacing w:after="0"/>
              <w:rPr>
                <w:sz w:val="1"/>
                <w:szCs w:val="1"/>
                <w:color w:val="auto"/>
              </w:rPr>
            </w:pPr>
          </w:p>
        </w:tc>
      </w:tr>
      <w:tr>
        <w:trPr>
          <w:trHeight w:val="192"/>
        </w:trPr>
        <w:tc>
          <w:tcPr>
            <w:tcW w:w="3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dividends ($0.18 per share)</w:t>
            </w: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(14,312)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(14,312)</w:t>
            </w:r>
          </w:p>
        </w:tc>
        <w:tc>
          <w:tcPr>
            <w:tcW w:w="0" w:type="dxa"/>
            <w:vAlign w:val="bottom"/>
          </w:tcPr>
          <w:p>
            <w:pPr>
              <w:spacing w:after="0"/>
              <w:rPr>
                <w:sz w:val="1"/>
                <w:szCs w:val="1"/>
                <w:color w:val="auto"/>
              </w:rPr>
            </w:pPr>
          </w:p>
        </w:tc>
      </w:tr>
      <w:tr>
        <w:trPr>
          <w:trHeight w:val="186"/>
        </w:trPr>
        <w:tc>
          <w:tcPr>
            <w:tcW w:w="3140" w:type="dxa"/>
            <w:vAlign w:val="bottom"/>
          </w:tcPr>
          <w:p>
            <w:pPr>
              <w:ind w:left="20"/>
              <w:spacing w:after="0"/>
              <w:rPr>
                <w:sz w:val="20"/>
                <w:szCs w:val="20"/>
                <w:color w:val="auto"/>
              </w:rPr>
            </w:pPr>
            <w:r>
              <w:rPr>
                <w:rFonts w:ascii="Arial" w:cs="Arial" w:eastAsia="Arial" w:hAnsi="Arial"/>
                <w:sz w:val="14"/>
                <w:szCs w:val="14"/>
                <w:color w:val="auto"/>
              </w:rPr>
              <w:t>Impact of equity-based compensation awards</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38,247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1,524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1,573</w:t>
            </w:r>
          </w:p>
        </w:tc>
        <w:tc>
          <w:tcPr>
            <w:tcW w:w="0" w:type="dxa"/>
            <w:vAlign w:val="bottom"/>
          </w:tcPr>
          <w:p>
            <w:pPr>
              <w:spacing w:after="0"/>
              <w:rPr>
                <w:sz w:val="1"/>
                <w:szCs w:val="1"/>
                <w:color w:val="auto"/>
              </w:rPr>
            </w:pPr>
          </w:p>
        </w:tc>
      </w:tr>
      <w:tr>
        <w:trPr>
          <w:trHeight w:val="192"/>
        </w:trPr>
        <w:tc>
          <w:tcPr>
            <w:tcW w:w="3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Impact of other United sponsored equity plans</w:t>
            </w: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13,336</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335</w:t>
            </w:r>
          </w:p>
        </w:tc>
        <w:tc>
          <w:tcPr>
            <w:tcW w:w="0" w:type="dxa"/>
            <w:vAlign w:val="bottom"/>
          </w:tcPr>
          <w:p>
            <w:pPr>
              <w:spacing w:after="0"/>
              <w:rPr>
                <w:sz w:val="1"/>
                <w:szCs w:val="1"/>
                <w:color w:val="auto"/>
              </w:rPr>
            </w:pPr>
          </w:p>
        </w:tc>
      </w:tr>
      <w:tr>
        <w:trPr>
          <w:trHeight w:val="179"/>
        </w:trPr>
        <w:tc>
          <w:tcPr>
            <w:tcW w:w="3140" w:type="dxa"/>
            <w:vAlign w:val="bottom"/>
          </w:tcPr>
          <w:p>
            <w:pPr>
              <w:ind w:left="20"/>
              <w:spacing w:after="0"/>
              <w:rPr>
                <w:sz w:val="20"/>
                <w:szCs w:val="20"/>
                <w:color w:val="auto"/>
              </w:rPr>
            </w:pPr>
            <w:r>
              <w:rPr>
                <w:rFonts w:ascii="Arial" w:cs="Arial" w:eastAsia="Arial" w:hAnsi="Arial"/>
                <w:sz w:val="14"/>
                <w:szCs w:val="14"/>
                <w:b w:val="1"/>
                <w:bCs w:val="1"/>
                <w:color w:val="auto"/>
              </w:rPr>
              <w:t>Balance at June 30, 2020</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78,335,127</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96,660</w:t>
            </w:r>
          </w:p>
        </w:tc>
        <w:tc>
          <w:tcPr>
            <w:tcW w:w="12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78,335</w:t>
            </w:r>
          </w:p>
        </w:tc>
        <w:tc>
          <w:tcPr>
            <w:tcW w:w="12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10,646</w:t>
            </w:r>
          </w:p>
        </w:tc>
        <w:tc>
          <w:tcPr>
            <w:tcW w:w="120" w:type="dxa"/>
            <w:vAlign w:val="bottom"/>
          </w:tcPr>
          <w:p>
            <w:pPr>
              <w:spacing w:after="0"/>
              <w:rPr>
                <w:sz w:val="15"/>
                <w:szCs w:val="15"/>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1,480,464</w:t>
            </w:r>
          </w:p>
        </w:tc>
        <w:tc>
          <w:tcPr>
            <w:tcW w:w="12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64,990</w:t>
            </w:r>
          </w:p>
        </w:tc>
        <w:tc>
          <w:tcPr>
            <w:tcW w:w="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40,550</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1,771,645</w:t>
            </w:r>
          </w:p>
        </w:tc>
        <w:tc>
          <w:tcPr>
            <w:tcW w:w="0" w:type="dxa"/>
            <w:vAlign w:val="bottom"/>
          </w:tcPr>
          <w:p>
            <w:pPr>
              <w:spacing w:after="0"/>
              <w:rPr>
                <w:sz w:val="1"/>
                <w:szCs w:val="1"/>
                <w:color w:val="auto"/>
              </w:rPr>
            </w:pPr>
          </w:p>
        </w:tc>
      </w:tr>
      <w:tr>
        <w:trPr>
          <w:trHeight w:val="20"/>
        </w:trPr>
        <w:tc>
          <w:tcPr>
            <w:tcW w:w="31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140" w:type="dxa"/>
            <w:vAlign w:val="bottom"/>
          </w:tcPr>
          <w:p>
            <w:pPr>
              <w:ind w:left="20"/>
              <w:spacing w:after="0"/>
              <w:rPr>
                <w:sz w:val="20"/>
                <w:szCs w:val="20"/>
                <w:color w:val="auto"/>
              </w:rPr>
            </w:pPr>
            <w:r>
              <w:rPr>
                <w:rFonts w:ascii="Arial" w:cs="Arial" w:eastAsia="Arial" w:hAnsi="Arial"/>
                <w:sz w:val="14"/>
                <w:szCs w:val="14"/>
                <w:b w:val="1"/>
                <w:bCs w:val="1"/>
                <w:color w:val="auto"/>
              </w:rPr>
              <w:t>Balance at March 31, 2021</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86,776,508</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96,422</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86,777</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10,485</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1,640,583</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192,185</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4,632</w:t>
            </w:r>
          </w:p>
        </w:tc>
        <w:tc>
          <w:tcPr>
            <w:tcW w:w="12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2,031,084</w:t>
            </w:r>
          </w:p>
        </w:tc>
        <w:tc>
          <w:tcPr>
            <w:tcW w:w="0" w:type="dxa"/>
            <w:vAlign w:val="bottom"/>
          </w:tcPr>
          <w:p>
            <w:pPr>
              <w:spacing w:after="0"/>
              <w:rPr>
                <w:sz w:val="1"/>
                <w:szCs w:val="1"/>
                <w:color w:val="auto"/>
              </w:rPr>
            </w:pPr>
          </w:p>
        </w:tc>
      </w:tr>
      <w:tr>
        <w:trPr>
          <w:trHeight w:val="190"/>
        </w:trPr>
        <w:tc>
          <w:tcPr>
            <w:tcW w:w="3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70,260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70,260</w:t>
            </w:r>
          </w:p>
        </w:tc>
        <w:tc>
          <w:tcPr>
            <w:tcW w:w="0" w:type="dxa"/>
            <w:vAlign w:val="bottom"/>
          </w:tcPr>
          <w:p>
            <w:pPr>
              <w:spacing w:after="0"/>
              <w:rPr>
                <w:sz w:val="1"/>
                <w:szCs w:val="1"/>
                <w:color w:val="auto"/>
              </w:rPr>
            </w:pPr>
          </w:p>
        </w:tc>
      </w:tr>
      <w:tr>
        <w:trPr>
          <w:trHeight w:val="186"/>
        </w:trPr>
        <w:tc>
          <w:tcPr>
            <w:tcW w:w="3140" w:type="dxa"/>
            <w:vAlign w:val="bottom"/>
          </w:tcPr>
          <w:p>
            <w:pPr>
              <w:ind w:left="20"/>
              <w:spacing w:after="0"/>
              <w:rPr>
                <w:sz w:val="20"/>
                <w:szCs w:val="20"/>
                <w:color w:val="auto"/>
              </w:rPr>
            </w:pPr>
            <w:r>
              <w:rPr>
                <w:rFonts w:ascii="Arial" w:cs="Arial" w:eastAsia="Arial" w:hAnsi="Arial"/>
                <w:sz w:val="14"/>
                <w:szCs w:val="14"/>
                <w:color w:val="auto"/>
              </w:rPr>
              <w:t>Other comprehensive income</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7,036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7,036</w:t>
            </w:r>
          </w:p>
        </w:tc>
        <w:tc>
          <w:tcPr>
            <w:tcW w:w="0" w:type="dxa"/>
            <w:vAlign w:val="bottom"/>
          </w:tcPr>
          <w:p>
            <w:pPr>
              <w:spacing w:after="0"/>
              <w:rPr>
                <w:sz w:val="1"/>
                <w:szCs w:val="1"/>
                <w:color w:val="auto"/>
              </w:rPr>
            </w:pPr>
          </w:p>
        </w:tc>
      </w:tr>
      <w:tr>
        <w:trPr>
          <w:trHeight w:val="192"/>
        </w:trPr>
        <w:tc>
          <w:tcPr>
            <w:tcW w:w="3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Preferred stock dividends</w:t>
            </w: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(1,719)</w:t>
            </w:r>
          </w:p>
        </w:tc>
        <w:tc>
          <w:tcPr>
            <w:tcW w:w="0" w:type="dxa"/>
            <w:vAlign w:val="bottom"/>
          </w:tcPr>
          <w:p>
            <w:pPr>
              <w:spacing w:after="0"/>
              <w:rPr>
                <w:sz w:val="1"/>
                <w:szCs w:val="1"/>
                <w:color w:val="auto"/>
              </w:rPr>
            </w:pPr>
          </w:p>
        </w:tc>
      </w:tr>
      <w:tr>
        <w:trPr>
          <w:trHeight w:val="186"/>
        </w:trPr>
        <w:tc>
          <w:tcPr>
            <w:tcW w:w="3140" w:type="dxa"/>
            <w:vAlign w:val="bottom"/>
          </w:tcPr>
          <w:p>
            <w:pPr>
              <w:ind w:left="20"/>
              <w:spacing w:after="0"/>
              <w:rPr>
                <w:sz w:val="20"/>
                <w:szCs w:val="20"/>
                <w:color w:val="auto"/>
              </w:rPr>
            </w:pPr>
            <w:r>
              <w:rPr>
                <w:rFonts w:ascii="Arial" w:cs="Arial" w:eastAsia="Arial" w:hAnsi="Arial"/>
                <w:sz w:val="14"/>
                <w:szCs w:val="14"/>
                <w:color w:val="auto"/>
              </w:rPr>
              <w:t>Common stock dividends ($0.19 per share)</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(16,720)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(16,720)</w:t>
            </w:r>
          </w:p>
        </w:tc>
        <w:tc>
          <w:tcPr>
            <w:tcW w:w="0" w:type="dxa"/>
            <w:vAlign w:val="bottom"/>
          </w:tcPr>
          <w:p>
            <w:pPr>
              <w:spacing w:after="0"/>
              <w:rPr>
                <w:sz w:val="1"/>
                <w:szCs w:val="1"/>
                <w:color w:val="auto"/>
              </w:rPr>
            </w:pPr>
          </w:p>
        </w:tc>
      </w:tr>
      <w:tr>
        <w:trPr>
          <w:trHeight w:val="192"/>
        </w:trPr>
        <w:tc>
          <w:tcPr>
            <w:tcW w:w="3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common stock</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(150,000)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(5,101)</w:t>
            </w:r>
          </w:p>
        </w:tc>
        <w:tc>
          <w:tcPr>
            <w:tcW w:w="0" w:type="dxa"/>
            <w:vAlign w:val="bottom"/>
          </w:tcPr>
          <w:p>
            <w:pPr>
              <w:spacing w:after="0"/>
              <w:rPr>
                <w:sz w:val="1"/>
                <w:szCs w:val="1"/>
                <w:color w:val="auto"/>
              </w:rPr>
            </w:pPr>
          </w:p>
        </w:tc>
      </w:tr>
      <w:tr>
        <w:trPr>
          <w:trHeight w:val="186"/>
        </w:trPr>
        <w:tc>
          <w:tcPr>
            <w:tcW w:w="3140" w:type="dxa"/>
            <w:vAlign w:val="bottom"/>
          </w:tcPr>
          <w:p>
            <w:pPr>
              <w:ind w:left="20"/>
              <w:spacing w:after="0"/>
              <w:rPr>
                <w:sz w:val="20"/>
                <w:szCs w:val="20"/>
                <w:color w:val="auto"/>
              </w:rPr>
            </w:pPr>
            <w:r>
              <w:rPr>
                <w:rFonts w:ascii="Arial" w:cs="Arial" w:eastAsia="Arial" w:hAnsi="Arial"/>
                <w:sz w:val="14"/>
                <w:szCs w:val="14"/>
                <w:color w:val="auto"/>
              </w:rPr>
              <w:t>Impact of equity-based compensation awards</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35,675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1,166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1,272</w:t>
            </w:r>
          </w:p>
        </w:tc>
        <w:tc>
          <w:tcPr>
            <w:tcW w:w="0" w:type="dxa"/>
            <w:vAlign w:val="bottom"/>
          </w:tcPr>
          <w:p>
            <w:pPr>
              <w:spacing w:after="0"/>
              <w:rPr>
                <w:sz w:val="1"/>
                <w:szCs w:val="1"/>
                <w:color w:val="auto"/>
              </w:rPr>
            </w:pPr>
          </w:p>
        </w:tc>
      </w:tr>
      <w:tr>
        <w:trPr>
          <w:trHeight w:val="192"/>
        </w:trPr>
        <w:tc>
          <w:tcPr>
            <w:tcW w:w="3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Impact of other United sponsored equity plans</w:t>
            </w: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2,711</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179"/>
        </w:trPr>
        <w:tc>
          <w:tcPr>
            <w:tcW w:w="3140" w:type="dxa"/>
            <w:vAlign w:val="bottom"/>
          </w:tcPr>
          <w:p>
            <w:pPr>
              <w:ind w:left="20"/>
              <w:spacing w:after="0"/>
              <w:rPr>
                <w:sz w:val="20"/>
                <w:szCs w:val="20"/>
                <w:color w:val="auto"/>
              </w:rPr>
            </w:pPr>
            <w:r>
              <w:rPr>
                <w:rFonts w:ascii="Arial" w:cs="Arial" w:eastAsia="Arial" w:hAnsi="Arial"/>
                <w:sz w:val="14"/>
                <w:szCs w:val="14"/>
                <w:b w:val="1"/>
                <w:bCs w:val="1"/>
                <w:color w:val="auto"/>
              </w:rPr>
              <w:t>Balance at June 30, 2021</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86,664,894</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96,422</w:t>
            </w:r>
          </w:p>
        </w:tc>
        <w:tc>
          <w:tcPr>
            <w:tcW w:w="12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86,665</w:t>
            </w:r>
          </w:p>
        </w:tc>
        <w:tc>
          <w:tcPr>
            <w:tcW w:w="12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10,650</w:t>
            </w:r>
          </w:p>
        </w:tc>
        <w:tc>
          <w:tcPr>
            <w:tcW w:w="120" w:type="dxa"/>
            <w:vAlign w:val="bottom"/>
          </w:tcPr>
          <w:p>
            <w:pPr>
              <w:spacing w:after="0"/>
              <w:rPr>
                <w:sz w:val="15"/>
                <w:szCs w:val="15"/>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1,636,875</w:t>
            </w:r>
          </w:p>
        </w:tc>
        <w:tc>
          <w:tcPr>
            <w:tcW w:w="12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244,006</w:t>
            </w:r>
          </w:p>
        </w:tc>
        <w:tc>
          <w:tcPr>
            <w:tcW w:w="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11,668</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2,086,286</w:t>
            </w:r>
          </w:p>
        </w:tc>
        <w:tc>
          <w:tcPr>
            <w:tcW w:w="0" w:type="dxa"/>
            <w:vAlign w:val="bottom"/>
          </w:tcPr>
          <w:p>
            <w:pPr>
              <w:spacing w:after="0"/>
              <w:rPr>
                <w:sz w:val="1"/>
                <w:szCs w:val="1"/>
                <w:color w:val="auto"/>
              </w:rPr>
            </w:pPr>
          </w:p>
        </w:tc>
      </w:tr>
      <w:tr>
        <w:trPr>
          <w:trHeight w:val="20"/>
        </w:trPr>
        <w:tc>
          <w:tcPr>
            <w:tcW w:w="31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14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31, 2019</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79,013,729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79,014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11,491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1,496,641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40,152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8,394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1,635,692</w:t>
            </w:r>
          </w:p>
        </w:tc>
        <w:tc>
          <w:tcPr>
            <w:tcW w:w="0" w:type="dxa"/>
            <w:vAlign w:val="bottom"/>
          </w:tcPr>
          <w:p>
            <w:pPr>
              <w:spacing w:after="0"/>
              <w:rPr>
                <w:sz w:val="1"/>
                <w:szCs w:val="1"/>
                <w:color w:val="auto"/>
              </w:rPr>
            </w:pPr>
          </w:p>
        </w:tc>
      </w:tr>
      <w:tr>
        <w:trPr>
          <w:trHeight w:val="190"/>
        </w:trPr>
        <w:tc>
          <w:tcPr>
            <w:tcW w:w="3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56,980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56,980</w:t>
            </w:r>
          </w:p>
        </w:tc>
        <w:tc>
          <w:tcPr>
            <w:tcW w:w="0" w:type="dxa"/>
            <w:vAlign w:val="bottom"/>
          </w:tcPr>
          <w:p>
            <w:pPr>
              <w:spacing w:after="0"/>
              <w:rPr>
                <w:sz w:val="1"/>
                <w:szCs w:val="1"/>
                <w:color w:val="auto"/>
              </w:rPr>
            </w:pPr>
          </w:p>
        </w:tc>
      </w:tr>
      <w:tr>
        <w:trPr>
          <w:trHeight w:val="186"/>
        </w:trPr>
        <w:tc>
          <w:tcPr>
            <w:tcW w:w="3140" w:type="dxa"/>
            <w:vAlign w:val="bottom"/>
          </w:tcPr>
          <w:p>
            <w:pPr>
              <w:ind w:left="20"/>
              <w:spacing w:after="0"/>
              <w:rPr>
                <w:sz w:val="20"/>
                <w:szCs w:val="20"/>
                <w:color w:val="auto"/>
              </w:rPr>
            </w:pPr>
            <w:r>
              <w:rPr>
                <w:rFonts w:ascii="Arial" w:cs="Arial" w:eastAsia="Arial" w:hAnsi="Arial"/>
                <w:sz w:val="14"/>
                <w:szCs w:val="14"/>
                <w:color w:val="auto"/>
              </w:rPr>
              <w:t>Other comprehensive income</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32,156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32,156</w:t>
            </w:r>
          </w:p>
        </w:tc>
        <w:tc>
          <w:tcPr>
            <w:tcW w:w="0" w:type="dxa"/>
            <w:vAlign w:val="bottom"/>
          </w:tcPr>
          <w:p>
            <w:pPr>
              <w:spacing w:after="0"/>
              <w:rPr>
                <w:sz w:val="1"/>
                <w:szCs w:val="1"/>
                <w:color w:val="auto"/>
              </w:rPr>
            </w:pPr>
          </w:p>
        </w:tc>
      </w:tr>
      <w:tr>
        <w:trPr>
          <w:trHeight w:val="192"/>
        </w:trPr>
        <w:tc>
          <w:tcPr>
            <w:tcW w:w="3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preferred stock</w:t>
            </w: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96,660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96,660</w:t>
            </w:r>
          </w:p>
        </w:tc>
        <w:tc>
          <w:tcPr>
            <w:tcW w:w="0" w:type="dxa"/>
            <w:vAlign w:val="bottom"/>
          </w:tcPr>
          <w:p>
            <w:pPr>
              <w:spacing w:after="0"/>
              <w:rPr>
                <w:sz w:val="1"/>
                <w:szCs w:val="1"/>
                <w:color w:val="auto"/>
              </w:rPr>
            </w:pPr>
          </w:p>
        </w:tc>
      </w:tr>
      <w:tr>
        <w:trPr>
          <w:trHeight w:val="186"/>
        </w:trPr>
        <w:tc>
          <w:tcPr>
            <w:tcW w:w="3140" w:type="dxa"/>
            <w:vAlign w:val="bottom"/>
          </w:tcPr>
          <w:p>
            <w:pPr>
              <w:ind w:left="20"/>
              <w:spacing w:after="0"/>
              <w:rPr>
                <w:sz w:val="20"/>
                <w:szCs w:val="20"/>
                <w:color w:val="auto"/>
              </w:rPr>
            </w:pPr>
            <w:r>
              <w:rPr>
                <w:rFonts w:ascii="Arial" w:cs="Arial" w:eastAsia="Arial" w:hAnsi="Arial"/>
                <w:sz w:val="14"/>
                <w:szCs w:val="14"/>
                <w:color w:val="auto"/>
              </w:rPr>
              <w:t>Purchases of common stock</w:t>
            </w:r>
          </w:p>
        </w:tc>
        <w:tc>
          <w:tcPr>
            <w:tcW w:w="940" w:type="dxa"/>
            <w:vAlign w:val="bottom"/>
          </w:tcPr>
          <w:p>
            <w:pPr>
              <w:jc w:val="right"/>
              <w:spacing w:after="0"/>
              <w:rPr>
                <w:sz w:val="20"/>
                <w:szCs w:val="20"/>
                <w:color w:val="auto"/>
              </w:rPr>
            </w:pPr>
            <w:r>
              <w:rPr>
                <w:rFonts w:ascii="Arial" w:cs="Arial" w:eastAsia="Arial" w:hAnsi="Arial"/>
                <w:sz w:val="14"/>
                <w:szCs w:val="14"/>
                <w:color w:val="auto"/>
              </w:rPr>
              <w:t>(826,482)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(827)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(19,955)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(20,782)</w:t>
            </w:r>
          </w:p>
        </w:tc>
        <w:tc>
          <w:tcPr>
            <w:tcW w:w="0" w:type="dxa"/>
            <w:vAlign w:val="bottom"/>
          </w:tcPr>
          <w:p>
            <w:pPr>
              <w:spacing w:after="0"/>
              <w:rPr>
                <w:sz w:val="1"/>
                <w:szCs w:val="1"/>
                <w:color w:val="auto"/>
              </w:rPr>
            </w:pPr>
          </w:p>
        </w:tc>
      </w:tr>
      <w:tr>
        <w:trPr>
          <w:trHeight w:val="192"/>
        </w:trPr>
        <w:tc>
          <w:tcPr>
            <w:tcW w:w="3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dividends ($0.36 per share)</w:t>
            </w: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(28,613)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(28,613)</w:t>
            </w:r>
          </w:p>
        </w:tc>
        <w:tc>
          <w:tcPr>
            <w:tcW w:w="0" w:type="dxa"/>
            <w:vAlign w:val="bottom"/>
          </w:tcPr>
          <w:p>
            <w:pPr>
              <w:spacing w:after="0"/>
              <w:rPr>
                <w:sz w:val="1"/>
                <w:szCs w:val="1"/>
                <w:color w:val="auto"/>
              </w:rPr>
            </w:pPr>
          </w:p>
        </w:tc>
      </w:tr>
      <w:tr>
        <w:trPr>
          <w:trHeight w:val="186"/>
        </w:trPr>
        <w:tc>
          <w:tcPr>
            <w:tcW w:w="3140" w:type="dxa"/>
            <w:vAlign w:val="bottom"/>
          </w:tcPr>
          <w:p>
            <w:pPr>
              <w:ind w:left="20"/>
              <w:spacing w:after="0"/>
              <w:rPr>
                <w:sz w:val="20"/>
                <w:szCs w:val="20"/>
                <w:color w:val="auto"/>
              </w:rPr>
            </w:pPr>
            <w:r>
              <w:rPr>
                <w:rFonts w:ascii="Arial" w:cs="Arial" w:eastAsia="Arial" w:hAnsi="Arial"/>
                <w:sz w:val="14"/>
                <w:szCs w:val="14"/>
                <w:color w:val="auto"/>
              </w:rPr>
              <w:t>Impact of equity-based compensation awards</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62,252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676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2,839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3,577</w:t>
            </w:r>
          </w:p>
        </w:tc>
        <w:tc>
          <w:tcPr>
            <w:tcW w:w="0" w:type="dxa"/>
            <w:vAlign w:val="bottom"/>
          </w:tcPr>
          <w:p>
            <w:pPr>
              <w:spacing w:after="0"/>
              <w:rPr>
                <w:sz w:val="1"/>
                <w:szCs w:val="1"/>
                <w:color w:val="auto"/>
              </w:rPr>
            </w:pPr>
          </w:p>
        </w:tc>
      </w:tr>
      <w:tr>
        <w:trPr>
          <w:trHeight w:val="192"/>
        </w:trPr>
        <w:tc>
          <w:tcPr>
            <w:tcW w:w="3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Impact of other United sponsored equity plans</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85,628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w:t>
            </w:r>
          </w:p>
        </w:tc>
        <w:tc>
          <w:tcPr>
            <w:tcW w:w="0" w:type="dxa"/>
            <w:vAlign w:val="bottom"/>
          </w:tcPr>
          <w:p>
            <w:pPr>
              <w:spacing w:after="0"/>
              <w:rPr>
                <w:sz w:val="1"/>
                <w:szCs w:val="1"/>
                <w:color w:val="auto"/>
              </w:rPr>
            </w:pPr>
          </w:p>
        </w:tc>
      </w:tr>
      <w:tr>
        <w:trPr>
          <w:trHeight w:val="186"/>
        </w:trPr>
        <w:tc>
          <w:tcPr>
            <w:tcW w:w="3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Adoption of new accounting standard</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(3,529)</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(3,529)</w:t>
            </w:r>
          </w:p>
        </w:tc>
        <w:tc>
          <w:tcPr>
            <w:tcW w:w="0" w:type="dxa"/>
            <w:vAlign w:val="bottom"/>
          </w:tcPr>
          <w:p>
            <w:pPr>
              <w:spacing w:after="0"/>
              <w:rPr>
                <w:sz w:val="1"/>
                <w:szCs w:val="1"/>
                <w:color w:val="auto"/>
              </w:rPr>
            </w:pPr>
          </w:p>
        </w:tc>
      </w:tr>
      <w:tr>
        <w:trPr>
          <w:trHeight w:val="208"/>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2020</w:t>
            </w: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78,335,127</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96,660</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78,335</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10,646</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1,480,464</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64,990</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40,550</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1,771,645</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2020</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86,675,279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96,422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86,675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10,855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1,638,999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136,869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37,710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2,007,530</w:t>
            </w:r>
          </w:p>
        </w:tc>
        <w:tc>
          <w:tcPr>
            <w:tcW w:w="0" w:type="dxa"/>
            <w:vAlign w:val="bottom"/>
          </w:tcPr>
          <w:p>
            <w:pPr>
              <w:spacing w:after="0"/>
              <w:rPr>
                <w:sz w:val="1"/>
                <w:szCs w:val="1"/>
                <w:color w:val="auto"/>
              </w:rPr>
            </w:pPr>
          </w:p>
        </w:tc>
      </w:tr>
      <w:tr>
        <w:trPr>
          <w:trHeight w:val="186"/>
        </w:trPr>
        <w:tc>
          <w:tcPr>
            <w:tcW w:w="31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143,966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143,966</w:t>
            </w:r>
          </w:p>
        </w:tc>
        <w:tc>
          <w:tcPr>
            <w:tcW w:w="0" w:type="dxa"/>
            <w:vAlign w:val="bottom"/>
          </w:tcPr>
          <w:p>
            <w:pPr>
              <w:spacing w:after="0"/>
              <w:rPr>
                <w:sz w:val="1"/>
                <w:szCs w:val="1"/>
                <w:color w:val="auto"/>
              </w:rPr>
            </w:pPr>
          </w:p>
        </w:tc>
      </w:tr>
      <w:tr>
        <w:trPr>
          <w:trHeight w:val="192"/>
        </w:trPr>
        <w:tc>
          <w:tcPr>
            <w:tcW w:w="3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(26,042)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(26,042)</w:t>
            </w:r>
          </w:p>
        </w:tc>
        <w:tc>
          <w:tcPr>
            <w:tcW w:w="0" w:type="dxa"/>
            <w:vAlign w:val="bottom"/>
          </w:tcPr>
          <w:p>
            <w:pPr>
              <w:spacing w:after="0"/>
              <w:rPr>
                <w:sz w:val="1"/>
                <w:szCs w:val="1"/>
                <w:color w:val="auto"/>
              </w:rPr>
            </w:pPr>
          </w:p>
        </w:tc>
      </w:tr>
      <w:tr>
        <w:trPr>
          <w:trHeight w:val="186"/>
        </w:trPr>
        <w:tc>
          <w:tcPr>
            <w:tcW w:w="3140" w:type="dxa"/>
            <w:vAlign w:val="bottom"/>
          </w:tcPr>
          <w:p>
            <w:pPr>
              <w:ind w:left="20"/>
              <w:spacing w:after="0"/>
              <w:rPr>
                <w:sz w:val="20"/>
                <w:szCs w:val="20"/>
                <w:color w:val="auto"/>
              </w:rPr>
            </w:pPr>
            <w:r>
              <w:rPr>
                <w:rFonts w:ascii="Arial" w:cs="Arial" w:eastAsia="Arial" w:hAnsi="Arial"/>
                <w:sz w:val="14"/>
                <w:szCs w:val="14"/>
                <w:color w:val="auto"/>
              </w:rPr>
              <w:t>Purchases of common stock</w:t>
            </w:r>
          </w:p>
        </w:tc>
        <w:tc>
          <w:tcPr>
            <w:tcW w:w="940" w:type="dxa"/>
            <w:vAlign w:val="bottom"/>
          </w:tcPr>
          <w:p>
            <w:pPr>
              <w:jc w:val="right"/>
              <w:spacing w:after="0"/>
              <w:rPr>
                <w:sz w:val="20"/>
                <w:szCs w:val="20"/>
                <w:color w:val="auto"/>
              </w:rPr>
            </w:pPr>
            <w:r>
              <w:rPr>
                <w:rFonts w:ascii="Arial" w:cs="Arial" w:eastAsia="Arial" w:hAnsi="Arial"/>
                <w:sz w:val="14"/>
                <w:szCs w:val="14"/>
                <w:color w:val="auto"/>
              </w:rPr>
              <w:t>(150,000)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(4,951)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(5,101)</w:t>
            </w:r>
          </w:p>
        </w:tc>
        <w:tc>
          <w:tcPr>
            <w:tcW w:w="0" w:type="dxa"/>
            <w:vAlign w:val="bottom"/>
          </w:tcPr>
          <w:p>
            <w:pPr>
              <w:spacing w:after="0"/>
              <w:rPr>
                <w:sz w:val="1"/>
                <w:szCs w:val="1"/>
                <w:color w:val="auto"/>
              </w:rPr>
            </w:pPr>
          </w:p>
        </w:tc>
      </w:tr>
      <w:tr>
        <w:trPr>
          <w:trHeight w:val="192"/>
        </w:trPr>
        <w:tc>
          <w:tcPr>
            <w:tcW w:w="3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Preferred stock dividends</w:t>
            </w: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(3,438)</w:t>
            </w:r>
          </w:p>
        </w:tc>
        <w:tc>
          <w:tcPr>
            <w:tcW w:w="0" w:type="dxa"/>
            <w:vAlign w:val="bottom"/>
          </w:tcPr>
          <w:p>
            <w:pPr>
              <w:spacing w:after="0"/>
              <w:rPr>
                <w:sz w:val="1"/>
                <w:szCs w:val="1"/>
                <w:color w:val="auto"/>
              </w:rPr>
            </w:pPr>
          </w:p>
        </w:tc>
      </w:tr>
      <w:tr>
        <w:trPr>
          <w:trHeight w:val="186"/>
        </w:trPr>
        <w:tc>
          <w:tcPr>
            <w:tcW w:w="3140" w:type="dxa"/>
            <w:vAlign w:val="bottom"/>
          </w:tcPr>
          <w:p>
            <w:pPr>
              <w:ind w:left="20"/>
              <w:spacing w:after="0"/>
              <w:rPr>
                <w:sz w:val="20"/>
                <w:szCs w:val="20"/>
                <w:color w:val="auto"/>
              </w:rPr>
            </w:pPr>
            <w:r>
              <w:rPr>
                <w:rFonts w:ascii="Arial" w:cs="Arial" w:eastAsia="Arial" w:hAnsi="Arial"/>
                <w:sz w:val="14"/>
                <w:szCs w:val="14"/>
                <w:color w:val="auto"/>
              </w:rPr>
              <w:t>Common stock dividends ($0.38 per share)</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(33,391)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(33,391)</w:t>
            </w:r>
          </w:p>
        </w:tc>
        <w:tc>
          <w:tcPr>
            <w:tcW w:w="0" w:type="dxa"/>
            <w:vAlign w:val="bottom"/>
          </w:tcPr>
          <w:p>
            <w:pPr>
              <w:spacing w:after="0"/>
              <w:rPr>
                <w:sz w:val="1"/>
                <w:szCs w:val="1"/>
                <w:color w:val="auto"/>
              </w:rPr>
            </w:pPr>
          </w:p>
        </w:tc>
      </w:tr>
      <w:tr>
        <w:trPr>
          <w:trHeight w:val="192"/>
        </w:trPr>
        <w:tc>
          <w:tcPr>
            <w:tcW w:w="3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Impact of equity-based compensation awards</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70,845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2,288</w:t>
            </w:r>
          </w:p>
        </w:tc>
        <w:tc>
          <w:tcPr>
            <w:tcW w:w="0" w:type="dxa"/>
            <w:vAlign w:val="bottom"/>
          </w:tcPr>
          <w:p>
            <w:pPr>
              <w:spacing w:after="0"/>
              <w:rPr>
                <w:sz w:val="1"/>
                <w:szCs w:val="1"/>
                <w:color w:val="auto"/>
              </w:rPr>
            </w:pPr>
          </w:p>
        </w:tc>
      </w:tr>
      <w:tr>
        <w:trPr>
          <w:trHeight w:val="186"/>
        </w:trPr>
        <w:tc>
          <w:tcPr>
            <w:tcW w:w="3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Impact of other United sponsored equity plans</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68,770</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(852)</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1,257</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474</w:t>
            </w:r>
          </w:p>
        </w:tc>
        <w:tc>
          <w:tcPr>
            <w:tcW w:w="0" w:type="dxa"/>
            <w:vAlign w:val="bottom"/>
          </w:tcPr>
          <w:p>
            <w:pPr>
              <w:spacing w:after="0"/>
              <w:rPr>
                <w:sz w:val="1"/>
                <w:szCs w:val="1"/>
                <w:color w:val="auto"/>
              </w:rPr>
            </w:pPr>
          </w:p>
        </w:tc>
      </w:tr>
      <w:tr>
        <w:trPr>
          <w:trHeight w:val="207"/>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2021</w:t>
            </w: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86,664,894</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96,422</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86,665</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10,650</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1,636,875</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244,006</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11,668</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2,086,286</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8" w:name="page9"/>
    <w:bookmarkEnd w:id="8"/>
    <w:p>
      <w:pPr>
        <w:ind w:left="20"/>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Consolidated Statements of Cash Flows </w:t>
      </w:r>
      <w:r>
        <w:rPr>
          <w:rFonts w:ascii="Arial" w:cs="Arial" w:eastAsia="Arial" w:hAnsi="Arial"/>
          <w:sz w:val="16"/>
          <w:szCs w:val="16"/>
          <w:i w:val="1"/>
          <w:iCs w:val="1"/>
          <w:color w:val="auto"/>
        </w:rPr>
        <w:t>(Unaudited)</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5"/>
          <w:szCs w:val="15"/>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3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4"/>
          </w:tcPr>
          <w:p>
            <w:pPr>
              <w:jc w:val="right"/>
              <w:ind w:right="464"/>
              <w:spacing w:after="0"/>
              <w:rPr>
                <w:sz w:val="20"/>
                <w:szCs w:val="20"/>
                <w:color w:val="auto"/>
              </w:rPr>
            </w:pPr>
            <w:r>
              <w:rPr>
                <w:rFonts w:ascii="Arial" w:cs="Arial" w:eastAsia="Arial" w:hAnsi="Arial"/>
                <w:sz w:val="15"/>
                <w:szCs w:val="15"/>
                <w:b w:val="1"/>
                <w:bCs w:val="1"/>
                <w:color w:val="auto"/>
              </w:rPr>
              <w:t>Six Months Ended June 30,</w:t>
            </w:r>
          </w:p>
        </w:tc>
      </w:tr>
      <w:tr>
        <w:trPr>
          <w:trHeight w:val="198"/>
        </w:trPr>
        <w:tc>
          <w:tcPr>
            <w:tcW w:w="83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4"/>
              <w:spacing w:after="0"/>
              <w:rPr>
                <w:sz w:val="20"/>
                <w:szCs w:val="20"/>
                <w:color w:val="auto"/>
              </w:rPr>
            </w:pPr>
            <w:r>
              <w:rPr>
                <w:rFonts w:ascii="Arial" w:cs="Arial" w:eastAsia="Arial" w:hAnsi="Arial"/>
                <w:sz w:val="15"/>
                <w:szCs w:val="15"/>
                <w:b w:val="1"/>
                <w:bCs w:val="1"/>
                <w:color w:val="auto"/>
              </w:rPr>
              <w:t>2021</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64"/>
              <w:spacing w:after="0"/>
              <w:rPr>
                <w:sz w:val="20"/>
                <w:szCs w:val="20"/>
                <w:color w:val="auto"/>
              </w:rPr>
            </w:pPr>
            <w:r>
              <w:rPr>
                <w:rFonts w:ascii="Arial" w:cs="Arial" w:eastAsia="Arial" w:hAnsi="Arial"/>
                <w:sz w:val="15"/>
                <w:szCs w:val="15"/>
                <w:b w:val="1"/>
                <w:bCs w:val="1"/>
                <w:color w:val="auto"/>
              </w:rPr>
              <w:t>2020</w:t>
            </w:r>
          </w:p>
        </w:tc>
      </w:tr>
      <w:tr>
        <w:trPr>
          <w:trHeight w:val="198"/>
        </w:trPr>
        <w:tc>
          <w:tcPr>
            <w:tcW w:w="83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Operating activities: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98"/>
        </w:trPr>
        <w:tc>
          <w:tcPr>
            <w:tcW w:w="8360" w:type="dxa"/>
            <w:vAlign w:val="bottom"/>
          </w:tcPr>
          <w:p>
            <w:pPr>
              <w:ind w:left="140"/>
              <w:spacing w:after="0"/>
              <w:rPr>
                <w:sz w:val="20"/>
                <w:szCs w:val="20"/>
                <w:color w:val="auto"/>
              </w:rPr>
            </w:pPr>
            <w:r>
              <w:rPr>
                <w:rFonts w:ascii="Arial" w:cs="Arial" w:eastAsia="Arial" w:hAnsi="Arial"/>
                <w:sz w:val="15"/>
                <w:szCs w:val="15"/>
                <w:color w:val="auto"/>
              </w:rPr>
              <w:t>Net income</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143,966</w:t>
            </w:r>
          </w:p>
        </w:tc>
        <w:tc>
          <w:tcPr>
            <w:tcW w:w="120" w:type="dxa"/>
            <w:vAlign w:val="bottom"/>
          </w:tcPr>
          <w:p>
            <w:pPr>
              <w:spacing w:after="0"/>
              <w:rPr>
                <w:sz w:val="17"/>
                <w:szCs w:val="17"/>
                <w:color w:val="auto"/>
              </w:rPr>
            </w:pP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56,980</w:t>
            </w:r>
          </w:p>
        </w:tc>
      </w:tr>
      <w:tr>
        <w:trPr>
          <w:trHeight w:val="207"/>
        </w:trPr>
        <w:tc>
          <w:tcPr>
            <w:tcW w:w="8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98"/>
        </w:trPr>
        <w:tc>
          <w:tcPr>
            <w:tcW w:w="8360" w:type="dxa"/>
            <w:vAlign w:val="bottom"/>
          </w:tcPr>
          <w:p>
            <w:pPr>
              <w:ind w:left="220"/>
              <w:spacing w:after="0"/>
              <w:rPr>
                <w:sz w:val="20"/>
                <w:szCs w:val="20"/>
                <w:color w:val="auto"/>
              </w:rPr>
            </w:pPr>
            <w:r>
              <w:rPr>
                <w:rFonts w:ascii="Arial" w:cs="Arial" w:eastAsia="Arial" w:hAnsi="Arial"/>
                <w:sz w:val="15"/>
                <w:szCs w:val="15"/>
                <w:color w:val="auto"/>
              </w:rPr>
              <w:t>Depreciation, amortization and accretion, net</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(2,961)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5,205</w:t>
            </w:r>
          </w:p>
        </w:tc>
      </w:tr>
      <w:tr>
        <w:trPr>
          <w:trHeight w:val="207"/>
        </w:trPr>
        <w:tc>
          <w:tcPr>
            <w:tcW w:w="83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(Release of) provision for credit losses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(25,869)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55,734</w:t>
            </w:r>
          </w:p>
        </w:tc>
      </w:tr>
      <w:tr>
        <w:trPr>
          <w:trHeight w:val="198"/>
        </w:trPr>
        <w:tc>
          <w:tcPr>
            <w:tcW w:w="8360" w:type="dxa"/>
            <w:vAlign w:val="bottom"/>
          </w:tcPr>
          <w:p>
            <w:pPr>
              <w:ind w:left="220"/>
              <w:spacing w:after="0"/>
              <w:rPr>
                <w:sz w:val="20"/>
                <w:szCs w:val="20"/>
                <w:color w:val="auto"/>
              </w:rPr>
            </w:pPr>
            <w:r>
              <w:rPr>
                <w:rFonts w:ascii="Arial" w:cs="Arial" w:eastAsia="Arial" w:hAnsi="Arial"/>
                <w:sz w:val="15"/>
                <w:szCs w:val="15"/>
                <w:color w:val="auto"/>
              </w:rPr>
              <w:t>Stock based compensation</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3,141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4,256</w:t>
            </w:r>
          </w:p>
        </w:tc>
      </w:tr>
      <w:tr>
        <w:trPr>
          <w:trHeight w:val="207"/>
        </w:trPr>
        <w:tc>
          <w:tcPr>
            <w:tcW w:w="83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Deferred income tax expense (benefit)</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14,621</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(2,356)</w:t>
            </w:r>
          </w:p>
        </w:tc>
      </w:tr>
      <w:tr>
        <w:trPr>
          <w:trHeight w:val="198"/>
        </w:trPr>
        <w:tc>
          <w:tcPr>
            <w:tcW w:w="8360" w:type="dxa"/>
            <w:vAlign w:val="bottom"/>
          </w:tcPr>
          <w:p>
            <w:pPr>
              <w:ind w:left="220"/>
              <w:spacing w:after="0"/>
              <w:rPr>
                <w:sz w:val="20"/>
                <w:szCs w:val="20"/>
                <w:color w:val="auto"/>
              </w:rPr>
            </w:pPr>
            <w:r>
              <w:rPr>
                <w:rFonts w:ascii="Arial" w:cs="Arial" w:eastAsia="Arial" w:hAnsi="Arial"/>
                <w:sz w:val="15"/>
                <w:szCs w:val="15"/>
                <w:color w:val="auto"/>
              </w:rPr>
              <w:t>Securities gains, net</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w:t>
            </w:r>
          </w:p>
        </w:tc>
      </w:tr>
      <w:tr>
        <w:trPr>
          <w:trHeight w:val="207"/>
        </w:trPr>
        <w:tc>
          <w:tcPr>
            <w:tcW w:w="83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Gains from sales of other loans, net</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(5,153)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(2,714)</w:t>
            </w:r>
          </w:p>
        </w:tc>
      </w:tr>
      <w:tr>
        <w:trPr>
          <w:trHeight w:val="198"/>
        </w:trPr>
        <w:tc>
          <w:tcPr>
            <w:tcW w:w="8360" w:type="dxa"/>
            <w:vAlign w:val="bottom"/>
          </w:tcPr>
          <w:p>
            <w:pPr>
              <w:ind w:left="220"/>
              <w:spacing w:after="0"/>
              <w:rPr>
                <w:sz w:val="20"/>
                <w:szCs w:val="20"/>
                <w:color w:val="auto"/>
              </w:rPr>
            </w:pPr>
            <w:r>
              <w:rPr>
                <w:rFonts w:ascii="Arial" w:cs="Arial" w:eastAsia="Arial" w:hAnsi="Arial"/>
                <w:sz w:val="15"/>
                <w:szCs w:val="15"/>
                <w:color w:val="auto"/>
              </w:rPr>
              <w:t>Changes in assets and liabilities:</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7"/>
        </w:trPr>
        <w:tc>
          <w:tcPr>
            <w:tcW w:w="83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Other assets and accrued interest receivable</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20,444</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(76,407)</w:t>
            </w:r>
          </w:p>
        </w:tc>
      </w:tr>
      <w:tr>
        <w:trPr>
          <w:trHeight w:val="198"/>
        </w:trPr>
        <w:tc>
          <w:tcPr>
            <w:tcW w:w="8360" w:type="dxa"/>
            <w:vAlign w:val="bottom"/>
          </w:tcPr>
          <w:p>
            <w:pPr>
              <w:ind w:left="360"/>
              <w:spacing w:after="0"/>
              <w:rPr>
                <w:sz w:val="20"/>
                <w:szCs w:val="20"/>
                <w:color w:val="auto"/>
              </w:rPr>
            </w:pPr>
            <w:r>
              <w:rPr>
                <w:rFonts w:ascii="Arial" w:cs="Arial" w:eastAsia="Arial" w:hAnsi="Arial"/>
                <w:sz w:val="15"/>
                <w:szCs w:val="15"/>
                <w:color w:val="auto"/>
              </w:rPr>
              <w:t>Accrued expenses and other liabilities</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7,071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15,929</w:t>
            </w:r>
          </w:p>
        </w:tc>
      </w:tr>
      <w:tr>
        <w:trPr>
          <w:trHeight w:val="207"/>
        </w:trPr>
        <w:tc>
          <w:tcPr>
            <w:tcW w:w="83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Loans held for sale</w:t>
            </w: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7,239</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(40,993)</w:t>
            </w:r>
          </w:p>
        </w:tc>
      </w:tr>
      <w:tr>
        <w:trPr>
          <w:trHeight w:val="192"/>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Net cash provided by operating activities</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162,458</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15,634</w:t>
            </w:r>
          </w:p>
        </w:tc>
      </w:tr>
      <w:tr>
        <w:trPr>
          <w:trHeight w:val="187"/>
        </w:trPr>
        <w:tc>
          <w:tcPr>
            <w:tcW w:w="8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00"/>
        </w:trPr>
        <w:tc>
          <w:tcPr>
            <w:tcW w:w="8360" w:type="dxa"/>
            <w:vAlign w:val="bottom"/>
          </w:tcPr>
          <w:p>
            <w:pPr>
              <w:ind w:left="20"/>
              <w:spacing w:after="0"/>
              <w:rPr>
                <w:sz w:val="20"/>
                <w:szCs w:val="20"/>
                <w:color w:val="auto"/>
              </w:rPr>
            </w:pPr>
            <w:r>
              <w:rPr>
                <w:rFonts w:ascii="Arial" w:cs="Arial" w:eastAsia="Arial" w:hAnsi="Arial"/>
                <w:sz w:val="15"/>
                <w:szCs w:val="15"/>
                <w:b w:val="1"/>
                <w:bCs w:val="1"/>
                <w:color w:val="auto"/>
              </w:rPr>
              <w:t>Investing activities:</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5"/>
        </w:trPr>
        <w:tc>
          <w:tcPr>
            <w:tcW w:w="8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Debt securities held-to-maturity:</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98"/>
        </w:trPr>
        <w:tc>
          <w:tcPr>
            <w:tcW w:w="8360" w:type="dxa"/>
            <w:vAlign w:val="bottom"/>
          </w:tcPr>
          <w:p>
            <w:pPr>
              <w:ind w:left="220"/>
              <w:spacing w:after="0"/>
              <w:rPr>
                <w:sz w:val="20"/>
                <w:szCs w:val="20"/>
                <w:color w:val="auto"/>
              </w:rPr>
            </w:pPr>
            <w:r>
              <w:rPr>
                <w:rFonts w:ascii="Arial" w:cs="Arial" w:eastAsia="Arial" w:hAnsi="Arial"/>
                <w:sz w:val="15"/>
                <w:szCs w:val="15"/>
                <w:color w:val="auto"/>
              </w:rPr>
              <w:t>Proceeds from maturities and calls</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35,590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19,889</w:t>
            </w:r>
          </w:p>
        </w:tc>
      </w:tr>
      <w:tr>
        <w:trPr>
          <w:trHeight w:val="207"/>
        </w:trPr>
        <w:tc>
          <w:tcPr>
            <w:tcW w:w="83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Purchases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(468,740)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(43,118)</w:t>
            </w:r>
          </w:p>
        </w:tc>
      </w:tr>
      <w:tr>
        <w:trPr>
          <w:trHeight w:val="198"/>
        </w:trPr>
        <w:tc>
          <w:tcPr>
            <w:tcW w:w="8360" w:type="dxa"/>
            <w:vAlign w:val="bottom"/>
          </w:tcPr>
          <w:p>
            <w:pPr>
              <w:ind w:left="140"/>
              <w:spacing w:after="0"/>
              <w:rPr>
                <w:sz w:val="20"/>
                <w:szCs w:val="20"/>
                <w:color w:val="auto"/>
              </w:rPr>
            </w:pPr>
            <w:r>
              <w:rPr>
                <w:rFonts w:ascii="Arial" w:cs="Arial" w:eastAsia="Arial" w:hAnsi="Arial"/>
                <w:sz w:val="15"/>
                <w:szCs w:val="15"/>
                <w:color w:val="auto"/>
              </w:rPr>
              <w:t>Debt securities available-for-sale:</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7"/>
        </w:trPr>
        <w:tc>
          <w:tcPr>
            <w:tcW w:w="83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Proceeds from sales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78,111</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1,000</w:t>
            </w:r>
          </w:p>
        </w:tc>
      </w:tr>
      <w:tr>
        <w:trPr>
          <w:trHeight w:val="198"/>
        </w:trPr>
        <w:tc>
          <w:tcPr>
            <w:tcW w:w="8360" w:type="dxa"/>
            <w:vAlign w:val="bottom"/>
          </w:tcPr>
          <w:p>
            <w:pPr>
              <w:ind w:left="220"/>
              <w:spacing w:after="0"/>
              <w:rPr>
                <w:sz w:val="20"/>
                <w:szCs w:val="20"/>
                <w:color w:val="auto"/>
              </w:rPr>
            </w:pPr>
            <w:r>
              <w:rPr>
                <w:rFonts w:ascii="Arial" w:cs="Arial" w:eastAsia="Arial" w:hAnsi="Arial"/>
                <w:sz w:val="15"/>
                <w:szCs w:val="15"/>
                <w:color w:val="auto"/>
              </w:rPr>
              <w:t>Proceeds from maturities and calls</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456,899</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296,744</w:t>
            </w:r>
          </w:p>
        </w:tc>
      </w:tr>
      <w:tr>
        <w:trPr>
          <w:trHeight w:val="206"/>
        </w:trPr>
        <w:tc>
          <w:tcPr>
            <w:tcW w:w="83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Purchases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(1,437,481)</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(110,481)</w:t>
            </w:r>
          </w:p>
        </w:tc>
      </w:tr>
      <w:tr>
        <w:trPr>
          <w:trHeight w:val="198"/>
        </w:trPr>
        <w:tc>
          <w:tcPr>
            <w:tcW w:w="8360" w:type="dxa"/>
            <w:vAlign w:val="bottom"/>
          </w:tcPr>
          <w:p>
            <w:pPr>
              <w:ind w:left="140"/>
              <w:spacing w:after="0"/>
              <w:rPr>
                <w:sz w:val="20"/>
                <w:szCs w:val="20"/>
                <w:color w:val="auto"/>
              </w:rPr>
            </w:pPr>
            <w:r>
              <w:rPr>
                <w:rFonts w:ascii="Arial" w:cs="Arial" w:eastAsia="Arial" w:hAnsi="Arial"/>
                <w:sz w:val="15"/>
                <w:szCs w:val="15"/>
                <w:color w:val="auto"/>
              </w:rPr>
              <w:t>Net decrease (increase) in loans</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8,861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(1,306,120)</w:t>
            </w:r>
          </w:p>
        </w:tc>
      </w:tr>
      <w:tr>
        <w:trPr>
          <w:trHeight w:val="207"/>
        </w:trPr>
        <w:tc>
          <w:tcPr>
            <w:tcW w:w="8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Equity investments, outflows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(8,432)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(8,583)</w:t>
            </w:r>
          </w:p>
        </w:tc>
      </w:tr>
      <w:tr>
        <w:trPr>
          <w:trHeight w:val="198"/>
        </w:trPr>
        <w:tc>
          <w:tcPr>
            <w:tcW w:w="8360" w:type="dxa"/>
            <w:vAlign w:val="bottom"/>
          </w:tcPr>
          <w:p>
            <w:pPr>
              <w:ind w:left="140"/>
              <w:spacing w:after="0"/>
              <w:rPr>
                <w:sz w:val="20"/>
                <w:szCs w:val="20"/>
                <w:color w:val="auto"/>
              </w:rPr>
            </w:pPr>
            <w:r>
              <w:rPr>
                <w:rFonts w:ascii="Arial" w:cs="Arial" w:eastAsia="Arial" w:hAnsi="Arial"/>
                <w:sz w:val="15"/>
                <w:szCs w:val="15"/>
                <w:color w:val="auto"/>
              </w:rPr>
              <w:t>Equity investments, inflows</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5,026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w:t>
            </w:r>
          </w:p>
        </w:tc>
      </w:tr>
      <w:tr>
        <w:trPr>
          <w:trHeight w:val="207"/>
        </w:trPr>
        <w:tc>
          <w:tcPr>
            <w:tcW w:w="8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Proceeds from sales of premises and equipment</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102</w:t>
            </w:r>
          </w:p>
        </w:tc>
      </w:tr>
      <w:tr>
        <w:trPr>
          <w:trHeight w:val="198"/>
        </w:trPr>
        <w:tc>
          <w:tcPr>
            <w:tcW w:w="8360" w:type="dxa"/>
            <w:vAlign w:val="bottom"/>
          </w:tcPr>
          <w:p>
            <w:pPr>
              <w:ind w:left="140"/>
              <w:spacing w:after="0"/>
              <w:rPr>
                <w:sz w:val="20"/>
                <w:szCs w:val="20"/>
                <w:color w:val="auto"/>
              </w:rPr>
            </w:pPr>
            <w:r>
              <w:rPr>
                <w:rFonts w:ascii="Arial" w:cs="Arial" w:eastAsia="Arial" w:hAnsi="Arial"/>
                <w:sz w:val="15"/>
                <w:szCs w:val="15"/>
                <w:color w:val="auto"/>
              </w:rPr>
              <w:t>Purchases of premises and equipment</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(14,565)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(3,655)</w:t>
            </w:r>
          </w:p>
        </w:tc>
      </w:tr>
      <w:tr>
        <w:trPr>
          <w:trHeight w:val="207"/>
        </w:trPr>
        <w:tc>
          <w:tcPr>
            <w:tcW w:w="8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Proceeds from sale of other real estate</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2,042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278</w:t>
            </w:r>
          </w:p>
        </w:tc>
      </w:tr>
      <w:tr>
        <w:trPr>
          <w:trHeight w:val="198"/>
        </w:trPr>
        <w:tc>
          <w:tcPr>
            <w:tcW w:w="836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Other investing activities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767</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2,730</w:t>
            </w:r>
          </w:p>
        </w:tc>
      </w:tr>
      <w:tr>
        <w:trPr>
          <w:trHeight w:val="196"/>
        </w:trPr>
        <w:tc>
          <w:tcPr>
            <w:tcW w:w="83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Net cash used in investing activities</w:t>
            </w: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(1,341,082)</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(1,151,214)</w:t>
            </w:r>
          </w:p>
        </w:tc>
      </w:tr>
      <w:tr>
        <w:trPr>
          <w:trHeight w:val="186"/>
        </w:trPr>
        <w:tc>
          <w:tcPr>
            <w:tcW w:w="8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03"/>
        </w:trPr>
        <w:tc>
          <w:tcPr>
            <w:tcW w:w="83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Financing activities: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98"/>
        </w:trPr>
        <w:tc>
          <w:tcPr>
            <w:tcW w:w="8360" w:type="dxa"/>
            <w:vAlign w:val="bottom"/>
          </w:tcPr>
          <w:p>
            <w:pPr>
              <w:ind w:left="140"/>
              <w:spacing w:after="0"/>
              <w:rPr>
                <w:sz w:val="20"/>
                <w:szCs w:val="20"/>
                <w:color w:val="auto"/>
              </w:rPr>
            </w:pPr>
            <w:r>
              <w:rPr>
                <w:rFonts w:ascii="Arial" w:cs="Arial" w:eastAsia="Arial" w:hAnsi="Arial"/>
                <w:sz w:val="15"/>
                <w:szCs w:val="15"/>
                <w:color w:val="auto"/>
              </w:rPr>
              <w:t>Net increase in deposits</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1,096,791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1,805,016</w:t>
            </w:r>
          </w:p>
        </w:tc>
      </w:tr>
      <w:tr>
        <w:trPr>
          <w:trHeight w:val="207"/>
        </w:trPr>
        <w:tc>
          <w:tcPr>
            <w:tcW w:w="8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Repayment of long-term debt</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(65,632)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r>
      <w:tr>
        <w:trPr>
          <w:trHeight w:val="198"/>
        </w:trPr>
        <w:tc>
          <w:tcPr>
            <w:tcW w:w="8360" w:type="dxa"/>
            <w:vAlign w:val="bottom"/>
          </w:tcPr>
          <w:p>
            <w:pPr>
              <w:ind w:left="140"/>
              <w:spacing w:after="0"/>
              <w:rPr>
                <w:sz w:val="20"/>
                <w:szCs w:val="20"/>
                <w:color w:val="auto"/>
              </w:rPr>
            </w:pPr>
            <w:r>
              <w:rPr>
                <w:rFonts w:ascii="Arial" w:cs="Arial" w:eastAsia="Arial" w:hAnsi="Arial"/>
                <w:sz w:val="15"/>
                <w:szCs w:val="15"/>
                <w:color w:val="auto"/>
              </w:rPr>
              <w:t>Proceeds from FHLB advances</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5,000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5,000</w:t>
            </w:r>
          </w:p>
        </w:tc>
      </w:tr>
      <w:tr>
        <w:trPr>
          <w:trHeight w:val="207"/>
        </w:trPr>
        <w:tc>
          <w:tcPr>
            <w:tcW w:w="8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Repayment of FHLB advances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(5,000)</w:t>
            </w:r>
          </w:p>
        </w:tc>
      </w:tr>
      <w:tr>
        <w:trPr>
          <w:trHeight w:val="198"/>
        </w:trPr>
        <w:tc>
          <w:tcPr>
            <w:tcW w:w="8360" w:type="dxa"/>
            <w:vAlign w:val="bottom"/>
          </w:tcPr>
          <w:p>
            <w:pPr>
              <w:ind w:left="140"/>
              <w:spacing w:after="0"/>
              <w:rPr>
                <w:sz w:val="20"/>
                <w:szCs w:val="20"/>
                <w:color w:val="auto"/>
              </w:rPr>
            </w:pPr>
            <w:r>
              <w:rPr>
                <w:rFonts w:ascii="Arial" w:cs="Arial" w:eastAsia="Arial" w:hAnsi="Arial"/>
                <w:sz w:val="15"/>
                <w:szCs w:val="15"/>
                <w:color w:val="auto"/>
              </w:rPr>
              <w:t>Proceeds from issuance of senior debentures, net of issuance costs</w:t>
            </w:r>
          </w:p>
        </w:tc>
        <w:tc>
          <w:tcPr>
            <w:tcW w:w="30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98,638</w:t>
            </w:r>
          </w:p>
        </w:tc>
      </w:tr>
      <w:tr>
        <w:trPr>
          <w:trHeight w:val="207"/>
        </w:trPr>
        <w:tc>
          <w:tcPr>
            <w:tcW w:w="8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Proceeds from issuance of common stock for dividend reinvestment and employee benefit plans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426</w:t>
            </w:r>
          </w:p>
        </w:tc>
      </w:tr>
      <w:tr>
        <w:trPr>
          <w:trHeight w:val="198"/>
        </w:trPr>
        <w:tc>
          <w:tcPr>
            <w:tcW w:w="8360" w:type="dxa"/>
            <w:vAlign w:val="bottom"/>
          </w:tcPr>
          <w:p>
            <w:pPr>
              <w:ind w:left="140"/>
              <w:spacing w:after="0"/>
              <w:rPr>
                <w:sz w:val="20"/>
                <w:szCs w:val="20"/>
                <w:color w:val="auto"/>
              </w:rPr>
            </w:pPr>
            <w:r>
              <w:rPr>
                <w:rFonts w:ascii="Arial" w:cs="Arial" w:eastAsia="Arial" w:hAnsi="Arial"/>
                <w:sz w:val="15"/>
                <w:szCs w:val="15"/>
                <w:color w:val="auto"/>
              </w:rPr>
              <w:t>Cash paid for shares withheld to cover payroll taxes upon vesting of restricted stock units</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(945)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(1,868)</w:t>
            </w:r>
          </w:p>
        </w:tc>
      </w:tr>
      <w:tr>
        <w:trPr>
          <w:trHeight w:val="207"/>
        </w:trPr>
        <w:tc>
          <w:tcPr>
            <w:tcW w:w="8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Proceeds from issuance of Series I preferred stock, net of issuance costs</w:t>
            </w:r>
          </w:p>
        </w:tc>
        <w:tc>
          <w:tcPr>
            <w:tcW w:w="3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96,660</w:t>
            </w:r>
          </w:p>
        </w:tc>
      </w:tr>
      <w:tr>
        <w:trPr>
          <w:trHeight w:val="198"/>
        </w:trPr>
        <w:tc>
          <w:tcPr>
            <w:tcW w:w="8360" w:type="dxa"/>
            <w:vAlign w:val="bottom"/>
          </w:tcPr>
          <w:p>
            <w:pPr>
              <w:ind w:left="140"/>
              <w:spacing w:after="0"/>
              <w:rPr>
                <w:sz w:val="20"/>
                <w:szCs w:val="20"/>
                <w:color w:val="auto"/>
              </w:rPr>
            </w:pPr>
            <w:r>
              <w:rPr>
                <w:rFonts w:ascii="Arial" w:cs="Arial" w:eastAsia="Arial" w:hAnsi="Arial"/>
                <w:sz w:val="15"/>
                <w:szCs w:val="15"/>
                <w:color w:val="auto"/>
              </w:rPr>
              <w:t>Repurchase of common stock</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(5,101)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(20,782)</w:t>
            </w:r>
          </w:p>
        </w:tc>
      </w:tr>
      <w:tr>
        <w:trPr>
          <w:trHeight w:val="207"/>
        </w:trPr>
        <w:tc>
          <w:tcPr>
            <w:tcW w:w="8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Cash dividends on common stock</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(32,593)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(28,755)</w:t>
            </w:r>
          </w:p>
        </w:tc>
      </w:tr>
      <w:tr>
        <w:trPr>
          <w:trHeight w:val="198"/>
        </w:trPr>
        <w:tc>
          <w:tcPr>
            <w:tcW w:w="836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Cash dividends on preferred stock</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(3,438)</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r>
      <w:tr>
        <w:trPr>
          <w:trHeight w:val="200"/>
        </w:trPr>
        <w:tc>
          <w:tcPr>
            <w:tcW w:w="83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Net cash provided by financing activities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989,402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1,949,335</w:t>
            </w:r>
          </w:p>
        </w:tc>
      </w:tr>
      <w:tr>
        <w:trPr>
          <w:trHeight w:val="203"/>
        </w:trPr>
        <w:tc>
          <w:tcPr>
            <w:tcW w:w="8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83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Net change in cash and cash equivalents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(189,222)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813,755</w:t>
            </w:r>
          </w:p>
        </w:tc>
      </w:tr>
      <w:tr>
        <w:trPr>
          <w:trHeight w:val="200"/>
        </w:trPr>
        <w:tc>
          <w:tcPr>
            <w:tcW w:w="8360" w:type="dxa"/>
            <w:vAlign w:val="bottom"/>
            <w:tcBorders>
              <w:bottom w:val="single" w:sz="8" w:color="CCEEFF"/>
            </w:tcBorders>
          </w:tcPr>
          <w:p>
            <w:pPr>
              <w:ind w:left="40"/>
              <w:spacing w:after="0"/>
              <w:rPr>
                <w:sz w:val="20"/>
                <w:szCs w:val="20"/>
                <w:color w:val="auto"/>
              </w:rPr>
            </w:pPr>
            <w:r>
              <w:rPr>
                <w:rFonts w:ascii="Arial" w:cs="Arial" w:eastAsia="Arial" w:hAnsi="Arial"/>
                <w:sz w:val="15"/>
                <w:szCs w:val="15"/>
                <w:b w:val="1"/>
                <w:bCs w:val="1"/>
                <w:color w:val="auto"/>
              </w:rPr>
              <w:t>Cash and cash equivalents, at beginning of period</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1,608,619</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515,206</w:t>
            </w:r>
          </w:p>
        </w:tc>
      </w:tr>
      <w:tr>
        <w:trPr>
          <w:trHeight w:val="223"/>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Cash and cash equivalents, at end of period</w:t>
            </w:r>
          </w:p>
        </w:tc>
        <w:tc>
          <w:tcPr>
            <w:tcW w:w="30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1,419,397</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1,328,961</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8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03"/>
        </w:trPr>
        <w:tc>
          <w:tcPr>
            <w:tcW w:w="83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Supplemental disclosures of cash flow information:</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99"/>
        </w:trPr>
        <w:tc>
          <w:tcPr>
            <w:tcW w:w="8360" w:type="dxa"/>
            <w:vAlign w:val="bottom"/>
          </w:tcPr>
          <w:p>
            <w:pPr>
              <w:ind w:left="140"/>
              <w:spacing w:after="0"/>
              <w:rPr>
                <w:sz w:val="20"/>
                <w:szCs w:val="20"/>
                <w:color w:val="auto"/>
              </w:rPr>
            </w:pPr>
            <w:r>
              <w:rPr>
                <w:rFonts w:ascii="Arial" w:cs="Arial" w:eastAsia="Arial" w:hAnsi="Arial"/>
                <w:sz w:val="15"/>
                <w:szCs w:val="15"/>
                <w:color w:val="auto"/>
              </w:rPr>
              <w:t>Significant non-cash investing and financing transactions:</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6"/>
        </w:trPr>
        <w:tc>
          <w:tcPr>
            <w:tcW w:w="83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Unsettled government guaranteed loan sales</w:t>
            </w: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6,435</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289</w:t>
            </w:r>
          </w:p>
        </w:tc>
      </w:tr>
      <w:tr>
        <w:trPr>
          <w:trHeight w:val="195"/>
        </w:trPr>
        <w:tc>
          <w:tcPr>
            <w:tcW w:w="8360" w:type="dxa"/>
            <w:vAlign w:val="bottom"/>
          </w:tcPr>
          <w:p>
            <w:pPr>
              <w:ind w:left="220"/>
              <w:spacing w:after="0"/>
              <w:rPr>
                <w:sz w:val="20"/>
                <w:szCs w:val="20"/>
                <w:color w:val="auto"/>
              </w:rPr>
            </w:pPr>
            <w:r>
              <w:rPr>
                <w:rFonts w:ascii="Arial" w:cs="Arial" w:eastAsia="Arial" w:hAnsi="Arial"/>
                <w:sz w:val="15"/>
                <w:szCs w:val="15"/>
                <w:color w:val="auto"/>
              </w:rPr>
              <w:t>Transfers of loans to foreclosed properties</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1,333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355</w:t>
            </w:r>
          </w:p>
        </w:tc>
      </w:tr>
    </w:tbl>
    <w:p>
      <w:pPr>
        <w:spacing w:after="0" w:line="32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accompanying notes to consolidated financial statements (unaudited).</w:t>
      </w:r>
    </w:p>
    <w:p>
      <w:pPr>
        <w:sectPr>
          <w:pgSz w:w="11900" w:h="16838" w:orient="portrait"/>
          <w:cols w:equalWidth="0" w:num="1">
            <w:col w:w="11220"/>
          </w:cols>
          <w:pgMar w:left="320" w:top="972" w:right="359" w:bottom="1440" w:gutter="0" w:footer="0" w:header="0"/>
        </w:sect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2" w:right="35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Accounting Policies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United’s accounting and financial reporting policies conform to GAAP and reporting guidelines of banking regulatory authorities. The accompanying interim consolidated financial statements have not been audited. All material intercompany balances and transactions have been eliminated. A more detailed description of United’s accounting policies is included in its 2020 10-K.</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management’s opinion, all accounting adjustments necessary to accurately reflect the financial position and results of operations on the accompanying financial statements have been made. These adjustments are normal and recurring accruals considered necessary for a fair and accurate presentation. The results for interim periods are not necessarily indicative of results for the full year or any other interim periods. The accompanying unaudited consolidated financial statements should be read in conjunction with the consolidated financial statements and related notes appearing in United’s 2020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–Accounting Standards Updates and Recently Adopted Standards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Recently Adopted Standards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October 2020, the FASB issued ASU No. 2020-10, </w:t>
      </w:r>
      <w:r>
        <w:rPr>
          <w:rFonts w:ascii="Arial" w:cs="Arial" w:eastAsia="Arial" w:hAnsi="Arial"/>
          <w:sz w:val="18"/>
          <w:szCs w:val="18"/>
          <w:i w:val="1"/>
          <w:iCs w:val="1"/>
          <w:color w:val="auto"/>
        </w:rPr>
        <w:t>Codification Improvements</w:t>
      </w:r>
      <w:r>
        <w:rPr>
          <w:rFonts w:ascii="Arial" w:cs="Arial" w:eastAsia="Arial" w:hAnsi="Arial"/>
          <w:sz w:val="18"/>
          <w:szCs w:val="18"/>
          <w:color w:val="auto"/>
        </w:rPr>
        <w:t>. In addition to consolidating existing disclosure guidance into a single codification section to reduce the likelihood of a required disclosure being missed, this update clarifies the application of select guidance in cases where the original guidance may have been unclear. United adopted this update as of January 1, 2021, with no material impact on the consolidated financial statements.</w:t>
      </w:r>
    </w:p>
    <w:p>
      <w:pPr>
        <w:spacing w:after="0" w:line="21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In October 2020, the FASB issued ASU No. 2020-08, </w:t>
      </w:r>
      <w:r>
        <w:rPr>
          <w:rFonts w:ascii="Arial" w:cs="Arial" w:eastAsia="Arial" w:hAnsi="Arial"/>
          <w:sz w:val="16"/>
          <w:szCs w:val="16"/>
          <w:i w:val="1"/>
          <w:iCs w:val="1"/>
          <w:color w:val="auto"/>
        </w:rPr>
        <w:t>Codification Improvements to Subtopic 310-20, Receivables—Nonrefundable Fees and Other Costs</w:t>
      </w:r>
      <w:r>
        <w:rPr>
          <w:rFonts w:ascii="Arial" w:cs="Arial" w:eastAsia="Arial" w:hAnsi="Arial"/>
          <w:sz w:val="16"/>
          <w:szCs w:val="16"/>
          <w:color w:val="auto"/>
        </w:rPr>
        <w:t>. This update clarifies that an entity should reevaluate whether a callable debt security meets the criteria to adjust the amortization period of any related premium at each reporting period. United adopted this update as of January 1, 2021, with no material impact on the consolidated financial statements.</w:t>
      </w:r>
    </w:p>
    <w:p>
      <w:pPr>
        <w:spacing w:after="0" w:line="17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In January 2020, the FASB issued ASU No. 2020-01, </w:t>
      </w:r>
      <w:r>
        <w:rPr>
          <w:rFonts w:ascii="Arial" w:cs="Arial" w:eastAsia="Arial" w:hAnsi="Arial"/>
          <w:sz w:val="16"/>
          <w:szCs w:val="16"/>
          <w:i w:val="1"/>
          <w:iCs w:val="1"/>
          <w:color w:val="auto"/>
        </w:rPr>
        <w:t>Investments—Equity Securities (Topic 321), Investments—Equity Method and Joint Ventures (Topic</w:t>
      </w:r>
      <w:r>
        <w:rPr>
          <w:rFonts w:ascii="Arial" w:cs="Arial" w:eastAsia="Arial" w:hAnsi="Arial"/>
          <w:sz w:val="16"/>
          <w:szCs w:val="16"/>
          <w:color w:val="auto"/>
        </w:rPr>
        <w:t xml:space="preserve"> </w:t>
      </w:r>
      <w:r>
        <w:rPr>
          <w:rFonts w:ascii="Arial" w:cs="Arial" w:eastAsia="Arial" w:hAnsi="Arial"/>
          <w:sz w:val="16"/>
          <w:szCs w:val="16"/>
          <w:i w:val="1"/>
          <w:iCs w:val="1"/>
          <w:color w:val="auto"/>
        </w:rPr>
        <w:t>323), and Derivatives and Hedging (Topic 815)—Clarifying the Interactions between Topic 321, Topic 323, and Topic 815 (a consensus of the Emerging Issues Task Force)</w:t>
      </w:r>
      <w:r>
        <w:rPr>
          <w:rFonts w:ascii="Arial" w:cs="Arial" w:eastAsia="Arial" w:hAnsi="Arial"/>
          <w:sz w:val="16"/>
          <w:szCs w:val="16"/>
          <w:color w:val="auto"/>
        </w:rPr>
        <w:t>. This update clarifies whether an entity should consider observable transactions that require it to either apply or discontinue the equity</w:t>
      </w:r>
      <w:r>
        <w:rPr>
          <w:rFonts w:ascii="Arial" w:cs="Arial" w:eastAsia="Arial" w:hAnsi="Arial"/>
          <w:sz w:val="16"/>
          <w:szCs w:val="16"/>
          <w:i w:val="1"/>
          <w:iCs w:val="1"/>
          <w:color w:val="auto"/>
        </w:rPr>
        <w:t xml:space="preserve"> </w:t>
      </w:r>
      <w:r>
        <w:rPr>
          <w:rFonts w:ascii="Arial" w:cs="Arial" w:eastAsia="Arial" w:hAnsi="Arial"/>
          <w:sz w:val="16"/>
          <w:szCs w:val="16"/>
          <w:color w:val="auto"/>
        </w:rPr>
        <w:t>method of accounting for the purposes of applying the measurement alternative and how to account for certain forward contracts and purchased options to purchase securities. United adopted this update as of January 1, 2021, with no material impact on the consolidated financial statements.</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December 2019, the FASB issued ASU No. 2019-12, </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This update removes several exceptions related to intraperiod tax allocation when there is a loss from continuing operations and income from other items, foreign subsidiaries becoming equity method investments and vice versa, and calculating income taxes in an interim period when a year-to-date loss exceeds the anticipated loss for the year. The guidance also amends requirements related to franchise tax that is partially based on income, a step up in the tax basis of goodwill, allocation of consolidated tax expense to a legal entity not subject to tax in its separate financial statements, the effects of enacted changes in tax laws and other minor codification improvements regarding employee stock ownership plans and investments in qualified affordable housing projects. United adopted this update as of January 1, 2021, with no material impact on the consolidated financial statements.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August 2018, the FASB issued ASU No. 2018-14, </w:t>
      </w:r>
      <w:r>
        <w:rPr>
          <w:rFonts w:ascii="Arial" w:cs="Arial" w:eastAsia="Arial" w:hAnsi="Arial"/>
          <w:sz w:val="18"/>
          <w:szCs w:val="18"/>
          <w:i w:val="1"/>
          <w:iCs w:val="1"/>
          <w:color w:val="auto"/>
        </w:rPr>
        <w:t>Compensation - Retirement Benefits - Defined Benefit Plans - General (Subtopic 715-20):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Framework - Changes to the Disclosure Requirements for Defined Benefit Plans</w:t>
      </w:r>
      <w:r>
        <w:rPr>
          <w:rFonts w:ascii="Arial" w:cs="Arial" w:eastAsia="Arial" w:hAnsi="Arial"/>
          <w:sz w:val="18"/>
          <w:szCs w:val="18"/>
          <w:color w:val="auto"/>
        </w:rPr>
        <w:t>. The update removes disclosures that are no longer considered cost</w:t>
      </w:r>
      <w:r>
        <w:rPr>
          <w:rFonts w:ascii="Arial" w:cs="Arial" w:eastAsia="Arial" w:hAnsi="Arial"/>
          <w:sz w:val="18"/>
          <w:szCs w:val="18"/>
          <w:i w:val="1"/>
          <w:iCs w:val="1"/>
          <w:color w:val="auto"/>
        </w:rPr>
        <w:t xml:space="preserve"> </w:t>
      </w:r>
      <w:r>
        <w:rPr>
          <w:rFonts w:ascii="Arial" w:cs="Arial" w:eastAsia="Arial" w:hAnsi="Arial"/>
          <w:sz w:val="18"/>
          <w:szCs w:val="18"/>
          <w:color w:val="auto"/>
        </w:rPr>
        <w:t>beneficial, clarifies specific requirements of disclosures, and adds disclosure requirements identified as relevant. United adopted this update as of January 1, 2021, with no material impact on the consolidated financial statements.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Recently Issued Standards</w:t>
      </w:r>
    </w:p>
    <w:p>
      <w:pPr>
        <w:spacing w:after="0" w:line="2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In July 2021, the FASB issued ASU No. 2021-05, </w:t>
      </w:r>
      <w:r>
        <w:rPr>
          <w:rFonts w:ascii="Arial" w:cs="Arial" w:eastAsia="Arial" w:hAnsi="Arial"/>
          <w:sz w:val="16"/>
          <w:szCs w:val="16"/>
          <w:i w:val="1"/>
          <w:iCs w:val="1"/>
          <w:color w:val="auto"/>
        </w:rPr>
        <w:t>Leases (Topic 842): Lessors - Certain Leases with Variable Lease Payments</w:t>
      </w:r>
      <w:r>
        <w:rPr>
          <w:rFonts w:ascii="Arial" w:cs="Arial" w:eastAsia="Arial" w:hAnsi="Arial"/>
          <w:sz w:val="16"/>
          <w:szCs w:val="16"/>
          <w:color w:val="auto"/>
        </w:rPr>
        <w:t>. The update amends the lease classification requirements for lessors to align them with practice under the former lease accounting standard. Specifically, lessors should classify a lease with variable lease payments that do not depend on a reference index or rate as an operating lease if certain criteria are met. Adoption of this update, which is effective for United as of January 1, 2022, is not expected to have a material impact on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Investment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amortized cost basis, unrealized gains and losses and fair value of HTM debt securities as of the dates indicated are as follows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4"/>
              </w:rPr>
              <w:t>Amortized</w:t>
            </w:r>
          </w:p>
        </w:tc>
        <w:tc>
          <w:tcPr>
            <w:tcW w:w="160" w:type="dxa"/>
            <w:vAlign w:val="bottom"/>
          </w:tcPr>
          <w:p>
            <w:pPr>
              <w:spacing w:after="0"/>
              <w:rPr>
                <w:sz w:val="16"/>
                <w:szCs w:val="16"/>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Gross Unrealized</w:t>
            </w:r>
          </w:p>
        </w:tc>
        <w:tc>
          <w:tcPr>
            <w:tcW w:w="160" w:type="dxa"/>
            <w:vAlign w:val="bottom"/>
          </w:tcPr>
          <w:p>
            <w:pPr>
              <w:spacing w:after="0"/>
              <w:rPr>
                <w:sz w:val="16"/>
                <w:szCs w:val="16"/>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Gross Unrealized</w:t>
            </w:r>
          </w:p>
        </w:tc>
        <w:tc>
          <w:tcPr>
            <w:tcW w:w="360" w:type="dxa"/>
            <w:vAlign w:val="bottom"/>
          </w:tcPr>
          <w:p>
            <w:pPr>
              <w:spacing w:after="0"/>
              <w:rPr>
                <w:sz w:val="16"/>
                <w:szCs w:val="16"/>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Fair</w:t>
            </w:r>
          </w:p>
        </w:tc>
      </w:tr>
      <w:tr>
        <w:trPr>
          <w:trHeight w:val="213"/>
        </w:trPr>
        <w:tc>
          <w:tcPr>
            <w:tcW w:w="4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4"/>
              </w:rPr>
              <w:t>Cost</w:t>
            </w:r>
          </w:p>
        </w:tc>
        <w:tc>
          <w:tcPr>
            <w:tcW w:w="160" w:type="dxa"/>
            <w:vAlign w:val="bottom"/>
          </w:tcPr>
          <w:p>
            <w:pPr>
              <w:spacing w:after="0"/>
              <w:rPr>
                <w:sz w:val="18"/>
                <w:szCs w:val="18"/>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Gains</w:t>
            </w:r>
          </w:p>
        </w:tc>
        <w:tc>
          <w:tcPr>
            <w:tcW w:w="160" w:type="dxa"/>
            <w:vAlign w:val="bottom"/>
          </w:tcPr>
          <w:p>
            <w:pPr>
              <w:spacing w:after="0"/>
              <w:rPr>
                <w:sz w:val="18"/>
                <w:szCs w:val="18"/>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3"/>
              </w:rPr>
              <w:t>Losses</w:t>
            </w:r>
          </w:p>
        </w:tc>
        <w:tc>
          <w:tcPr>
            <w:tcW w:w="360" w:type="dxa"/>
            <w:vAlign w:val="bottom"/>
          </w:tcPr>
          <w:p>
            <w:pPr>
              <w:spacing w:after="0"/>
              <w:rPr>
                <w:sz w:val="18"/>
                <w:szCs w:val="18"/>
                <w:color w:val="auto"/>
              </w:rPr>
            </w:pPr>
          </w:p>
        </w:tc>
        <w:tc>
          <w:tcPr>
            <w:tcW w:w="1300" w:type="dxa"/>
            <w:vAlign w:val="bottom"/>
          </w:tcPr>
          <w:p>
            <w:pPr>
              <w:jc w:val="right"/>
              <w:ind w:right="559"/>
              <w:spacing w:after="0"/>
              <w:rPr>
                <w:sz w:val="20"/>
                <w:szCs w:val="20"/>
                <w:color w:val="auto"/>
              </w:rPr>
            </w:pPr>
            <w:r>
              <w:rPr>
                <w:rFonts w:ascii="Arial" w:cs="Arial" w:eastAsia="Arial" w:hAnsi="Arial"/>
                <w:sz w:val="16"/>
                <w:szCs w:val="16"/>
                <w:b w:val="1"/>
                <w:bCs w:val="1"/>
                <w:color w:val="auto"/>
              </w:rPr>
              <w:t>Value</w:t>
            </w:r>
          </w:p>
        </w:tc>
      </w:tr>
      <w:tr>
        <w:trPr>
          <w:trHeight w:val="212"/>
        </w:trPr>
        <w:tc>
          <w:tcPr>
            <w:tcW w:w="426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 of June 30, 2021</w:t>
            </w:r>
          </w:p>
        </w:tc>
        <w:tc>
          <w:tcPr>
            <w:tcW w:w="2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r>
      <w:tr>
        <w:trPr>
          <w:trHeight w:val="207"/>
        </w:trPr>
        <w:tc>
          <w:tcPr>
            <w:tcW w:w="4260" w:type="dxa"/>
            <w:vAlign w:val="bottom"/>
          </w:tcPr>
          <w:p>
            <w:pPr>
              <w:ind w:left="140"/>
              <w:spacing w:after="0"/>
              <w:rPr>
                <w:sz w:val="20"/>
                <w:szCs w:val="20"/>
                <w:color w:val="auto"/>
              </w:rPr>
            </w:pPr>
            <w:r>
              <w:rPr>
                <w:rFonts w:ascii="Arial" w:cs="Arial" w:eastAsia="Arial" w:hAnsi="Arial"/>
                <w:sz w:val="16"/>
                <w:szCs w:val="16"/>
                <w:color w:val="auto"/>
              </w:rPr>
              <w:t>U.S. Treasuries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19,788</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267</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20,055</w:t>
            </w:r>
          </w:p>
        </w:tc>
      </w:tr>
      <w:tr>
        <w:trPr>
          <w:trHeight w:val="219"/>
        </w:trPr>
        <w:tc>
          <w:tcPr>
            <w:tcW w:w="4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U.S. Government agencies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59,692</w:t>
            </w:r>
          </w:p>
        </w:tc>
      </w:tr>
      <w:tr>
        <w:trPr>
          <w:trHeight w:val="213"/>
        </w:trPr>
        <w:tc>
          <w:tcPr>
            <w:tcW w:w="4260" w:type="dxa"/>
            <w:vAlign w:val="bottom"/>
          </w:tcPr>
          <w:p>
            <w:pPr>
              <w:ind w:left="140"/>
              <w:spacing w:after="0"/>
              <w:rPr>
                <w:sz w:val="20"/>
                <w:szCs w:val="20"/>
                <w:color w:val="auto"/>
              </w:rPr>
            </w:pPr>
            <w:r>
              <w:rPr>
                <w:rFonts w:ascii="Arial" w:cs="Arial" w:eastAsia="Arial" w:hAnsi="Arial"/>
                <w:sz w:val="16"/>
                <w:szCs w:val="16"/>
                <w:color w:val="auto"/>
              </w:rPr>
              <w:t>State and political subdivisions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248,768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5,742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1,749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252,761</w:t>
            </w:r>
          </w:p>
        </w:tc>
      </w:tr>
      <w:tr>
        <w:trPr>
          <w:trHeight w:val="219"/>
        </w:trPr>
        <w:tc>
          <w:tcPr>
            <w:tcW w:w="4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Residential MBS, Agency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223,571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226,198</w:t>
            </w:r>
          </w:p>
        </w:tc>
      </w:tr>
      <w:tr>
        <w:trPr>
          <w:trHeight w:val="213"/>
        </w:trPr>
        <w:tc>
          <w:tcPr>
            <w:tcW w:w="4260" w:type="dxa"/>
            <w:vAlign w:val="bottom"/>
          </w:tcPr>
          <w:p>
            <w:pPr>
              <w:ind w:left="140"/>
              <w:spacing w:after="0"/>
              <w:rPr>
                <w:sz w:val="20"/>
                <w:szCs w:val="20"/>
                <w:color w:val="auto"/>
              </w:rPr>
            </w:pPr>
            <w:r>
              <w:rPr>
                <w:rFonts w:ascii="Arial" w:cs="Arial" w:eastAsia="Arial" w:hAnsi="Arial"/>
                <w:sz w:val="16"/>
                <w:szCs w:val="16"/>
                <w:color w:val="auto"/>
              </w:rPr>
              <w:t>Commercial MBS, Agency &amp; GSEs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285,568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4,126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1,950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287,744</w:t>
            </w:r>
          </w:p>
        </w:tc>
      </w:tr>
      <w:tr>
        <w:trPr>
          <w:trHeight w:val="216"/>
        </w:trPr>
        <w:tc>
          <w:tcPr>
            <w:tcW w:w="4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Supranational entities</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15,038</w:t>
            </w:r>
          </w:p>
        </w:tc>
      </w:tr>
      <w:tr>
        <w:trPr>
          <w:trHeight w:val="212"/>
        </w:trPr>
        <w:tc>
          <w:tcPr>
            <w:tcW w:w="4260" w:type="dxa"/>
            <w:vAlign w:val="bottom"/>
          </w:tcPr>
          <w:p>
            <w:pPr>
              <w:ind w:left="220"/>
              <w:spacing w:after="0"/>
              <w:rPr>
                <w:sz w:val="20"/>
                <w:szCs w:val="20"/>
                <w:color w:val="auto"/>
              </w:rPr>
            </w:pPr>
            <w:r>
              <w:rPr>
                <w:rFonts w:ascii="Arial" w:cs="Arial" w:eastAsia="Arial" w:hAnsi="Arial"/>
                <w:sz w:val="16"/>
                <w:szCs w:val="16"/>
                <w:color w:val="auto"/>
              </w:rPr>
              <w:t>Total</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852,404</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14,213</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5,129</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861,488</w:t>
            </w: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83"/>
        </w:trPr>
        <w:tc>
          <w:tcPr>
            <w:tcW w:w="4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213"/>
        </w:trPr>
        <w:tc>
          <w:tcPr>
            <w:tcW w:w="42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As of December 31, 2020</w:t>
            </w:r>
          </w:p>
        </w:tc>
        <w:tc>
          <w:tcPr>
            <w:tcW w:w="28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5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5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r>
      <w:tr>
        <w:trPr>
          <w:trHeight w:val="212"/>
        </w:trPr>
        <w:tc>
          <w:tcPr>
            <w:tcW w:w="4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U.S. Government agencies &amp; GSEs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10,590</w:t>
            </w:r>
          </w:p>
        </w:tc>
      </w:tr>
      <w:tr>
        <w:trPr>
          <w:trHeight w:val="213"/>
        </w:trPr>
        <w:tc>
          <w:tcPr>
            <w:tcW w:w="4260" w:type="dxa"/>
            <w:vAlign w:val="bottom"/>
          </w:tcPr>
          <w:p>
            <w:pPr>
              <w:ind w:left="140"/>
              <w:spacing w:after="0"/>
              <w:rPr>
                <w:sz w:val="20"/>
                <w:szCs w:val="20"/>
                <w:color w:val="auto"/>
              </w:rPr>
            </w:pPr>
            <w:r>
              <w:rPr>
                <w:rFonts w:ascii="Arial" w:cs="Arial" w:eastAsia="Arial" w:hAnsi="Arial"/>
                <w:sz w:val="16"/>
                <w:szCs w:val="16"/>
                <w:color w:val="auto"/>
              </w:rPr>
              <w:t>State and political subdivisions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197,723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7,658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242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205,139</w:t>
            </w:r>
          </w:p>
        </w:tc>
      </w:tr>
      <w:tr>
        <w:trPr>
          <w:trHeight w:val="219"/>
        </w:trPr>
        <w:tc>
          <w:tcPr>
            <w:tcW w:w="4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Residential MBS, Agency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113,400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118,173</w:t>
            </w:r>
          </w:p>
        </w:tc>
      </w:tr>
      <w:tr>
        <w:trPr>
          <w:trHeight w:val="213"/>
        </w:trPr>
        <w:tc>
          <w:tcPr>
            <w:tcW w:w="42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Commercial MBS, Agency &amp; GSEs</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98,663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103,291</w:t>
            </w:r>
          </w:p>
        </w:tc>
      </w:tr>
      <w:tr>
        <w:trPr>
          <w:trHeight w:val="238"/>
        </w:trPr>
        <w:tc>
          <w:tcPr>
            <w:tcW w:w="4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420,361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17,332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437,193</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amortized cost basis, unrealized gains and losses, and fair value of AFS debt securities as of the dates indicated are presented below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4"/>
              </w:rPr>
              <w:t>Amortized</w:t>
            </w:r>
          </w:p>
        </w:tc>
        <w:tc>
          <w:tcPr>
            <w:tcW w:w="180" w:type="dxa"/>
            <w:vAlign w:val="bottom"/>
          </w:tcPr>
          <w:p>
            <w:pPr>
              <w:spacing w:after="0"/>
              <w:rPr>
                <w:sz w:val="16"/>
                <w:szCs w:val="16"/>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Gross Unrealized</w:t>
            </w:r>
          </w:p>
        </w:tc>
        <w:tc>
          <w:tcPr>
            <w:tcW w:w="160" w:type="dxa"/>
            <w:vAlign w:val="bottom"/>
          </w:tcPr>
          <w:p>
            <w:pPr>
              <w:spacing w:after="0"/>
              <w:rPr>
                <w:sz w:val="16"/>
                <w:szCs w:val="16"/>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Gross Unrealized</w:t>
            </w:r>
          </w:p>
        </w:tc>
        <w:tc>
          <w:tcPr>
            <w:tcW w:w="380" w:type="dxa"/>
            <w:vAlign w:val="bottom"/>
          </w:tcPr>
          <w:p>
            <w:pPr>
              <w:spacing w:after="0"/>
              <w:rPr>
                <w:sz w:val="16"/>
                <w:szCs w:val="16"/>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Fair</w:t>
            </w:r>
          </w:p>
        </w:tc>
      </w:tr>
      <w:tr>
        <w:trPr>
          <w:trHeight w:val="213"/>
        </w:trPr>
        <w:tc>
          <w:tcPr>
            <w:tcW w:w="4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4"/>
              </w:rPr>
              <w:t>Cost</w:t>
            </w:r>
          </w:p>
        </w:tc>
        <w:tc>
          <w:tcPr>
            <w:tcW w:w="180" w:type="dxa"/>
            <w:vAlign w:val="bottom"/>
          </w:tcPr>
          <w:p>
            <w:pPr>
              <w:spacing w:after="0"/>
              <w:rPr>
                <w:sz w:val="18"/>
                <w:szCs w:val="18"/>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Gains</w:t>
            </w:r>
          </w:p>
        </w:tc>
        <w:tc>
          <w:tcPr>
            <w:tcW w:w="160" w:type="dxa"/>
            <w:vAlign w:val="bottom"/>
          </w:tcPr>
          <w:p>
            <w:pPr>
              <w:spacing w:after="0"/>
              <w:rPr>
                <w:sz w:val="18"/>
                <w:szCs w:val="18"/>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3"/>
              </w:rPr>
              <w:t>Losses</w:t>
            </w:r>
          </w:p>
        </w:tc>
        <w:tc>
          <w:tcPr>
            <w:tcW w:w="380" w:type="dxa"/>
            <w:vAlign w:val="bottom"/>
          </w:tcPr>
          <w:p>
            <w:pPr>
              <w:spacing w:after="0"/>
              <w:rPr>
                <w:sz w:val="18"/>
                <w:szCs w:val="18"/>
                <w:color w:val="auto"/>
              </w:rPr>
            </w:pPr>
          </w:p>
        </w:tc>
        <w:tc>
          <w:tcPr>
            <w:tcW w:w="1300" w:type="dxa"/>
            <w:vAlign w:val="bottom"/>
          </w:tcPr>
          <w:p>
            <w:pPr>
              <w:jc w:val="right"/>
              <w:ind w:right="559"/>
              <w:spacing w:after="0"/>
              <w:rPr>
                <w:sz w:val="20"/>
                <w:szCs w:val="20"/>
                <w:color w:val="auto"/>
              </w:rPr>
            </w:pPr>
            <w:r>
              <w:rPr>
                <w:rFonts w:ascii="Arial" w:cs="Arial" w:eastAsia="Arial" w:hAnsi="Arial"/>
                <w:sz w:val="16"/>
                <w:szCs w:val="16"/>
                <w:b w:val="1"/>
                <w:bCs w:val="1"/>
                <w:color w:val="auto"/>
              </w:rPr>
              <w:t>Value</w:t>
            </w:r>
          </w:p>
        </w:tc>
      </w:tr>
      <w:tr>
        <w:trPr>
          <w:trHeight w:val="212"/>
        </w:trPr>
        <w:tc>
          <w:tcPr>
            <w:tcW w:w="426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 of June 30, 2021</w:t>
            </w:r>
          </w:p>
        </w:tc>
        <w:tc>
          <w:tcPr>
            <w:tcW w:w="2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r>
      <w:tr>
        <w:trPr>
          <w:trHeight w:val="207"/>
        </w:trPr>
        <w:tc>
          <w:tcPr>
            <w:tcW w:w="4260" w:type="dxa"/>
            <w:vAlign w:val="bottom"/>
          </w:tcPr>
          <w:p>
            <w:pPr>
              <w:ind w:left="20"/>
              <w:spacing w:after="0"/>
              <w:rPr>
                <w:sz w:val="20"/>
                <w:szCs w:val="20"/>
                <w:color w:val="auto"/>
              </w:rPr>
            </w:pPr>
            <w:r>
              <w:rPr>
                <w:rFonts w:ascii="Arial" w:cs="Arial" w:eastAsia="Arial" w:hAnsi="Arial"/>
                <w:sz w:val="16"/>
                <w:szCs w:val="16"/>
                <w:color w:val="auto"/>
              </w:rPr>
              <w:t>U.S. Treasuries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138,884</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3,196</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142,080</w:t>
            </w: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Government agencies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153,601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152,624</w:t>
            </w:r>
          </w:p>
        </w:tc>
      </w:tr>
      <w:tr>
        <w:trPr>
          <w:trHeight w:val="213"/>
        </w:trPr>
        <w:tc>
          <w:tcPr>
            <w:tcW w:w="4260" w:type="dxa"/>
            <w:vAlign w:val="bottom"/>
          </w:tcPr>
          <w:p>
            <w:pPr>
              <w:ind w:left="20"/>
              <w:spacing w:after="0"/>
              <w:rPr>
                <w:sz w:val="20"/>
                <w:szCs w:val="20"/>
                <w:color w:val="auto"/>
              </w:rPr>
            </w:pPr>
            <w:r>
              <w:rPr>
                <w:rFonts w:ascii="Arial" w:cs="Arial" w:eastAsia="Arial" w:hAnsi="Arial"/>
                <w:sz w:val="16"/>
                <w:szCs w:val="16"/>
                <w:color w:val="auto"/>
              </w:rPr>
              <w:t>State and political subdivisions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273,433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17,154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1,241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289,346</w:t>
            </w: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Residential MBS, Agency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1,831,697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21,089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11,809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1,840,977</w:t>
            </w:r>
          </w:p>
        </w:tc>
      </w:tr>
      <w:tr>
        <w:trPr>
          <w:trHeight w:val="213"/>
        </w:trPr>
        <w:tc>
          <w:tcPr>
            <w:tcW w:w="4260" w:type="dxa"/>
            <w:vAlign w:val="bottom"/>
          </w:tcPr>
          <w:p>
            <w:pPr>
              <w:ind w:left="20"/>
              <w:spacing w:after="0"/>
              <w:rPr>
                <w:sz w:val="20"/>
                <w:szCs w:val="20"/>
                <w:color w:val="auto"/>
              </w:rPr>
            </w:pPr>
            <w:r>
              <w:rPr>
                <w:rFonts w:ascii="Arial" w:cs="Arial" w:eastAsia="Arial" w:hAnsi="Arial"/>
                <w:sz w:val="16"/>
                <w:szCs w:val="16"/>
                <w:color w:val="auto"/>
              </w:rPr>
              <w:t>Residential MBS, Non-agency</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132,100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3,972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136,068</w:t>
            </w: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MBS, Agency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695,417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691,367</w:t>
            </w:r>
          </w:p>
        </w:tc>
      </w:tr>
      <w:tr>
        <w:trPr>
          <w:trHeight w:val="213"/>
        </w:trPr>
        <w:tc>
          <w:tcPr>
            <w:tcW w:w="4260" w:type="dxa"/>
            <w:vAlign w:val="bottom"/>
          </w:tcPr>
          <w:p>
            <w:pPr>
              <w:ind w:left="20"/>
              <w:spacing w:after="0"/>
              <w:rPr>
                <w:sz w:val="20"/>
                <w:szCs w:val="20"/>
                <w:color w:val="auto"/>
              </w:rPr>
            </w:pPr>
            <w:r>
              <w:rPr>
                <w:rFonts w:ascii="Arial" w:cs="Arial" w:eastAsia="Arial" w:hAnsi="Arial"/>
                <w:sz w:val="16"/>
                <w:szCs w:val="16"/>
                <w:color w:val="auto"/>
              </w:rPr>
              <w:t>Commercial MBS, Non-agency</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15,219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1,622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16,841</w:t>
            </w: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bonds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150,736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151,811</w:t>
            </w:r>
          </w:p>
        </w:tc>
      </w:tr>
      <w:tr>
        <w:trPr>
          <w:trHeight w:val="213"/>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Asset-backed securities</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652,093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654,667</w:t>
            </w:r>
          </w:p>
        </w:tc>
      </w:tr>
      <w:tr>
        <w:trPr>
          <w:trHeight w:val="238"/>
        </w:trPr>
        <w:tc>
          <w:tcPr>
            <w:tcW w:w="4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4,043,180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56,773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24,172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4,075,781</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16"/>
        </w:trPr>
        <w:tc>
          <w:tcPr>
            <w:tcW w:w="4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 of December 31, 2020</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07"/>
        </w:trPr>
        <w:tc>
          <w:tcPr>
            <w:tcW w:w="4260" w:type="dxa"/>
            <w:vAlign w:val="bottom"/>
          </w:tcPr>
          <w:p>
            <w:pPr>
              <w:ind w:left="20"/>
              <w:spacing w:after="0"/>
              <w:rPr>
                <w:sz w:val="20"/>
                <w:szCs w:val="20"/>
                <w:color w:val="auto"/>
              </w:rPr>
            </w:pPr>
            <w:r>
              <w:rPr>
                <w:rFonts w:ascii="Arial" w:cs="Arial" w:eastAsia="Arial" w:hAnsi="Arial"/>
                <w:sz w:val="16"/>
                <w:szCs w:val="16"/>
                <w:color w:val="auto"/>
              </w:rPr>
              <w:t>U.S. Treasuries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123,677</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4,395</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128,072</w:t>
            </w: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Government agencies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152,596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152,972</w:t>
            </w:r>
          </w:p>
        </w:tc>
      </w:tr>
      <w:tr>
        <w:trPr>
          <w:trHeight w:val="213"/>
        </w:trPr>
        <w:tc>
          <w:tcPr>
            <w:tcW w:w="4260" w:type="dxa"/>
            <w:vAlign w:val="bottom"/>
          </w:tcPr>
          <w:p>
            <w:pPr>
              <w:ind w:left="20"/>
              <w:spacing w:after="0"/>
              <w:rPr>
                <w:sz w:val="20"/>
                <w:szCs w:val="20"/>
                <w:color w:val="auto"/>
              </w:rPr>
            </w:pPr>
            <w:r>
              <w:rPr>
                <w:rFonts w:ascii="Arial" w:cs="Arial" w:eastAsia="Arial" w:hAnsi="Arial"/>
                <w:sz w:val="16"/>
                <w:szCs w:val="16"/>
                <w:color w:val="auto"/>
              </w:rPr>
              <w:t>State and political subdivisions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253,630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20,891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274,472</w:t>
            </w: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Residential MBS, Agency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1,275,551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1,303,892</w:t>
            </w:r>
          </w:p>
        </w:tc>
      </w:tr>
      <w:tr>
        <w:trPr>
          <w:trHeight w:val="213"/>
        </w:trPr>
        <w:tc>
          <w:tcPr>
            <w:tcW w:w="4260" w:type="dxa"/>
            <w:vAlign w:val="bottom"/>
          </w:tcPr>
          <w:p>
            <w:pPr>
              <w:ind w:left="20"/>
              <w:spacing w:after="0"/>
              <w:rPr>
                <w:sz w:val="20"/>
                <w:szCs w:val="20"/>
                <w:color w:val="auto"/>
              </w:rPr>
            </w:pPr>
            <w:r>
              <w:rPr>
                <w:rFonts w:ascii="Arial" w:cs="Arial" w:eastAsia="Arial" w:hAnsi="Arial"/>
                <w:sz w:val="16"/>
                <w:szCs w:val="16"/>
                <w:color w:val="auto"/>
              </w:rPr>
              <w:t>Residential MBS, Non-agency</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174,322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7,499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181,693</w:t>
            </w: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MBS, Agency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524,852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532,268</w:t>
            </w:r>
          </w:p>
        </w:tc>
      </w:tr>
      <w:tr>
        <w:trPr>
          <w:trHeight w:val="213"/>
        </w:trPr>
        <w:tc>
          <w:tcPr>
            <w:tcW w:w="4260" w:type="dxa"/>
            <w:vAlign w:val="bottom"/>
          </w:tcPr>
          <w:p>
            <w:pPr>
              <w:ind w:left="20"/>
              <w:spacing w:after="0"/>
              <w:rPr>
                <w:sz w:val="20"/>
                <w:szCs w:val="20"/>
                <w:color w:val="auto"/>
              </w:rPr>
            </w:pPr>
            <w:r>
              <w:rPr>
                <w:rFonts w:ascii="Arial" w:cs="Arial" w:eastAsia="Arial" w:hAnsi="Arial"/>
                <w:sz w:val="16"/>
                <w:szCs w:val="16"/>
                <w:color w:val="auto"/>
              </w:rPr>
              <w:t>Commercial MBS, Non-agency</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15,350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1,513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16,863</w:t>
            </w: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bonds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71,767</w:t>
            </w:r>
          </w:p>
        </w:tc>
      </w:tr>
      <w:tr>
        <w:trPr>
          <w:trHeight w:val="213"/>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Asset-backed securities</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562,076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562,722</w:t>
            </w:r>
          </w:p>
        </w:tc>
      </w:tr>
      <w:tr>
        <w:trPr>
          <w:trHeight w:val="238"/>
        </w:trPr>
        <w:tc>
          <w:tcPr>
            <w:tcW w:w="4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3,152,111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75,108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3,224,721</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Securities with a carrying value of $1.15 billion and $1.11 billion were pledged, primarily to secure public deposits, at June 30, 2021 and December 31, 2020, respectively.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following table summarizes HTM debt securities in an unrealized loss position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20" w:type="dxa"/>
            <w:vAlign w:val="bottom"/>
            <w:gridSpan w:val="5"/>
          </w:tcPr>
          <w:p>
            <w:pPr>
              <w:ind w:left="260"/>
              <w:spacing w:after="0"/>
              <w:rPr>
                <w:sz w:val="20"/>
                <w:szCs w:val="20"/>
                <w:color w:val="auto"/>
              </w:rPr>
            </w:pPr>
            <w:r>
              <w:rPr>
                <w:rFonts w:ascii="Arial" w:cs="Arial" w:eastAsia="Arial" w:hAnsi="Arial"/>
                <w:sz w:val="16"/>
                <w:szCs w:val="16"/>
                <w:b w:val="1"/>
                <w:bCs w:val="1"/>
                <w:color w:val="auto"/>
              </w:rPr>
              <w:t>Less than 12 Months</w:t>
            </w:r>
          </w:p>
        </w:tc>
        <w:tc>
          <w:tcPr>
            <w:tcW w:w="140" w:type="dxa"/>
            <w:vAlign w:val="bottom"/>
          </w:tcPr>
          <w:p>
            <w:pPr>
              <w:spacing w:after="0"/>
              <w:rPr>
                <w:sz w:val="18"/>
                <w:szCs w:val="18"/>
                <w:color w:val="auto"/>
              </w:rPr>
            </w:pPr>
          </w:p>
        </w:tc>
        <w:tc>
          <w:tcPr>
            <w:tcW w:w="2220" w:type="dxa"/>
            <w:vAlign w:val="bottom"/>
            <w:gridSpan w:val="5"/>
          </w:tcPr>
          <w:p>
            <w:pPr>
              <w:ind w:left="320"/>
              <w:spacing w:after="0"/>
              <w:rPr>
                <w:sz w:val="20"/>
                <w:szCs w:val="20"/>
                <w:color w:val="auto"/>
              </w:rPr>
            </w:pPr>
            <w:r>
              <w:rPr>
                <w:rFonts w:ascii="Arial" w:cs="Arial" w:eastAsia="Arial" w:hAnsi="Arial"/>
                <w:sz w:val="16"/>
                <w:szCs w:val="16"/>
                <w:b w:val="1"/>
                <w:bCs w:val="1"/>
                <w:color w:val="auto"/>
              </w:rPr>
              <w:t>12 Months or More</w:t>
            </w:r>
          </w:p>
        </w:tc>
        <w:tc>
          <w:tcPr>
            <w:tcW w:w="14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6"/>
                <w:szCs w:val="16"/>
                <w:b w:val="1"/>
                <w:bCs w:val="1"/>
                <w:color w:val="auto"/>
              </w:rPr>
              <w:t>Total</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41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6"/>
                <w:szCs w:val="16"/>
                <w:b w:val="1"/>
                <w:bCs w:val="1"/>
                <w:color w:val="auto"/>
              </w:rPr>
              <w:t>Fair Value</w:t>
            </w: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39"/>
              <w:spacing w:after="0" w:line="158" w:lineRule="exact"/>
              <w:rPr>
                <w:sz w:val="20"/>
                <w:szCs w:val="20"/>
                <w:color w:val="auto"/>
              </w:rPr>
            </w:pPr>
            <w:r>
              <w:rPr>
                <w:rFonts w:ascii="Arial" w:cs="Arial" w:eastAsia="Arial" w:hAnsi="Arial"/>
                <w:sz w:val="16"/>
                <w:szCs w:val="16"/>
                <w:b w:val="1"/>
                <w:bCs w:val="1"/>
                <w:color w:val="auto"/>
                <w:w w:val="93"/>
              </w:rPr>
              <w:t>Unrealized</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6"/>
                <w:szCs w:val="16"/>
                <w:b w:val="1"/>
                <w:bCs w:val="1"/>
                <w:color w:val="auto"/>
              </w:rPr>
              <w:t>Fair Value</w:t>
            </w: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39"/>
              <w:spacing w:after="0" w:line="158" w:lineRule="exact"/>
              <w:rPr>
                <w:sz w:val="20"/>
                <w:szCs w:val="20"/>
                <w:color w:val="auto"/>
              </w:rPr>
            </w:pPr>
            <w:r>
              <w:rPr>
                <w:rFonts w:ascii="Arial" w:cs="Arial" w:eastAsia="Arial" w:hAnsi="Arial"/>
                <w:sz w:val="16"/>
                <w:szCs w:val="16"/>
                <w:b w:val="1"/>
                <w:bCs w:val="1"/>
                <w:color w:val="auto"/>
                <w:w w:val="93"/>
              </w:rPr>
              <w:t>Unrealized</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6"/>
                <w:szCs w:val="16"/>
                <w:b w:val="1"/>
                <w:bCs w:val="1"/>
                <w:color w:val="auto"/>
              </w:rPr>
              <w:t>Fair Value</w:t>
            </w: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99"/>
              <w:spacing w:after="0" w:line="158" w:lineRule="exact"/>
              <w:rPr>
                <w:sz w:val="20"/>
                <w:szCs w:val="20"/>
                <w:color w:val="auto"/>
              </w:rPr>
            </w:pPr>
            <w:r>
              <w:rPr>
                <w:rFonts w:ascii="Arial" w:cs="Arial" w:eastAsia="Arial" w:hAnsi="Arial"/>
                <w:sz w:val="16"/>
                <w:szCs w:val="16"/>
                <w:b w:val="1"/>
                <w:bCs w:val="1"/>
                <w:color w:val="auto"/>
                <w:w w:val="91"/>
              </w:rPr>
              <w:t>Unrealized</w:t>
            </w:r>
          </w:p>
        </w:tc>
        <w:tc>
          <w:tcPr>
            <w:tcW w:w="0" w:type="dxa"/>
            <w:vAlign w:val="bottom"/>
          </w:tcPr>
          <w:p>
            <w:pPr>
              <w:spacing w:after="0"/>
              <w:rPr>
                <w:sz w:val="1"/>
                <w:szCs w:val="1"/>
                <w:color w:val="auto"/>
              </w:rPr>
            </w:pPr>
          </w:p>
        </w:tc>
      </w:tr>
      <w:tr>
        <w:trPr>
          <w:trHeight w:val="213"/>
        </w:trPr>
        <w:tc>
          <w:tcPr>
            <w:tcW w:w="4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5"/>
              </w:rPr>
              <w:t>Loss</w:t>
            </w:r>
          </w:p>
        </w:tc>
        <w:tc>
          <w:tcPr>
            <w:tcW w:w="1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5"/>
              </w:rPr>
              <w:t>Loss</w:t>
            </w: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99"/>
              <w:spacing w:after="0"/>
              <w:rPr>
                <w:sz w:val="20"/>
                <w:szCs w:val="20"/>
                <w:color w:val="auto"/>
              </w:rPr>
            </w:pPr>
            <w:r>
              <w:rPr>
                <w:rFonts w:ascii="Arial" w:cs="Arial" w:eastAsia="Arial" w:hAnsi="Arial"/>
                <w:sz w:val="16"/>
                <w:szCs w:val="16"/>
                <w:b w:val="1"/>
                <w:bCs w:val="1"/>
                <w:color w:val="auto"/>
              </w:rPr>
              <w:t>Loss</w:t>
            </w:r>
          </w:p>
        </w:tc>
        <w:tc>
          <w:tcPr>
            <w:tcW w:w="0" w:type="dxa"/>
            <w:vAlign w:val="bottom"/>
          </w:tcPr>
          <w:p>
            <w:pPr>
              <w:spacing w:after="0"/>
              <w:rPr>
                <w:sz w:val="1"/>
                <w:szCs w:val="1"/>
                <w:color w:val="auto"/>
              </w:rPr>
            </w:pPr>
          </w:p>
        </w:tc>
      </w:tr>
      <w:tr>
        <w:trPr>
          <w:trHeight w:val="212"/>
        </w:trPr>
        <w:tc>
          <w:tcPr>
            <w:tcW w:w="418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 of June 30, 2021</w:t>
            </w: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180" w:type="dxa"/>
            <w:vAlign w:val="bottom"/>
          </w:tcPr>
          <w:p>
            <w:pPr>
              <w:ind w:left="20"/>
              <w:spacing w:after="0"/>
              <w:rPr>
                <w:sz w:val="20"/>
                <w:szCs w:val="20"/>
                <w:color w:val="auto"/>
              </w:rPr>
            </w:pPr>
            <w:r>
              <w:rPr>
                <w:rFonts w:ascii="Arial" w:cs="Arial" w:eastAsia="Arial" w:hAnsi="Arial"/>
                <w:sz w:val="16"/>
                <w:szCs w:val="16"/>
                <w:color w:val="auto"/>
              </w:rPr>
              <w:t>U.S. Government agencies &amp; GSEs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10,143</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351</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10,143</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351</w:t>
            </w:r>
          </w:p>
        </w:tc>
        <w:tc>
          <w:tcPr>
            <w:tcW w:w="0" w:type="dxa"/>
            <w:vAlign w:val="bottom"/>
          </w:tcPr>
          <w:p>
            <w:pPr>
              <w:spacing w:after="0"/>
              <w:rPr>
                <w:sz w:val="1"/>
                <w:szCs w:val="1"/>
                <w:color w:val="auto"/>
              </w:rPr>
            </w:pPr>
          </w:p>
        </w:tc>
      </w:tr>
      <w:tr>
        <w:trPr>
          <w:trHeight w:val="219"/>
        </w:trPr>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State and political subdivisions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85,484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85,484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1,749</w:t>
            </w:r>
          </w:p>
        </w:tc>
        <w:tc>
          <w:tcPr>
            <w:tcW w:w="0" w:type="dxa"/>
            <w:vAlign w:val="bottom"/>
          </w:tcPr>
          <w:p>
            <w:pPr>
              <w:spacing w:after="0"/>
              <w:rPr>
                <w:sz w:val="1"/>
                <w:szCs w:val="1"/>
                <w:color w:val="auto"/>
              </w:rPr>
            </w:pPr>
          </w:p>
        </w:tc>
      </w:tr>
      <w:tr>
        <w:trPr>
          <w:trHeight w:val="213"/>
        </w:trPr>
        <w:tc>
          <w:tcPr>
            <w:tcW w:w="4180" w:type="dxa"/>
            <w:vAlign w:val="bottom"/>
          </w:tcPr>
          <w:p>
            <w:pPr>
              <w:ind w:left="20"/>
              <w:spacing w:after="0"/>
              <w:rPr>
                <w:sz w:val="20"/>
                <w:szCs w:val="20"/>
                <w:color w:val="auto"/>
              </w:rPr>
            </w:pPr>
            <w:r>
              <w:rPr>
                <w:rFonts w:ascii="Arial" w:cs="Arial" w:eastAsia="Arial" w:hAnsi="Arial"/>
                <w:sz w:val="16"/>
                <w:szCs w:val="16"/>
                <w:color w:val="auto"/>
              </w:rPr>
              <w:t>Residential MBS, Agency &amp; GSEs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89,888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90,008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1,079</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MBS, Agency &amp; GSEs</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125,226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125,226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1,950</w:t>
            </w:r>
          </w:p>
        </w:tc>
        <w:tc>
          <w:tcPr>
            <w:tcW w:w="0" w:type="dxa"/>
            <w:vAlign w:val="bottom"/>
          </w:tcPr>
          <w:p>
            <w:pPr>
              <w:spacing w:after="0"/>
              <w:rPr>
                <w:sz w:val="1"/>
                <w:szCs w:val="1"/>
                <w:color w:val="auto"/>
              </w:rPr>
            </w:pPr>
          </w:p>
        </w:tc>
      </w:tr>
      <w:tr>
        <w:trPr>
          <w:trHeight w:val="212"/>
        </w:trPr>
        <w:tc>
          <w:tcPr>
            <w:tcW w:w="4180" w:type="dxa"/>
            <w:vAlign w:val="bottom"/>
          </w:tcPr>
          <w:p>
            <w:pPr>
              <w:ind w:left="140"/>
              <w:spacing w:after="0"/>
              <w:rPr>
                <w:sz w:val="20"/>
                <w:szCs w:val="20"/>
                <w:color w:val="auto"/>
              </w:rPr>
            </w:pPr>
            <w:r>
              <w:rPr>
                <w:rFonts w:ascii="Arial" w:cs="Arial" w:eastAsia="Arial" w:hAnsi="Arial"/>
                <w:sz w:val="16"/>
                <w:szCs w:val="16"/>
                <w:color w:val="auto"/>
              </w:rPr>
              <w:t>Total unrealized loss position</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310,741</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5,128</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310,861</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5,129</w:t>
            </w: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As of December 31, 2020</w:t>
            </w:r>
          </w:p>
        </w:tc>
        <w:tc>
          <w:tcPr>
            <w:tcW w:w="14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Government agencies &amp; GSEs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3"/>
        </w:trPr>
        <w:tc>
          <w:tcPr>
            <w:tcW w:w="4180" w:type="dxa"/>
            <w:vAlign w:val="bottom"/>
          </w:tcPr>
          <w:p>
            <w:pPr>
              <w:ind w:left="20"/>
              <w:spacing w:after="0"/>
              <w:rPr>
                <w:sz w:val="20"/>
                <w:szCs w:val="20"/>
                <w:color w:val="auto"/>
              </w:rPr>
            </w:pPr>
            <w:r>
              <w:rPr>
                <w:rFonts w:ascii="Arial" w:cs="Arial" w:eastAsia="Arial" w:hAnsi="Arial"/>
                <w:sz w:val="16"/>
                <w:szCs w:val="16"/>
                <w:color w:val="auto"/>
              </w:rPr>
              <w:t>State and political subdivisions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14,870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14,870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219"/>
        </w:trPr>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Residential MBS, Agency &amp; GSEs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Commercial MBS, Agency &amp; GSEs</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24,956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26,308</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238"/>
        </w:trPr>
        <w:tc>
          <w:tcPr>
            <w:tcW w:w="4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unrealized loss position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45,502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46,854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summarizes AFS debt securities in an unrealized loss position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40" w:type="dxa"/>
            <w:vAlign w:val="bottom"/>
            <w:gridSpan w:val="5"/>
          </w:tcPr>
          <w:p>
            <w:pPr>
              <w:ind w:left="280"/>
              <w:spacing w:after="0"/>
              <w:rPr>
                <w:sz w:val="20"/>
                <w:szCs w:val="20"/>
                <w:color w:val="auto"/>
              </w:rPr>
            </w:pPr>
            <w:r>
              <w:rPr>
                <w:rFonts w:ascii="Arial" w:cs="Arial" w:eastAsia="Arial" w:hAnsi="Arial"/>
                <w:sz w:val="16"/>
                <w:szCs w:val="16"/>
                <w:b w:val="1"/>
                <w:bCs w:val="1"/>
                <w:color w:val="auto"/>
              </w:rPr>
              <w:t>Less than 12 Months</w:t>
            </w:r>
          </w:p>
        </w:tc>
        <w:tc>
          <w:tcPr>
            <w:tcW w:w="140" w:type="dxa"/>
            <w:vAlign w:val="bottom"/>
          </w:tcPr>
          <w:p>
            <w:pPr>
              <w:spacing w:after="0"/>
              <w:rPr>
                <w:sz w:val="18"/>
                <w:szCs w:val="18"/>
                <w:color w:val="auto"/>
              </w:rPr>
            </w:pPr>
          </w:p>
        </w:tc>
        <w:tc>
          <w:tcPr>
            <w:tcW w:w="2220" w:type="dxa"/>
            <w:vAlign w:val="bottom"/>
            <w:gridSpan w:val="5"/>
          </w:tcPr>
          <w:p>
            <w:pPr>
              <w:ind w:left="320"/>
              <w:spacing w:after="0"/>
              <w:rPr>
                <w:sz w:val="20"/>
                <w:szCs w:val="20"/>
                <w:color w:val="auto"/>
              </w:rPr>
            </w:pPr>
            <w:r>
              <w:rPr>
                <w:rFonts w:ascii="Arial" w:cs="Arial" w:eastAsia="Arial" w:hAnsi="Arial"/>
                <w:sz w:val="16"/>
                <w:szCs w:val="16"/>
                <w:b w:val="1"/>
                <w:bCs w:val="1"/>
                <w:color w:val="auto"/>
              </w:rPr>
              <w:t>12 Months or More</w:t>
            </w:r>
          </w:p>
        </w:tc>
        <w:tc>
          <w:tcPr>
            <w:tcW w:w="14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6"/>
                <w:szCs w:val="16"/>
                <w:b w:val="1"/>
                <w:bCs w:val="1"/>
                <w:color w:val="auto"/>
              </w:rPr>
              <w:t>Total</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6"/>
                <w:szCs w:val="16"/>
                <w:b w:val="1"/>
                <w:bCs w:val="1"/>
                <w:color w:val="auto"/>
              </w:rPr>
              <w:t>Fair Value</w:t>
            </w: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39"/>
              <w:spacing w:after="0" w:line="158" w:lineRule="exact"/>
              <w:rPr>
                <w:sz w:val="20"/>
                <w:szCs w:val="20"/>
                <w:color w:val="auto"/>
              </w:rPr>
            </w:pPr>
            <w:r>
              <w:rPr>
                <w:rFonts w:ascii="Arial" w:cs="Arial" w:eastAsia="Arial" w:hAnsi="Arial"/>
                <w:sz w:val="16"/>
                <w:szCs w:val="16"/>
                <w:b w:val="1"/>
                <w:bCs w:val="1"/>
                <w:color w:val="auto"/>
                <w:w w:val="93"/>
              </w:rPr>
              <w:t>Unrealized</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6"/>
                <w:szCs w:val="16"/>
                <w:b w:val="1"/>
                <w:bCs w:val="1"/>
                <w:color w:val="auto"/>
              </w:rPr>
              <w:t>Fair Value</w:t>
            </w: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39"/>
              <w:spacing w:after="0" w:line="158" w:lineRule="exact"/>
              <w:rPr>
                <w:sz w:val="20"/>
                <w:szCs w:val="20"/>
                <w:color w:val="auto"/>
              </w:rPr>
            </w:pPr>
            <w:r>
              <w:rPr>
                <w:rFonts w:ascii="Arial" w:cs="Arial" w:eastAsia="Arial" w:hAnsi="Arial"/>
                <w:sz w:val="16"/>
                <w:szCs w:val="16"/>
                <w:b w:val="1"/>
                <w:bCs w:val="1"/>
                <w:color w:val="auto"/>
                <w:w w:val="93"/>
              </w:rPr>
              <w:t>Unrealized</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6"/>
                <w:szCs w:val="16"/>
                <w:b w:val="1"/>
                <w:bCs w:val="1"/>
                <w:color w:val="auto"/>
              </w:rPr>
              <w:t>Fair Value</w:t>
            </w: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99"/>
              <w:spacing w:after="0" w:line="158" w:lineRule="exact"/>
              <w:rPr>
                <w:sz w:val="20"/>
                <w:szCs w:val="20"/>
                <w:color w:val="auto"/>
              </w:rPr>
            </w:pPr>
            <w:r>
              <w:rPr>
                <w:rFonts w:ascii="Arial" w:cs="Arial" w:eastAsia="Arial" w:hAnsi="Arial"/>
                <w:sz w:val="16"/>
                <w:szCs w:val="16"/>
                <w:b w:val="1"/>
                <w:bCs w:val="1"/>
                <w:color w:val="auto"/>
                <w:w w:val="91"/>
              </w:rPr>
              <w:t>Unrealized</w:t>
            </w:r>
          </w:p>
        </w:tc>
        <w:tc>
          <w:tcPr>
            <w:tcW w:w="0" w:type="dxa"/>
            <w:vAlign w:val="bottom"/>
          </w:tcPr>
          <w:p>
            <w:pPr>
              <w:spacing w:after="0"/>
              <w:rPr>
                <w:sz w:val="1"/>
                <w:szCs w:val="1"/>
                <w:color w:val="auto"/>
              </w:rPr>
            </w:pPr>
          </w:p>
        </w:tc>
      </w:tr>
      <w:tr>
        <w:trPr>
          <w:trHeight w:val="213"/>
        </w:trPr>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5"/>
              </w:rPr>
              <w:t>Loss</w:t>
            </w:r>
          </w:p>
        </w:tc>
        <w:tc>
          <w:tcPr>
            <w:tcW w:w="1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5"/>
              </w:rPr>
              <w:t>Loss</w:t>
            </w: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99"/>
              <w:spacing w:after="0"/>
              <w:rPr>
                <w:sz w:val="20"/>
                <w:szCs w:val="20"/>
                <w:color w:val="auto"/>
              </w:rPr>
            </w:pPr>
            <w:r>
              <w:rPr>
                <w:rFonts w:ascii="Arial" w:cs="Arial" w:eastAsia="Arial" w:hAnsi="Arial"/>
                <w:sz w:val="16"/>
                <w:szCs w:val="16"/>
                <w:b w:val="1"/>
                <w:bCs w:val="1"/>
                <w:color w:val="auto"/>
              </w:rPr>
              <w:t>Loss</w:t>
            </w:r>
          </w:p>
        </w:tc>
        <w:tc>
          <w:tcPr>
            <w:tcW w:w="0" w:type="dxa"/>
            <w:vAlign w:val="bottom"/>
          </w:tcPr>
          <w:p>
            <w:pPr>
              <w:spacing w:after="0"/>
              <w:rPr>
                <w:sz w:val="1"/>
                <w:szCs w:val="1"/>
                <w:color w:val="auto"/>
              </w:rPr>
            </w:pPr>
          </w:p>
        </w:tc>
      </w:tr>
      <w:tr>
        <w:trPr>
          <w:trHeight w:val="212"/>
        </w:trPr>
        <w:tc>
          <w:tcPr>
            <w:tcW w:w="416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 of June 30, 2021</w:t>
            </w: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160" w:type="dxa"/>
            <w:vAlign w:val="bottom"/>
          </w:tcPr>
          <w:p>
            <w:pPr>
              <w:ind w:left="20"/>
              <w:spacing w:after="0"/>
              <w:rPr>
                <w:sz w:val="20"/>
                <w:szCs w:val="20"/>
                <w:color w:val="auto"/>
              </w:rPr>
            </w:pPr>
            <w:r>
              <w:rPr>
                <w:rFonts w:ascii="Arial" w:cs="Arial" w:eastAsia="Arial" w:hAnsi="Arial"/>
                <w:sz w:val="16"/>
                <w:szCs w:val="16"/>
                <w:color w:val="auto"/>
              </w:rPr>
              <w:t>U.S. Government agencies &amp; GSEs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78,309</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1,848</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78,309</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1,848</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State and political subdivisions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52,132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52,132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1,241</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Arial" w:cs="Arial" w:eastAsia="Arial" w:hAnsi="Arial"/>
                <w:sz w:val="16"/>
                <w:szCs w:val="16"/>
                <w:color w:val="auto"/>
              </w:rPr>
              <w:t>Residential MBS, Agency &amp; GSEs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897,499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11,799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847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898,346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11,809</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Residential MBS, Non-agency</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Arial" w:cs="Arial" w:eastAsia="Arial" w:hAnsi="Arial"/>
                <w:sz w:val="16"/>
                <w:szCs w:val="16"/>
                <w:color w:val="auto"/>
              </w:rPr>
              <w:t>Commercial MBS, Agency &amp; GSEs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457,568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8,633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458,593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8,676</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bonds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56,854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56,854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0" w:type="dxa"/>
            <w:vAlign w:val="bottom"/>
          </w:tcPr>
          <w:p>
            <w:pPr>
              <w:spacing w:after="0"/>
              <w:rPr>
                <w:sz w:val="1"/>
                <w:szCs w:val="1"/>
                <w:color w:val="auto"/>
              </w:rPr>
            </w:pPr>
          </w:p>
        </w:tc>
      </w:tr>
      <w:tr>
        <w:trPr>
          <w:trHeight w:val="213"/>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Asset-backed securities</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116,960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24,710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141,670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w:t>
            </w:r>
          </w:p>
        </w:tc>
        <w:tc>
          <w:tcPr>
            <w:tcW w:w="0" w:type="dxa"/>
            <w:vAlign w:val="bottom"/>
          </w:tcPr>
          <w:p>
            <w:pPr>
              <w:spacing w:after="0"/>
              <w:rPr>
                <w:sz w:val="1"/>
                <w:szCs w:val="1"/>
                <w:color w:val="auto"/>
              </w:rPr>
            </w:pPr>
          </w:p>
        </w:tc>
      </w:tr>
      <w:tr>
        <w:trPr>
          <w:trHeight w:val="238"/>
        </w:trPr>
        <w:tc>
          <w:tcPr>
            <w:tcW w:w="4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unrealized loss position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1,659,322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24,080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29,037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1,688,359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24,172</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 of December 31, 2020</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160" w:type="dxa"/>
            <w:vAlign w:val="bottom"/>
          </w:tcPr>
          <w:p>
            <w:pPr>
              <w:ind w:left="20"/>
              <w:spacing w:after="0"/>
              <w:rPr>
                <w:sz w:val="20"/>
                <w:szCs w:val="20"/>
                <w:color w:val="auto"/>
              </w:rPr>
            </w:pPr>
            <w:r>
              <w:rPr>
                <w:rFonts w:ascii="Arial" w:cs="Arial" w:eastAsia="Arial" w:hAnsi="Arial"/>
                <w:sz w:val="16"/>
                <w:szCs w:val="16"/>
                <w:color w:val="auto"/>
              </w:rPr>
              <w:t>U.S. Government agencies &amp; GSEs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27,952</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324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607</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28,559</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325</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State and political subdivisions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9,402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9,402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Arial" w:cs="Arial" w:eastAsia="Arial" w:hAnsi="Arial"/>
                <w:sz w:val="16"/>
                <w:szCs w:val="16"/>
                <w:color w:val="auto"/>
              </w:rPr>
              <w:t>Residential MBS, Agency &amp; GSEs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232,199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232,199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766</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Residential MBS, Non-agency</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Arial" w:cs="Arial" w:eastAsia="Arial" w:hAnsi="Arial"/>
                <w:sz w:val="16"/>
                <w:szCs w:val="16"/>
                <w:color w:val="auto"/>
              </w:rPr>
              <w:t>Commercial MBS, Agency &amp; GSEs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89,918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89,918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597</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bonds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Asset-backed securities</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87,305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53,587</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140,892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632</w:t>
            </w:r>
          </w:p>
        </w:tc>
        <w:tc>
          <w:tcPr>
            <w:tcW w:w="0" w:type="dxa"/>
            <w:vAlign w:val="bottom"/>
          </w:tcPr>
          <w:p>
            <w:pPr>
              <w:spacing w:after="0"/>
              <w:rPr>
                <w:sz w:val="1"/>
                <w:szCs w:val="1"/>
                <w:color w:val="auto"/>
              </w:rPr>
            </w:pPr>
          </w:p>
        </w:tc>
      </w:tr>
      <w:tr>
        <w:trPr>
          <w:trHeight w:val="238"/>
        </w:trPr>
        <w:tc>
          <w:tcPr>
            <w:tcW w:w="4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unrealized loss position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450,517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54,194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504,711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2,498</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June 30, 2021, there were 232 AFS debt securities and 49 HTM debt securities that were in an unrealized loss position. United does not intend to sell nor does it believe it will be required to sell securities in an unrealized loss position prior to the recovery of their amortized cost basis. Unrealized losses at June 30, 2021 were primarily attributable to changes in interest rates.</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June 30, 2021 and December 31, 2020, calculated credit losses and, thus, the related ACL on HTM debt securities were not material due to the high credit quality of the portfolio, which included securities issued or guaranteed by U.S. Government agencies, GSEs, high credit quality municipalities and supranational entities. As a result, no ACL was recorded on the HTM portfolio at June 30, 2021 or December 31, 2020. In addition, based on the assessments performed at June 30, 2021 and December 31, 2020, there was no ACL required related to the AFS portfolio.</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81"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 xml:space="preserve">The following table presents accrued interest receivable for the periods indicated on HTM and AFS debt securities </w:t>
      </w:r>
      <w:r>
        <w:rPr>
          <w:rFonts w:ascii="Arial" w:cs="Arial" w:eastAsia="Arial" w:hAnsi="Arial"/>
          <w:sz w:val="18"/>
          <w:szCs w:val="18"/>
          <w:i w:val="1"/>
          <w:iCs w:val="1"/>
          <w:color w:val="auto"/>
        </w:rPr>
        <w:t>(in thousands)</w:t>
      </w:r>
      <w:r>
        <w:rPr>
          <w:rFonts w:ascii="Arial" w:cs="Arial" w:eastAsia="Arial" w:hAnsi="Arial"/>
          <w:sz w:val="18"/>
          <w:szCs w:val="18"/>
          <w:color w:val="auto"/>
        </w:rPr>
        <w:t>, which was excluded from the estimate of credit losses.</w:t>
      </w:r>
    </w:p>
    <w:tbl>
      <w:tblPr>
        <w:tblLayout w:type="fixed"/>
        <w:tblInd w:w="0" w:type="dxa"/>
        <w:tblCellMar>
          <w:top w:w="0" w:type="dxa"/>
          <w:left w:w="0" w:type="dxa"/>
          <w:bottom w:w="0" w:type="dxa"/>
          <w:right w:w="0" w:type="dxa"/>
        </w:tblCellMar>
      </w:tblPr>
      <w:tr>
        <w:trPr>
          <w:trHeight w:val="213"/>
        </w:trPr>
        <w:tc>
          <w:tcPr>
            <w:tcW w:w="5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60" w:type="dxa"/>
            <w:vAlign w:val="bottom"/>
            <w:gridSpan w:val="5"/>
          </w:tcPr>
          <w:p>
            <w:pPr>
              <w:jc w:val="center"/>
              <w:ind w:right="2880"/>
              <w:spacing w:after="0"/>
              <w:rPr>
                <w:sz w:val="20"/>
                <w:szCs w:val="20"/>
                <w:color w:val="auto"/>
              </w:rPr>
            </w:pPr>
            <w:r>
              <w:rPr>
                <w:rFonts w:ascii="Arial" w:cs="Arial" w:eastAsia="Arial" w:hAnsi="Arial"/>
                <w:sz w:val="16"/>
                <w:szCs w:val="16"/>
                <w:b w:val="1"/>
                <w:bCs w:val="1"/>
                <w:color w:val="auto"/>
                <w:w w:val="90"/>
              </w:rPr>
              <w:t>Accrued Interest Receivable</w:t>
            </w:r>
          </w:p>
        </w:tc>
      </w:tr>
      <w:tr>
        <w:trPr>
          <w:trHeight w:val="210"/>
        </w:trPr>
        <w:tc>
          <w:tcPr>
            <w:tcW w:w="5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June 30, 2021</w:t>
            </w:r>
          </w:p>
        </w:tc>
        <w:tc>
          <w:tcPr>
            <w:tcW w:w="16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4"/>
              </w:rPr>
              <w:t>December 31, 2020</w:t>
            </w:r>
          </w:p>
        </w:tc>
        <w:tc>
          <w:tcPr>
            <w:tcW w:w="2660" w:type="dxa"/>
            <w:vAlign w:val="bottom"/>
          </w:tcPr>
          <w:p>
            <w:pPr>
              <w:spacing w:after="0"/>
              <w:rPr>
                <w:sz w:val="18"/>
                <w:szCs w:val="18"/>
                <w:color w:val="auto"/>
              </w:rPr>
            </w:pPr>
          </w:p>
        </w:tc>
      </w:tr>
      <w:tr>
        <w:trPr>
          <w:trHeight w:val="212"/>
        </w:trPr>
        <w:tc>
          <w:tcPr>
            <w:tcW w:w="5160" w:type="dxa"/>
            <w:vAlign w:val="bottom"/>
            <w:tcBorders>
              <w:top w:val="single" w:sz="8" w:color="CCEEFF"/>
            </w:tcBorders>
            <w:shd w:val="clear" w:color="auto" w:fill="CCEEFF"/>
          </w:tcPr>
          <w:p>
            <w:pPr>
              <w:ind w:left="2780"/>
              <w:spacing w:after="0"/>
              <w:rPr>
                <w:sz w:val="20"/>
                <w:szCs w:val="20"/>
                <w:color w:val="auto"/>
              </w:rPr>
            </w:pPr>
            <w:r>
              <w:rPr>
                <w:rFonts w:ascii="Arial" w:cs="Arial" w:eastAsia="Arial" w:hAnsi="Arial"/>
                <w:sz w:val="16"/>
                <w:szCs w:val="16"/>
                <w:color w:val="auto"/>
              </w:rPr>
              <w:t>HTM</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2,886</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1,784</w:t>
            </w:r>
          </w:p>
        </w:tc>
        <w:tc>
          <w:tcPr>
            <w:tcW w:w="2660" w:type="dxa"/>
            <w:vAlign w:val="bottom"/>
            <w:tcBorders>
              <w:top w:val="single" w:sz="8" w:color="CCEEFF"/>
            </w:tcBorders>
            <w:shd w:val="clear" w:color="auto" w:fill="CCEEFF"/>
          </w:tcPr>
          <w:p>
            <w:pPr>
              <w:spacing w:after="0"/>
              <w:rPr>
                <w:sz w:val="18"/>
                <w:szCs w:val="18"/>
                <w:color w:val="auto"/>
              </w:rPr>
            </w:pPr>
          </w:p>
        </w:tc>
      </w:tr>
      <w:tr>
        <w:trPr>
          <w:trHeight w:val="210"/>
        </w:trPr>
        <w:tc>
          <w:tcPr>
            <w:tcW w:w="5160" w:type="dxa"/>
            <w:vAlign w:val="bottom"/>
          </w:tcPr>
          <w:p>
            <w:pPr>
              <w:ind w:left="2780"/>
              <w:spacing w:after="0"/>
              <w:rPr>
                <w:sz w:val="20"/>
                <w:szCs w:val="20"/>
                <w:color w:val="auto"/>
              </w:rPr>
            </w:pPr>
            <w:r>
              <w:rPr>
                <w:rFonts w:ascii="Arial" w:cs="Arial" w:eastAsia="Arial" w:hAnsi="Arial"/>
                <w:sz w:val="16"/>
                <w:szCs w:val="16"/>
                <w:color w:val="auto"/>
              </w:rPr>
              <w:t>AFS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9,809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9,114</w:t>
            </w:r>
          </w:p>
        </w:tc>
        <w:tc>
          <w:tcPr>
            <w:tcW w:w="2660" w:type="dxa"/>
            <w:vAlign w:val="bottom"/>
          </w:tcPr>
          <w:p>
            <w:pPr>
              <w:spacing w:after="0"/>
              <w:rPr>
                <w:sz w:val="18"/>
                <w:szCs w:val="18"/>
                <w:color w:val="auto"/>
              </w:rPr>
            </w:pPr>
          </w:p>
        </w:tc>
      </w:tr>
    </w:tbl>
    <w:p>
      <w:pPr>
        <w:spacing w:after="0" w:line="329"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 xml:space="preserve">The amortized cost and fair value of AFS and HTM debt securities at June 30, 2021, by contractual maturity, are presented in the following table </w:t>
      </w:r>
      <w:r>
        <w:rPr>
          <w:rFonts w:ascii="Arial" w:cs="Arial" w:eastAsia="Arial" w:hAnsi="Arial"/>
          <w:sz w:val="16"/>
          <w:szCs w:val="16"/>
          <w:i w:val="1"/>
          <w:iCs w:val="1"/>
          <w:color w:val="auto"/>
        </w:rPr>
        <w:t>(in</w:t>
      </w:r>
      <w:r>
        <w:rPr>
          <w:rFonts w:ascii="Arial" w:cs="Arial" w:eastAsia="Arial" w:hAnsi="Arial"/>
          <w:sz w:val="16"/>
          <w:szCs w:val="16"/>
          <w:color w:val="auto"/>
        </w:rPr>
        <w:t xml:space="preserve"> </w:t>
      </w:r>
      <w:r>
        <w:rPr>
          <w:rFonts w:ascii="Arial" w:cs="Arial" w:eastAsia="Arial" w:hAnsi="Arial"/>
          <w:sz w:val="16"/>
          <w:szCs w:val="16"/>
          <w:i w:val="1"/>
          <w:iCs w:val="1"/>
          <w:color w:val="auto"/>
        </w:rPr>
        <w:t>thousands)</w:t>
      </w:r>
      <w:r>
        <w:rPr>
          <w:rFonts w:ascii="Arial" w:cs="Arial" w:eastAsia="Arial" w:hAnsi="Arial"/>
          <w:sz w:val="16"/>
          <w:szCs w:val="16"/>
          <w:color w:val="auto"/>
        </w:rPr>
        <w:t>. Expected maturities may differ from contractual maturities because issuers and borrowers may have the right to call or prepay obligations.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6"/>
                <w:szCs w:val="16"/>
                <w:b w:val="1"/>
                <w:bCs w:val="1"/>
                <w:color w:val="auto"/>
              </w:rPr>
              <w:t>AFS</w:t>
            </w:r>
          </w:p>
        </w:tc>
        <w:tc>
          <w:tcPr>
            <w:tcW w:w="13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6"/>
                <w:szCs w:val="16"/>
                <w:b w:val="1"/>
                <w:bCs w:val="1"/>
                <w:color w:val="auto"/>
              </w:rPr>
              <w:t>HTM</w:t>
            </w:r>
          </w:p>
        </w:tc>
        <w:tc>
          <w:tcPr>
            <w:tcW w:w="1360" w:type="dxa"/>
            <w:vAlign w:val="bottom"/>
            <w:tcBorders>
              <w:bottom w:val="single" w:sz="8" w:color="auto"/>
            </w:tcBorders>
          </w:tcPr>
          <w:p>
            <w:pPr>
              <w:spacing w:after="0"/>
              <w:rPr>
                <w:sz w:val="18"/>
                <w:szCs w:val="18"/>
                <w:color w:val="auto"/>
              </w:rPr>
            </w:pPr>
          </w:p>
        </w:tc>
      </w:tr>
      <w:tr>
        <w:trPr>
          <w:trHeight w:val="210"/>
        </w:trPr>
        <w:tc>
          <w:tcPr>
            <w:tcW w:w="4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ind w:left="80"/>
              <w:spacing w:after="0"/>
              <w:rPr>
                <w:sz w:val="20"/>
                <w:szCs w:val="20"/>
                <w:color w:val="auto"/>
              </w:rPr>
            </w:pPr>
            <w:r>
              <w:rPr>
                <w:rFonts w:ascii="Arial" w:cs="Arial" w:eastAsia="Arial" w:hAnsi="Arial"/>
                <w:sz w:val="16"/>
                <w:szCs w:val="16"/>
                <w:b w:val="1"/>
                <w:bCs w:val="1"/>
                <w:color w:val="auto"/>
              </w:rPr>
              <w:t>Amortized Cost</w:t>
            </w:r>
          </w:p>
        </w:tc>
        <w:tc>
          <w:tcPr>
            <w:tcW w:w="300" w:type="dxa"/>
            <w:vAlign w:val="bottom"/>
          </w:tcPr>
          <w:p>
            <w:pPr>
              <w:spacing w:after="0"/>
              <w:rPr>
                <w:sz w:val="18"/>
                <w:szCs w:val="18"/>
                <w:color w:val="auto"/>
              </w:rPr>
            </w:pPr>
          </w:p>
        </w:tc>
        <w:tc>
          <w:tcPr>
            <w:tcW w:w="1360" w:type="dxa"/>
            <w:vAlign w:val="bottom"/>
          </w:tcPr>
          <w:p>
            <w:pPr>
              <w:jc w:val="right"/>
              <w:ind w:right="379"/>
              <w:spacing w:after="0"/>
              <w:rPr>
                <w:sz w:val="20"/>
                <w:szCs w:val="20"/>
                <w:color w:val="auto"/>
              </w:rPr>
            </w:pPr>
            <w:r>
              <w:rPr>
                <w:rFonts w:ascii="Arial" w:cs="Arial" w:eastAsia="Arial" w:hAnsi="Arial"/>
                <w:sz w:val="16"/>
                <w:szCs w:val="16"/>
                <w:b w:val="1"/>
                <w:bCs w:val="1"/>
                <w:color w:val="auto"/>
              </w:rPr>
              <w:t>Fair Value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ind w:left="80"/>
              <w:spacing w:after="0"/>
              <w:rPr>
                <w:sz w:val="20"/>
                <w:szCs w:val="20"/>
                <w:color w:val="auto"/>
              </w:rPr>
            </w:pPr>
            <w:r>
              <w:rPr>
                <w:rFonts w:ascii="Arial" w:cs="Arial" w:eastAsia="Arial" w:hAnsi="Arial"/>
                <w:sz w:val="16"/>
                <w:szCs w:val="16"/>
                <w:b w:val="1"/>
                <w:bCs w:val="1"/>
                <w:color w:val="auto"/>
              </w:rPr>
              <w:t>Amortized Cost</w:t>
            </w:r>
          </w:p>
        </w:tc>
        <w:tc>
          <w:tcPr>
            <w:tcW w:w="300" w:type="dxa"/>
            <w:vAlign w:val="bottom"/>
          </w:tcPr>
          <w:p>
            <w:pPr>
              <w:spacing w:after="0"/>
              <w:rPr>
                <w:sz w:val="18"/>
                <w:szCs w:val="18"/>
                <w:color w:val="auto"/>
              </w:rPr>
            </w:pPr>
          </w:p>
        </w:tc>
        <w:tc>
          <w:tcPr>
            <w:tcW w:w="1360" w:type="dxa"/>
            <w:vAlign w:val="bottom"/>
          </w:tcPr>
          <w:p>
            <w:pPr>
              <w:jc w:val="right"/>
              <w:ind w:right="379"/>
              <w:spacing w:after="0"/>
              <w:rPr>
                <w:sz w:val="20"/>
                <w:szCs w:val="20"/>
                <w:color w:val="auto"/>
              </w:rPr>
            </w:pPr>
            <w:r>
              <w:rPr>
                <w:rFonts w:ascii="Arial" w:cs="Arial" w:eastAsia="Arial" w:hAnsi="Arial"/>
                <w:sz w:val="16"/>
                <w:szCs w:val="16"/>
                <w:b w:val="1"/>
                <w:bCs w:val="1"/>
                <w:color w:val="auto"/>
              </w:rPr>
              <w:t>Fair Value</w:t>
            </w:r>
          </w:p>
        </w:tc>
      </w:tr>
      <w:tr>
        <w:trPr>
          <w:trHeight w:val="199"/>
        </w:trPr>
        <w:tc>
          <w:tcPr>
            <w:tcW w:w="4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Within 1 year:</w:t>
            </w:r>
          </w:p>
        </w:tc>
        <w:tc>
          <w:tcPr>
            <w:tcW w:w="20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r>
      <w:tr>
        <w:trPr>
          <w:trHeight w:val="213"/>
        </w:trPr>
        <w:tc>
          <w:tcPr>
            <w:tcW w:w="4260" w:type="dxa"/>
            <w:vAlign w:val="bottom"/>
          </w:tcPr>
          <w:p>
            <w:pPr>
              <w:ind w:left="140"/>
              <w:spacing w:after="0"/>
              <w:rPr>
                <w:sz w:val="20"/>
                <w:szCs w:val="20"/>
                <w:color w:val="auto"/>
              </w:rPr>
            </w:pPr>
            <w:r>
              <w:rPr>
                <w:rFonts w:ascii="Arial" w:cs="Arial" w:eastAsia="Arial" w:hAnsi="Arial"/>
                <w:sz w:val="16"/>
                <w:szCs w:val="16"/>
                <w:color w:val="auto"/>
              </w:rPr>
              <w:t>U.S. Treasuries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44,930</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45,341</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U.S. Government agencies &amp; GSEs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260" w:type="dxa"/>
            <w:vAlign w:val="bottom"/>
          </w:tcPr>
          <w:p>
            <w:pPr>
              <w:ind w:left="140"/>
              <w:spacing w:after="0"/>
              <w:rPr>
                <w:sz w:val="20"/>
                <w:szCs w:val="20"/>
                <w:color w:val="auto"/>
              </w:rPr>
            </w:pPr>
            <w:r>
              <w:rPr>
                <w:rFonts w:ascii="Arial" w:cs="Arial" w:eastAsia="Arial" w:hAnsi="Arial"/>
                <w:sz w:val="16"/>
                <w:szCs w:val="16"/>
                <w:color w:val="auto"/>
              </w:rPr>
              <w:t>State and political subdivisions</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20,000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20,000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1,700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1,718</w:t>
            </w:r>
          </w:p>
        </w:tc>
      </w:tr>
      <w:tr>
        <w:trPr>
          <w:trHeight w:val="216"/>
        </w:trPr>
        <w:tc>
          <w:tcPr>
            <w:tcW w:w="4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Corporate bonds</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11,534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11,556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4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76,743</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77,178</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1,700</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1,718</w:t>
            </w: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1 to 5 years: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3"/>
        </w:trPr>
        <w:tc>
          <w:tcPr>
            <w:tcW w:w="4260" w:type="dxa"/>
            <w:vAlign w:val="bottom"/>
          </w:tcPr>
          <w:p>
            <w:pPr>
              <w:ind w:left="140"/>
              <w:spacing w:after="0"/>
              <w:rPr>
                <w:sz w:val="20"/>
                <w:szCs w:val="20"/>
                <w:color w:val="auto"/>
              </w:rPr>
            </w:pPr>
            <w:r>
              <w:rPr>
                <w:rFonts w:ascii="Arial" w:cs="Arial" w:eastAsia="Arial" w:hAnsi="Arial"/>
                <w:sz w:val="16"/>
                <w:szCs w:val="16"/>
                <w:color w:val="auto"/>
              </w:rPr>
              <w:t>U.S. Treasuries</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79,030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81,706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U.S. Government agencies &amp; GSEs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13,894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260" w:type="dxa"/>
            <w:vAlign w:val="bottom"/>
          </w:tcPr>
          <w:p>
            <w:pPr>
              <w:ind w:left="140"/>
              <w:spacing w:after="0"/>
              <w:rPr>
                <w:sz w:val="20"/>
                <w:szCs w:val="20"/>
                <w:color w:val="auto"/>
              </w:rPr>
            </w:pPr>
            <w:r>
              <w:rPr>
                <w:rFonts w:ascii="Arial" w:cs="Arial" w:eastAsia="Arial" w:hAnsi="Arial"/>
                <w:sz w:val="16"/>
                <w:szCs w:val="16"/>
                <w:color w:val="auto"/>
              </w:rPr>
              <w:t>State and political subdivisions</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43,350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45,580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14,501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15,763</w:t>
            </w:r>
          </w:p>
        </w:tc>
      </w:tr>
      <w:tr>
        <w:trPr>
          <w:trHeight w:val="216"/>
        </w:trPr>
        <w:tc>
          <w:tcPr>
            <w:tcW w:w="4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Corporate bonds</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71,166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71,855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4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207,381</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213,035</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14,501</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15,763</w:t>
            </w: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5 to 10 years: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3"/>
        </w:trPr>
        <w:tc>
          <w:tcPr>
            <w:tcW w:w="4260" w:type="dxa"/>
            <w:vAlign w:val="bottom"/>
          </w:tcPr>
          <w:p>
            <w:pPr>
              <w:ind w:left="140"/>
              <w:spacing w:after="0"/>
              <w:rPr>
                <w:sz w:val="20"/>
                <w:szCs w:val="20"/>
                <w:color w:val="auto"/>
              </w:rPr>
            </w:pPr>
            <w:r>
              <w:rPr>
                <w:rFonts w:ascii="Arial" w:cs="Arial" w:eastAsia="Arial" w:hAnsi="Arial"/>
                <w:sz w:val="16"/>
                <w:szCs w:val="16"/>
                <w:color w:val="auto"/>
              </w:rPr>
              <w:t>U.S. Treasuries</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14,924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15,033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19,788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20,055</w:t>
            </w:r>
          </w:p>
        </w:tc>
      </w:tr>
      <w:tr>
        <w:trPr>
          <w:trHeight w:val="219"/>
        </w:trPr>
        <w:tc>
          <w:tcPr>
            <w:tcW w:w="4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U.S. Government agencies &amp; GSEs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82,724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81,373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29,879</w:t>
            </w:r>
          </w:p>
        </w:tc>
      </w:tr>
      <w:tr>
        <w:trPr>
          <w:trHeight w:val="213"/>
        </w:trPr>
        <w:tc>
          <w:tcPr>
            <w:tcW w:w="4260" w:type="dxa"/>
            <w:vAlign w:val="bottom"/>
          </w:tcPr>
          <w:p>
            <w:pPr>
              <w:ind w:left="140"/>
              <w:spacing w:after="0"/>
              <w:rPr>
                <w:sz w:val="20"/>
                <w:szCs w:val="20"/>
                <w:color w:val="auto"/>
              </w:rPr>
            </w:pPr>
            <w:r>
              <w:rPr>
                <w:rFonts w:ascii="Arial" w:cs="Arial" w:eastAsia="Arial" w:hAnsi="Arial"/>
                <w:sz w:val="16"/>
                <w:szCs w:val="16"/>
                <w:color w:val="auto"/>
              </w:rPr>
              <w:t>State and political subdivisions</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86,931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91,420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31,126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32,227</w:t>
            </w:r>
          </w:p>
        </w:tc>
      </w:tr>
      <w:tr>
        <w:trPr>
          <w:trHeight w:val="219"/>
        </w:trPr>
        <w:tc>
          <w:tcPr>
            <w:tcW w:w="4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Corporate bonds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67,515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260" w:type="dxa"/>
            <w:vAlign w:val="bottom"/>
          </w:tcPr>
          <w:p>
            <w:pPr>
              <w:ind w:left="140"/>
              <w:spacing w:after="0"/>
              <w:rPr>
                <w:sz w:val="20"/>
                <w:szCs w:val="20"/>
                <w:color w:val="auto"/>
              </w:rPr>
            </w:pPr>
            <w:r>
              <w:rPr>
                <w:rFonts w:ascii="Arial" w:cs="Arial" w:eastAsia="Arial" w:hAnsi="Arial"/>
                <w:sz w:val="16"/>
                <w:szCs w:val="16"/>
                <w:color w:val="auto"/>
              </w:rPr>
              <w:t>Supranational entities</w:t>
            </w:r>
          </w:p>
        </w:tc>
        <w:tc>
          <w:tcPr>
            <w:tcW w:w="20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15,000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15,038</w:t>
            </w:r>
          </w:p>
        </w:tc>
      </w:tr>
      <w:tr>
        <w:trPr>
          <w:trHeight w:val="213"/>
        </w:trPr>
        <w:tc>
          <w:tcPr>
            <w:tcW w:w="4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251,835</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255,341</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95,518</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97,199</w:t>
            </w:r>
          </w:p>
        </w:tc>
      </w:tr>
      <w:tr>
        <w:trPr>
          <w:trHeight w:val="213"/>
        </w:trPr>
        <w:tc>
          <w:tcPr>
            <w:tcW w:w="4260" w:type="dxa"/>
            <w:vAlign w:val="bottom"/>
          </w:tcPr>
          <w:p>
            <w:pPr>
              <w:ind w:left="20"/>
              <w:spacing w:after="0"/>
              <w:rPr>
                <w:sz w:val="20"/>
                <w:szCs w:val="20"/>
                <w:color w:val="auto"/>
              </w:rPr>
            </w:pPr>
            <w:r>
              <w:rPr>
                <w:rFonts w:ascii="Arial" w:cs="Arial" w:eastAsia="Arial" w:hAnsi="Arial"/>
                <w:sz w:val="16"/>
                <w:szCs w:val="16"/>
                <w:b w:val="1"/>
                <w:bCs w:val="1"/>
                <w:color w:val="auto"/>
              </w:rPr>
              <w:t>More than 10 years:</w:t>
            </w: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9"/>
        </w:trPr>
        <w:tc>
          <w:tcPr>
            <w:tcW w:w="4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U.S. Government agencies &amp; GSEs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57,076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29,813</w:t>
            </w:r>
          </w:p>
        </w:tc>
      </w:tr>
      <w:tr>
        <w:trPr>
          <w:trHeight w:val="213"/>
        </w:trPr>
        <w:tc>
          <w:tcPr>
            <w:tcW w:w="4260" w:type="dxa"/>
            <w:vAlign w:val="bottom"/>
          </w:tcPr>
          <w:p>
            <w:pPr>
              <w:ind w:left="140"/>
              <w:spacing w:after="0"/>
              <w:rPr>
                <w:sz w:val="20"/>
                <w:szCs w:val="20"/>
                <w:color w:val="auto"/>
              </w:rPr>
            </w:pPr>
            <w:r>
              <w:rPr>
                <w:rFonts w:ascii="Arial" w:cs="Arial" w:eastAsia="Arial" w:hAnsi="Arial"/>
                <w:sz w:val="16"/>
                <w:szCs w:val="16"/>
                <w:color w:val="auto"/>
              </w:rPr>
              <w:t>State and political subdivisions</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123,152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132,346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201,441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203,053</w:t>
            </w:r>
          </w:p>
        </w:tc>
      </w:tr>
      <w:tr>
        <w:trPr>
          <w:trHeight w:val="216"/>
        </w:trPr>
        <w:tc>
          <w:tcPr>
            <w:tcW w:w="4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Corporate bonds</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4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180,695</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190,307</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231,546</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232,866</w:t>
            </w: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Debt securities not due at a single maturity date:</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3"/>
        </w:trPr>
        <w:tc>
          <w:tcPr>
            <w:tcW w:w="4260" w:type="dxa"/>
            <w:vAlign w:val="bottom"/>
          </w:tcPr>
          <w:p>
            <w:pPr>
              <w:ind w:left="20"/>
              <w:spacing w:after="0"/>
              <w:rPr>
                <w:sz w:val="20"/>
                <w:szCs w:val="20"/>
                <w:color w:val="auto"/>
              </w:rPr>
            </w:pPr>
            <w:r>
              <w:rPr>
                <w:rFonts w:ascii="Arial" w:cs="Arial" w:eastAsia="Arial" w:hAnsi="Arial"/>
                <w:sz w:val="16"/>
                <w:szCs w:val="16"/>
                <w:color w:val="auto"/>
              </w:rPr>
              <w:t>Asset-backed securities</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652,093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654,667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Residential MBS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1,963,797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1,977,045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223,571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226,198</w:t>
            </w:r>
          </w:p>
        </w:tc>
      </w:tr>
      <w:tr>
        <w:trPr>
          <w:trHeight w:val="213"/>
        </w:trPr>
        <w:tc>
          <w:tcPr>
            <w:tcW w:w="4260" w:type="dxa"/>
            <w:vAlign w:val="bottom"/>
          </w:tcPr>
          <w:p>
            <w:pPr>
              <w:ind w:left="20"/>
              <w:spacing w:after="0"/>
              <w:rPr>
                <w:sz w:val="20"/>
                <w:szCs w:val="20"/>
                <w:color w:val="auto"/>
              </w:rPr>
            </w:pPr>
            <w:r>
              <w:rPr>
                <w:rFonts w:ascii="Arial" w:cs="Arial" w:eastAsia="Arial" w:hAnsi="Arial"/>
                <w:sz w:val="16"/>
                <w:szCs w:val="16"/>
                <w:color w:val="auto"/>
              </w:rPr>
              <w:t>Commercial MBS</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710,636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708,208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285,568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287,744</w:t>
            </w:r>
          </w:p>
        </w:tc>
      </w:tr>
      <w:tr>
        <w:trPr>
          <w:trHeight w:val="219"/>
        </w:trPr>
        <w:tc>
          <w:tcPr>
            <w:tcW w:w="42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r>
      <w:tr>
        <w:trPr>
          <w:trHeight w:val="210"/>
        </w:trPr>
        <w:tc>
          <w:tcPr>
            <w:tcW w:w="426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4,043,180</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4,075,781</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852,404</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861,488</w:t>
            </w:r>
          </w:p>
        </w:tc>
      </w:tr>
      <w:tr>
        <w:trPr>
          <w:trHeight w:val="20"/>
        </w:trPr>
        <w:tc>
          <w:tcPr>
            <w:tcW w:w="4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 xml:space="preserve">Realized gains and losses are derived using the specific identification method for determining the cost of securities sold. The following table summarizes AFS securities sales activity for the three and six months ended June 30, 2021 and 2020 </w:t>
      </w:r>
      <w:r>
        <w:rPr>
          <w:rFonts w:ascii="Arial" w:cs="Arial" w:eastAsia="Arial" w:hAnsi="Arial"/>
          <w:sz w:val="18"/>
          <w:szCs w:val="18"/>
          <w:i w:val="1"/>
          <w:iCs w:val="1"/>
          <w:color w:val="auto"/>
        </w:rPr>
        <w:t>(in thousands).</w:t>
      </w:r>
    </w:p>
    <w:tbl>
      <w:tblPr>
        <w:tblLayout w:type="fixed"/>
        <w:tblInd w:w="0" w:type="dxa"/>
        <w:tblCellMar>
          <w:top w:w="0" w:type="dxa"/>
          <w:left w:w="0" w:type="dxa"/>
          <w:bottom w:w="0" w:type="dxa"/>
          <w:right w:w="0" w:type="dxa"/>
        </w:tblCellMar>
      </w:tblPr>
      <w:tr>
        <w:trPr>
          <w:trHeight w:val="163"/>
        </w:trPr>
        <w:tc>
          <w:tcPr>
            <w:tcW w:w="5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80" w:type="dxa"/>
            <w:vAlign w:val="bottom"/>
            <w:gridSpan w:val="3"/>
          </w:tcPr>
          <w:p>
            <w:pPr>
              <w:jc w:val="right"/>
              <w:ind w:right="139"/>
              <w:spacing w:after="0" w:line="163" w:lineRule="exact"/>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40" w:type="dxa"/>
            <w:vAlign w:val="bottom"/>
            <w:gridSpan w:val="4"/>
          </w:tcPr>
          <w:p>
            <w:pPr>
              <w:jc w:val="right"/>
              <w:ind w:right="599"/>
              <w:spacing w:after="0" w:line="163" w:lineRule="exact"/>
              <w:rPr>
                <w:sz w:val="20"/>
                <w:szCs w:val="20"/>
                <w:color w:val="auto"/>
              </w:rPr>
            </w:pPr>
            <w:r>
              <w:rPr>
                <w:rFonts w:ascii="Arial" w:cs="Arial" w:eastAsia="Arial" w:hAnsi="Arial"/>
                <w:sz w:val="16"/>
                <w:szCs w:val="16"/>
                <w:b w:val="1"/>
                <w:bCs w:val="1"/>
                <w:color w:val="auto"/>
              </w:rPr>
              <w:t>Six Months Ended</w:t>
            </w:r>
          </w:p>
        </w:tc>
      </w:tr>
      <w:tr>
        <w:trPr>
          <w:trHeight w:val="213"/>
        </w:trPr>
        <w:tc>
          <w:tcPr>
            <w:tcW w:w="58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6"/>
                <w:szCs w:val="16"/>
                <w:b w:val="1"/>
                <w:bCs w:val="1"/>
                <w:color w:val="auto"/>
              </w:rPr>
              <w:t>June 30,</w:t>
            </w:r>
          </w:p>
        </w:tc>
        <w:tc>
          <w:tcPr>
            <w:tcW w:w="3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900" w:type="dxa"/>
            <w:vAlign w:val="bottom"/>
            <w:tcBorders>
              <w:bottom w:val="single" w:sz="8" w:color="auto"/>
            </w:tcBorders>
          </w:tcPr>
          <w:p>
            <w:pPr>
              <w:spacing w:after="0"/>
              <w:rPr>
                <w:sz w:val="18"/>
                <w:szCs w:val="18"/>
                <w:color w:val="auto"/>
              </w:rPr>
            </w:pPr>
          </w:p>
        </w:tc>
      </w:tr>
      <w:tr>
        <w:trPr>
          <w:trHeight w:val="209"/>
        </w:trPr>
        <w:tc>
          <w:tcPr>
            <w:tcW w:w="58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2020</w:t>
            </w:r>
          </w:p>
        </w:tc>
        <w:tc>
          <w:tcPr>
            <w:tcW w:w="3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2020</w:t>
            </w:r>
          </w:p>
        </w:tc>
      </w:tr>
      <w:tr>
        <w:trPr>
          <w:trHeight w:val="232"/>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sales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78,111</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78,111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5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16"/>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realized gains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Gross realized losses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5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Securities gains, net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5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36"/>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 attributable to sales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Loans and Leases and Allowance for Credit Losses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Major classifications of the loan and lease portfolio (collectively referred to as the “loan portfolio” or “loans”) are summarized as of the dates indicated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5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 2021</w:t>
            </w:r>
          </w:p>
        </w:tc>
        <w:tc>
          <w:tcPr>
            <w:tcW w:w="160" w:type="dxa"/>
            <w:vAlign w:val="bottom"/>
          </w:tcPr>
          <w:p>
            <w:pPr>
              <w:spacing w:after="0"/>
              <w:rPr>
                <w:sz w:val="18"/>
                <w:szCs w:val="18"/>
                <w:color w:val="auto"/>
              </w:rPr>
            </w:pPr>
          </w:p>
        </w:tc>
        <w:tc>
          <w:tcPr>
            <w:tcW w:w="328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31, 2020</w:t>
            </w:r>
          </w:p>
        </w:tc>
      </w:tr>
      <w:tr>
        <w:trPr>
          <w:trHeight w:val="213"/>
        </w:trPr>
        <w:tc>
          <w:tcPr>
            <w:tcW w:w="5880" w:type="dxa"/>
            <w:vAlign w:val="bottom"/>
            <w:tcBorders>
              <w:top w:val="single" w:sz="8" w:color="CCEEFF"/>
            </w:tcBorders>
            <w:shd w:val="clear" w:color="auto" w:fill="CCEEFF"/>
          </w:tcPr>
          <w:p>
            <w:pPr>
              <w:ind w:left="1660"/>
              <w:spacing w:after="0"/>
              <w:rPr>
                <w:sz w:val="20"/>
                <w:szCs w:val="20"/>
                <w:color w:val="auto"/>
              </w:rPr>
            </w:pPr>
            <w:r>
              <w:rPr>
                <w:rFonts w:ascii="Arial" w:cs="Arial" w:eastAsia="Arial" w:hAnsi="Arial"/>
                <w:sz w:val="16"/>
                <w:szCs w:val="16"/>
                <w:color w:val="auto"/>
              </w:rPr>
              <w:t>Owner occupied commercial real estate</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2,149,371</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2,090,443</w:t>
            </w:r>
          </w:p>
        </w:tc>
        <w:tc>
          <w:tcPr>
            <w:tcW w:w="1680" w:type="dxa"/>
            <w:vAlign w:val="bottom"/>
            <w:tcBorders>
              <w:top w:val="single" w:sz="8" w:color="CCEEFF"/>
            </w:tcBorders>
            <w:shd w:val="clear" w:color="auto" w:fill="CCEEFF"/>
          </w:tcPr>
          <w:p>
            <w:pPr>
              <w:spacing w:after="0"/>
              <w:rPr>
                <w:sz w:val="18"/>
                <w:szCs w:val="18"/>
                <w:color w:val="auto"/>
              </w:rPr>
            </w:pPr>
          </w:p>
        </w:tc>
      </w:tr>
      <w:tr>
        <w:trPr>
          <w:trHeight w:val="213"/>
        </w:trPr>
        <w:tc>
          <w:tcPr>
            <w:tcW w:w="5880" w:type="dxa"/>
            <w:vAlign w:val="bottom"/>
          </w:tcPr>
          <w:p>
            <w:pPr>
              <w:ind w:left="1660"/>
              <w:spacing w:after="0"/>
              <w:rPr>
                <w:sz w:val="20"/>
                <w:szCs w:val="20"/>
                <w:color w:val="auto"/>
              </w:rPr>
            </w:pPr>
            <w:r>
              <w:rPr>
                <w:rFonts w:ascii="Arial" w:cs="Arial" w:eastAsia="Arial" w:hAnsi="Arial"/>
                <w:sz w:val="16"/>
                <w:szCs w:val="16"/>
                <w:color w:val="auto"/>
              </w:rPr>
              <w:t>Income producing commercial real estate</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2,550,243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2,540,750</w:t>
            </w:r>
          </w:p>
        </w:tc>
        <w:tc>
          <w:tcPr>
            <w:tcW w:w="1680" w:type="dxa"/>
            <w:vAlign w:val="bottom"/>
          </w:tcPr>
          <w:p>
            <w:pPr>
              <w:spacing w:after="0"/>
              <w:rPr>
                <w:sz w:val="18"/>
                <w:szCs w:val="18"/>
                <w:color w:val="auto"/>
              </w:rPr>
            </w:pPr>
          </w:p>
        </w:tc>
      </w:tr>
      <w:tr>
        <w:trPr>
          <w:trHeight w:val="219"/>
        </w:trPr>
        <w:tc>
          <w:tcPr>
            <w:tcW w:w="5880" w:type="dxa"/>
            <w:vAlign w:val="bottom"/>
            <w:shd w:val="clear" w:color="auto" w:fill="CCEEFF"/>
          </w:tcPr>
          <w:p>
            <w:pPr>
              <w:ind w:left="1660"/>
              <w:spacing w:after="0" w:line="219" w:lineRule="exact"/>
              <w:rPr>
                <w:sz w:val="20"/>
                <w:szCs w:val="20"/>
                <w:color w:val="auto"/>
              </w:rPr>
            </w:pPr>
            <w:r>
              <w:rPr>
                <w:rFonts w:ascii="Arial" w:cs="Arial" w:eastAsia="Arial" w:hAnsi="Arial"/>
                <w:sz w:val="16"/>
                <w:szCs w:val="16"/>
                <w:color w:val="auto"/>
              </w:rPr>
              <w:t xml:space="preserve">Commercial &amp; industrial </w:t>
            </w:r>
            <w:r>
              <w:rPr>
                <w:rFonts w:ascii="Arial" w:cs="Arial" w:eastAsia="Arial" w:hAnsi="Arial"/>
                <w:sz w:val="21"/>
                <w:szCs w:val="21"/>
                <w:color w:val="auto"/>
                <w:vertAlign w:val="superscript"/>
              </w:rPr>
              <w:t>(1)</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2,234,646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2,498,560</w:t>
            </w:r>
          </w:p>
        </w:tc>
        <w:tc>
          <w:tcPr>
            <w:tcW w:w="1680" w:type="dxa"/>
            <w:vAlign w:val="bottom"/>
            <w:shd w:val="clear" w:color="auto" w:fill="CCEEFF"/>
          </w:tcPr>
          <w:p>
            <w:pPr>
              <w:spacing w:after="0"/>
              <w:rPr>
                <w:sz w:val="19"/>
                <w:szCs w:val="19"/>
                <w:color w:val="auto"/>
              </w:rPr>
            </w:pPr>
          </w:p>
        </w:tc>
      </w:tr>
      <w:tr>
        <w:trPr>
          <w:trHeight w:val="213"/>
        </w:trPr>
        <w:tc>
          <w:tcPr>
            <w:tcW w:w="5880" w:type="dxa"/>
            <w:vAlign w:val="bottom"/>
          </w:tcPr>
          <w:p>
            <w:pPr>
              <w:ind w:left="1660"/>
              <w:spacing w:after="0"/>
              <w:rPr>
                <w:sz w:val="20"/>
                <w:szCs w:val="20"/>
                <w:color w:val="auto"/>
              </w:rPr>
            </w:pPr>
            <w:r>
              <w:rPr>
                <w:rFonts w:ascii="Arial" w:cs="Arial" w:eastAsia="Arial" w:hAnsi="Arial"/>
                <w:sz w:val="16"/>
                <w:szCs w:val="16"/>
                <w:color w:val="auto"/>
              </w:rPr>
              <w:t>Commercial construction</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926,809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967,305</w:t>
            </w:r>
          </w:p>
        </w:tc>
        <w:tc>
          <w:tcPr>
            <w:tcW w:w="1680" w:type="dxa"/>
            <w:vAlign w:val="bottom"/>
          </w:tcPr>
          <w:p>
            <w:pPr>
              <w:spacing w:after="0"/>
              <w:rPr>
                <w:sz w:val="18"/>
                <w:szCs w:val="18"/>
                <w:color w:val="auto"/>
              </w:rPr>
            </w:pPr>
          </w:p>
        </w:tc>
      </w:tr>
      <w:tr>
        <w:trPr>
          <w:trHeight w:val="219"/>
        </w:trPr>
        <w:tc>
          <w:tcPr>
            <w:tcW w:w="5880" w:type="dxa"/>
            <w:vAlign w:val="bottom"/>
            <w:shd w:val="clear" w:color="auto" w:fill="CCEEFF"/>
          </w:tcPr>
          <w:p>
            <w:pPr>
              <w:ind w:left="1660"/>
              <w:spacing w:after="0"/>
              <w:rPr>
                <w:sz w:val="20"/>
                <w:szCs w:val="20"/>
                <w:color w:val="auto"/>
              </w:rPr>
            </w:pPr>
            <w:r>
              <w:rPr>
                <w:rFonts w:ascii="Arial" w:cs="Arial" w:eastAsia="Arial" w:hAnsi="Arial"/>
                <w:sz w:val="16"/>
                <w:szCs w:val="16"/>
                <w:color w:val="auto"/>
              </w:rPr>
              <w:t>Equipment financing</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968,805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863,830</w:t>
            </w:r>
          </w:p>
        </w:tc>
        <w:tc>
          <w:tcPr>
            <w:tcW w:w="1680" w:type="dxa"/>
            <w:vAlign w:val="bottom"/>
            <w:shd w:val="clear" w:color="auto" w:fill="CCEEFF"/>
          </w:tcPr>
          <w:p>
            <w:pPr>
              <w:spacing w:after="0"/>
              <w:rPr>
                <w:sz w:val="19"/>
                <w:szCs w:val="19"/>
                <w:color w:val="auto"/>
              </w:rPr>
            </w:pPr>
          </w:p>
        </w:tc>
      </w:tr>
      <w:tr>
        <w:trPr>
          <w:trHeight w:val="207"/>
        </w:trPr>
        <w:tc>
          <w:tcPr>
            <w:tcW w:w="5880" w:type="dxa"/>
            <w:vAlign w:val="bottom"/>
          </w:tcPr>
          <w:p>
            <w:pPr>
              <w:ind w:left="1860"/>
              <w:spacing w:after="0"/>
              <w:rPr>
                <w:sz w:val="20"/>
                <w:szCs w:val="20"/>
                <w:color w:val="auto"/>
              </w:rPr>
            </w:pPr>
            <w:r>
              <w:rPr>
                <w:rFonts w:ascii="Arial" w:cs="Arial" w:eastAsia="Arial" w:hAnsi="Arial"/>
                <w:sz w:val="16"/>
                <w:szCs w:val="16"/>
                <w:color w:val="auto"/>
              </w:rPr>
              <w:t>Total commercial</w:t>
            </w: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8,829,874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8,960,888</w:t>
            </w:r>
          </w:p>
        </w:tc>
        <w:tc>
          <w:tcPr>
            <w:tcW w:w="1680" w:type="dxa"/>
            <w:vAlign w:val="bottom"/>
          </w:tcPr>
          <w:p>
            <w:pPr>
              <w:spacing w:after="0"/>
              <w:rPr>
                <w:sz w:val="17"/>
                <w:szCs w:val="17"/>
                <w:color w:val="auto"/>
              </w:rPr>
            </w:pPr>
          </w:p>
        </w:tc>
      </w:tr>
      <w:tr>
        <w:trPr>
          <w:trHeight w:val="219"/>
        </w:trPr>
        <w:tc>
          <w:tcPr>
            <w:tcW w:w="5880" w:type="dxa"/>
            <w:vAlign w:val="bottom"/>
            <w:shd w:val="clear" w:color="auto" w:fill="CCEEFF"/>
          </w:tcPr>
          <w:p>
            <w:pPr>
              <w:ind w:left="1660"/>
              <w:spacing w:after="0"/>
              <w:rPr>
                <w:sz w:val="20"/>
                <w:szCs w:val="20"/>
                <w:color w:val="auto"/>
              </w:rPr>
            </w:pPr>
            <w:r>
              <w:rPr>
                <w:rFonts w:ascii="Arial" w:cs="Arial" w:eastAsia="Arial" w:hAnsi="Arial"/>
                <w:sz w:val="16"/>
                <w:szCs w:val="16"/>
                <w:color w:val="auto"/>
              </w:rPr>
              <w:t>Residential mortgage</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1,472,608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1,284,920</w:t>
            </w:r>
          </w:p>
        </w:tc>
        <w:tc>
          <w:tcPr>
            <w:tcW w:w="1680" w:type="dxa"/>
            <w:vAlign w:val="bottom"/>
            <w:shd w:val="clear" w:color="auto" w:fill="CCEEFF"/>
          </w:tcPr>
          <w:p>
            <w:pPr>
              <w:spacing w:after="0"/>
              <w:rPr>
                <w:sz w:val="19"/>
                <w:szCs w:val="19"/>
                <w:color w:val="auto"/>
              </w:rPr>
            </w:pPr>
          </w:p>
        </w:tc>
      </w:tr>
      <w:tr>
        <w:trPr>
          <w:trHeight w:val="213"/>
        </w:trPr>
        <w:tc>
          <w:tcPr>
            <w:tcW w:w="5880" w:type="dxa"/>
            <w:vAlign w:val="bottom"/>
          </w:tcPr>
          <w:p>
            <w:pPr>
              <w:ind w:left="1660"/>
              <w:spacing w:after="0"/>
              <w:rPr>
                <w:sz w:val="20"/>
                <w:szCs w:val="20"/>
                <w:color w:val="auto"/>
              </w:rPr>
            </w:pPr>
            <w:r>
              <w:rPr>
                <w:rFonts w:ascii="Arial" w:cs="Arial" w:eastAsia="Arial" w:hAnsi="Arial"/>
                <w:sz w:val="16"/>
                <w:szCs w:val="16"/>
                <w:color w:val="auto"/>
              </w:rPr>
              <w:t>HELOC</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660,881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697,117</w:t>
            </w:r>
          </w:p>
        </w:tc>
        <w:tc>
          <w:tcPr>
            <w:tcW w:w="1680" w:type="dxa"/>
            <w:vAlign w:val="bottom"/>
          </w:tcPr>
          <w:p>
            <w:pPr>
              <w:spacing w:after="0"/>
              <w:rPr>
                <w:sz w:val="18"/>
                <w:szCs w:val="18"/>
                <w:color w:val="auto"/>
              </w:rPr>
            </w:pPr>
          </w:p>
        </w:tc>
      </w:tr>
      <w:tr>
        <w:trPr>
          <w:trHeight w:val="219"/>
        </w:trPr>
        <w:tc>
          <w:tcPr>
            <w:tcW w:w="5880" w:type="dxa"/>
            <w:vAlign w:val="bottom"/>
            <w:shd w:val="clear" w:color="auto" w:fill="CCEEFF"/>
          </w:tcPr>
          <w:p>
            <w:pPr>
              <w:ind w:left="1660"/>
              <w:spacing w:after="0"/>
              <w:rPr>
                <w:sz w:val="20"/>
                <w:szCs w:val="20"/>
                <w:color w:val="auto"/>
              </w:rPr>
            </w:pPr>
            <w:r>
              <w:rPr>
                <w:rFonts w:ascii="Arial" w:cs="Arial" w:eastAsia="Arial" w:hAnsi="Arial"/>
                <w:sz w:val="16"/>
                <w:szCs w:val="16"/>
                <w:color w:val="auto"/>
              </w:rPr>
              <w:t>Residential construction</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288,708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281,430</w:t>
            </w:r>
          </w:p>
        </w:tc>
        <w:tc>
          <w:tcPr>
            <w:tcW w:w="1680" w:type="dxa"/>
            <w:vAlign w:val="bottom"/>
            <w:shd w:val="clear" w:color="auto" w:fill="CCEEFF"/>
          </w:tcPr>
          <w:p>
            <w:pPr>
              <w:spacing w:after="0"/>
              <w:rPr>
                <w:sz w:val="19"/>
                <w:szCs w:val="19"/>
                <w:color w:val="auto"/>
              </w:rPr>
            </w:pPr>
          </w:p>
        </w:tc>
      </w:tr>
      <w:tr>
        <w:trPr>
          <w:trHeight w:val="213"/>
        </w:trPr>
        <w:tc>
          <w:tcPr>
            <w:tcW w:w="5880" w:type="dxa"/>
            <w:vAlign w:val="bottom"/>
            <w:tcBorders>
              <w:bottom w:val="single" w:sz="8" w:color="CCEEFF"/>
            </w:tcBorders>
          </w:tcPr>
          <w:p>
            <w:pPr>
              <w:ind w:left="1660"/>
              <w:spacing w:after="0"/>
              <w:rPr>
                <w:sz w:val="20"/>
                <w:szCs w:val="20"/>
                <w:color w:val="auto"/>
              </w:rPr>
            </w:pPr>
            <w:r>
              <w:rPr>
                <w:rFonts w:ascii="Arial" w:cs="Arial" w:eastAsia="Arial" w:hAnsi="Arial"/>
                <w:sz w:val="16"/>
                <w:szCs w:val="16"/>
                <w:color w:val="auto"/>
              </w:rPr>
              <w:t>Consumer</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138,675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146,460</w:t>
            </w:r>
          </w:p>
        </w:tc>
        <w:tc>
          <w:tcPr>
            <w:tcW w:w="1680" w:type="dxa"/>
            <w:vAlign w:val="bottom"/>
            <w:tcBorders>
              <w:bottom w:val="single" w:sz="8" w:color="CCEEFF"/>
            </w:tcBorders>
          </w:tcPr>
          <w:p>
            <w:pPr>
              <w:spacing w:after="0"/>
              <w:rPr>
                <w:sz w:val="18"/>
                <w:szCs w:val="18"/>
                <w:color w:val="auto"/>
              </w:rPr>
            </w:pPr>
          </w:p>
        </w:tc>
      </w:tr>
      <w:tr>
        <w:trPr>
          <w:trHeight w:val="213"/>
        </w:trPr>
        <w:tc>
          <w:tcPr>
            <w:tcW w:w="5880" w:type="dxa"/>
            <w:vAlign w:val="bottom"/>
            <w:shd w:val="clear" w:color="auto" w:fill="CCEEFF"/>
          </w:tcPr>
          <w:p>
            <w:pPr>
              <w:ind w:left="1860"/>
              <w:spacing w:after="0"/>
              <w:rPr>
                <w:sz w:val="20"/>
                <w:szCs w:val="20"/>
                <w:color w:val="auto"/>
              </w:rPr>
            </w:pPr>
            <w:r>
              <w:rPr>
                <w:rFonts w:ascii="Arial" w:cs="Arial" w:eastAsia="Arial" w:hAnsi="Arial"/>
                <w:sz w:val="16"/>
                <w:szCs w:val="16"/>
                <w:color w:val="auto"/>
              </w:rPr>
              <w:t>Total loans</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11,390,746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11,370,815</w:t>
            </w:r>
          </w:p>
        </w:tc>
        <w:tc>
          <w:tcPr>
            <w:tcW w:w="1680" w:type="dxa"/>
            <w:vAlign w:val="bottom"/>
            <w:shd w:val="clear" w:color="auto" w:fill="CCEEFF"/>
          </w:tcPr>
          <w:p>
            <w:pPr>
              <w:spacing w:after="0"/>
              <w:rPr>
                <w:sz w:val="18"/>
                <w:szCs w:val="18"/>
                <w:color w:val="auto"/>
              </w:rPr>
            </w:pPr>
          </w:p>
        </w:tc>
      </w:tr>
      <w:tr>
        <w:trPr>
          <w:trHeight w:val="213"/>
        </w:trPr>
        <w:tc>
          <w:tcPr>
            <w:tcW w:w="5880" w:type="dxa"/>
            <w:vAlign w:val="bottom"/>
            <w:tcBorders>
              <w:bottom w:val="single" w:sz="8" w:color="CCEEFF"/>
            </w:tcBorders>
          </w:tcPr>
          <w:p>
            <w:pPr>
              <w:ind w:left="1660"/>
              <w:spacing w:after="0"/>
              <w:rPr>
                <w:sz w:val="20"/>
                <w:szCs w:val="20"/>
                <w:color w:val="auto"/>
              </w:rPr>
            </w:pPr>
            <w:r>
              <w:rPr>
                <w:rFonts w:ascii="Arial" w:cs="Arial" w:eastAsia="Arial" w:hAnsi="Arial"/>
                <w:sz w:val="16"/>
                <w:szCs w:val="16"/>
                <w:color w:val="auto"/>
              </w:rPr>
              <w:t>Less allowance for credit losses - loans</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(111,616)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(137,010)</w:t>
            </w:r>
          </w:p>
        </w:tc>
        <w:tc>
          <w:tcPr>
            <w:tcW w:w="1680" w:type="dxa"/>
            <w:vAlign w:val="bottom"/>
            <w:tcBorders>
              <w:bottom w:val="single" w:sz="8" w:color="CCEEFF"/>
            </w:tcBorders>
          </w:tcPr>
          <w:p>
            <w:pPr>
              <w:spacing w:after="0"/>
              <w:rPr>
                <w:sz w:val="18"/>
                <w:szCs w:val="18"/>
                <w:color w:val="auto"/>
              </w:rPr>
            </w:pPr>
          </w:p>
        </w:tc>
      </w:tr>
      <w:tr>
        <w:trPr>
          <w:trHeight w:val="238"/>
        </w:trPr>
        <w:tc>
          <w:tcPr>
            <w:tcW w:w="5880" w:type="dxa"/>
            <w:vAlign w:val="bottom"/>
            <w:tcBorders>
              <w:bottom w:val="single" w:sz="8" w:color="CCEEFF"/>
            </w:tcBorders>
            <w:shd w:val="clear" w:color="auto" w:fill="CCEEFF"/>
          </w:tcPr>
          <w:p>
            <w:pPr>
              <w:ind w:left="1860"/>
              <w:spacing w:after="0"/>
              <w:rPr>
                <w:sz w:val="20"/>
                <w:szCs w:val="20"/>
                <w:color w:val="auto"/>
              </w:rPr>
            </w:pPr>
            <w:r>
              <w:rPr>
                <w:rFonts w:ascii="Arial" w:cs="Arial" w:eastAsia="Arial" w:hAnsi="Arial"/>
                <w:sz w:val="16"/>
                <w:szCs w:val="16"/>
                <w:color w:val="auto"/>
              </w:rPr>
              <w:t>Loans, net</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11,279,130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11,233,805</w:t>
            </w:r>
          </w:p>
        </w:tc>
        <w:tc>
          <w:tcPr>
            <w:tcW w:w="1680" w:type="dxa"/>
            <w:vAlign w:val="bottom"/>
            <w:tcBorders>
              <w:bottom w:val="single" w:sz="8" w:color="CCEEFF"/>
            </w:tcBorders>
            <w:shd w:val="clear" w:color="auto" w:fill="CCEEFF"/>
          </w:tcPr>
          <w:p>
            <w:pPr>
              <w:spacing w:after="0"/>
              <w:rPr>
                <w:sz w:val="20"/>
                <w:szCs w:val="20"/>
                <w:color w:val="auto"/>
              </w:rPr>
            </w:pP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r>
    </w:tbl>
    <w:p>
      <w:pPr>
        <w:spacing w:after="0" w:line="71" w:lineRule="exact"/>
        <w:rPr>
          <w:sz w:val="20"/>
          <w:szCs w:val="20"/>
          <w:color w:val="auto"/>
        </w:rPr>
      </w:pPr>
    </w:p>
    <w:p>
      <w:pPr>
        <w:ind w:left="160" w:hanging="152"/>
        <w:spacing w:after="0"/>
        <w:tabs>
          <w:tab w:leader="none" w:pos="16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Commercial and industrial loans as of June 30, 2021 and December 31, 2020 included $472 million and $646 million of PPP loans, respectively.</w:t>
      </w:r>
    </w:p>
    <w:p>
      <w:pPr>
        <w:spacing w:after="0" w:line="2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Accrued interest receivable related to loans totaled $29.7 million and $35.5 million at June 30, 2021 and December 31, 2020, respectively, and was reported in accrued interest receivable on the consolidated balance sheets.</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June 30, 2021 and December 31, 2020, the loan portfolio was subject to blanket pledges on certain qualifying loan types with the FHLB and FRB to secure contingent funding sources.</w:t>
      </w:r>
    </w:p>
    <w:p>
      <w:pPr>
        <w:spacing w:after="0" w:line="197"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 xml:space="preserve">The following table presents loans held for investment that were sold in the periods indicated </w:t>
      </w:r>
      <w:r>
        <w:rPr>
          <w:rFonts w:ascii="Arial" w:cs="Arial" w:eastAsia="Arial" w:hAnsi="Arial"/>
          <w:sz w:val="18"/>
          <w:szCs w:val="18"/>
          <w:i w:val="1"/>
          <w:iCs w:val="1"/>
          <w:color w:val="auto"/>
        </w:rPr>
        <w:t>(in thousands).</w:t>
      </w:r>
      <w:r>
        <w:rPr>
          <w:rFonts w:ascii="Arial" w:cs="Arial" w:eastAsia="Arial" w:hAnsi="Arial"/>
          <w:sz w:val="18"/>
          <w:szCs w:val="18"/>
          <w:color w:val="auto"/>
        </w:rPr>
        <w:t xml:space="preserve"> The gains and losses on these loan sales were included in noninterest income on the consolidated statements of income.</w:t>
      </w:r>
    </w:p>
    <w:tbl>
      <w:tblPr>
        <w:tblLayout w:type="fixed"/>
        <w:tblInd w:w="0" w:type="dxa"/>
        <w:tblCellMar>
          <w:top w:w="0" w:type="dxa"/>
          <w:left w:w="0" w:type="dxa"/>
          <w:bottom w:w="0" w:type="dxa"/>
          <w:right w:w="0" w:type="dxa"/>
        </w:tblCellMar>
      </w:tblPr>
      <w:tr>
        <w:trPr>
          <w:trHeight w:val="213"/>
        </w:trPr>
        <w:tc>
          <w:tcPr>
            <w:tcW w:w="4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 June 30,</w:t>
            </w:r>
          </w:p>
        </w:tc>
        <w:tc>
          <w:tcPr>
            <w:tcW w:w="220" w:type="dxa"/>
            <w:vAlign w:val="bottom"/>
          </w:tcPr>
          <w:p>
            <w:pPr>
              <w:spacing w:after="0"/>
              <w:rPr>
                <w:sz w:val="18"/>
                <w:szCs w:val="18"/>
                <w:color w:val="auto"/>
              </w:rPr>
            </w:pPr>
          </w:p>
        </w:tc>
        <w:tc>
          <w:tcPr>
            <w:tcW w:w="3620" w:type="dxa"/>
            <w:vAlign w:val="bottom"/>
            <w:gridSpan w:val="5"/>
          </w:tcPr>
          <w:p>
            <w:pPr>
              <w:ind w:left="120"/>
              <w:spacing w:after="0"/>
              <w:rPr>
                <w:sz w:val="20"/>
                <w:szCs w:val="20"/>
                <w:color w:val="auto"/>
              </w:rPr>
            </w:pPr>
            <w:r>
              <w:rPr>
                <w:rFonts w:ascii="Arial" w:cs="Arial" w:eastAsia="Arial" w:hAnsi="Arial"/>
                <w:sz w:val="16"/>
                <w:szCs w:val="16"/>
                <w:b w:val="1"/>
                <w:bCs w:val="1"/>
                <w:color w:val="auto"/>
              </w:rPr>
              <w:t>Six Months Ended June 30,</w:t>
            </w:r>
          </w:p>
        </w:tc>
      </w:tr>
      <w:tr>
        <w:trPr>
          <w:trHeight w:val="210"/>
        </w:trPr>
        <w:tc>
          <w:tcPr>
            <w:tcW w:w="45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1240" w:type="dxa"/>
            <w:vAlign w:val="bottom"/>
            <w:tcBorders>
              <w:bottom w:val="single" w:sz="8" w:color="CCEEFF"/>
            </w:tcBorders>
          </w:tcPr>
          <w:p>
            <w:pPr>
              <w:spacing w:after="0"/>
              <w:rPr>
                <w:sz w:val="18"/>
                <w:szCs w:val="18"/>
                <w:color w:val="auto"/>
              </w:rPr>
            </w:pPr>
          </w:p>
        </w:tc>
      </w:tr>
      <w:tr>
        <w:trPr>
          <w:trHeight w:val="212"/>
        </w:trPr>
        <w:tc>
          <w:tcPr>
            <w:tcW w:w="4540" w:type="dxa"/>
            <w:vAlign w:val="bottom"/>
            <w:shd w:val="clear" w:color="auto" w:fill="CCEEFF"/>
          </w:tcPr>
          <w:p>
            <w:pPr>
              <w:ind w:left="1240"/>
              <w:spacing w:after="0"/>
              <w:rPr>
                <w:sz w:val="20"/>
                <w:szCs w:val="20"/>
                <w:color w:val="auto"/>
              </w:rPr>
            </w:pPr>
            <w:r>
              <w:rPr>
                <w:rFonts w:ascii="Arial" w:cs="Arial" w:eastAsia="Arial" w:hAnsi="Arial"/>
                <w:sz w:val="16"/>
                <w:szCs w:val="16"/>
                <w:color w:val="auto"/>
              </w:rPr>
              <w:t>Guaranteed portion of SBA/USDA loans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32,303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14,035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43,648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18,069</w:t>
            </w:r>
          </w:p>
        </w:tc>
        <w:tc>
          <w:tcPr>
            <w:tcW w:w="1240" w:type="dxa"/>
            <w:vAlign w:val="bottom"/>
            <w:shd w:val="clear" w:color="auto" w:fill="CCEEFF"/>
          </w:tcPr>
          <w:p>
            <w:pPr>
              <w:spacing w:after="0"/>
              <w:rPr>
                <w:sz w:val="18"/>
                <w:szCs w:val="18"/>
                <w:color w:val="auto"/>
              </w:rPr>
            </w:pPr>
          </w:p>
        </w:tc>
      </w:tr>
      <w:tr>
        <w:trPr>
          <w:trHeight w:val="213"/>
        </w:trPr>
        <w:tc>
          <w:tcPr>
            <w:tcW w:w="4540" w:type="dxa"/>
            <w:vAlign w:val="bottom"/>
            <w:tcBorders>
              <w:bottom w:val="single" w:sz="8" w:color="CCEEFF"/>
            </w:tcBorders>
          </w:tcPr>
          <w:p>
            <w:pPr>
              <w:ind w:left="1240"/>
              <w:spacing w:after="0"/>
              <w:rPr>
                <w:sz w:val="20"/>
                <w:szCs w:val="20"/>
                <w:color w:val="auto"/>
              </w:rPr>
            </w:pPr>
            <w:r>
              <w:rPr>
                <w:rFonts w:ascii="Arial" w:cs="Arial" w:eastAsia="Arial" w:hAnsi="Arial"/>
                <w:sz w:val="16"/>
                <w:szCs w:val="16"/>
                <w:color w:val="auto"/>
              </w:rPr>
              <w:t>Equipment financing receivables</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18,908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19,967</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23,921</w:t>
            </w:r>
          </w:p>
        </w:tc>
        <w:tc>
          <w:tcPr>
            <w:tcW w:w="1240" w:type="dxa"/>
            <w:vAlign w:val="bottom"/>
            <w:tcBorders>
              <w:bottom w:val="single" w:sz="8" w:color="CCEEFF"/>
            </w:tcBorders>
          </w:tcPr>
          <w:p>
            <w:pPr>
              <w:spacing w:after="0"/>
              <w:rPr>
                <w:sz w:val="18"/>
                <w:szCs w:val="18"/>
                <w:color w:val="auto"/>
              </w:rPr>
            </w:pPr>
          </w:p>
        </w:tc>
      </w:tr>
      <w:tr>
        <w:trPr>
          <w:trHeight w:val="238"/>
        </w:trPr>
        <w:tc>
          <w:tcPr>
            <w:tcW w:w="4540" w:type="dxa"/>
            <w:vAlign w:val="bottom"/>
            <w:tcBorders>
              <w:bottom w:val="single" w:sz="8" w:color="CCEEFF"/>
            </w:tcBorders>
            <w:shd w:val="clear" w:color="auto" w:fill="CCEEFF"/>
          </w:tcPr>
          <w:p>
            <w:pPr>
              <w:ind w:left="134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51,211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15,739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63,615</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41,990</w:t>
            </w:r>
          </w:p>
        </w:tc>
        <w:tc>
          <w:tcPr>
            <w:tcW w:w="1240" w:type="dxa"/>
            <w:vAlign w:val="bottom"/>
            <w:tcBorders>
              <w:bottom w:val="single" w:sz="8" w:color="CCEEFF"/>
            </w:tcBorders>
            <w:shd w:val="clear" w:color="auto" w:fill="CCEEFF"/>
          </w:tcPr>
          <w:p>
            <w:pPr>
              <w:spacing w:after="0"/>
              <w:rPr>
                <w:sz w:val="20"/>
                <w:szCs w:val="20"/>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r>
    </w:tbl>
    <w:p>
      <w:pPr>
        <w:spacing w:after="0" w:line="29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At June 30, 2021 and December 31, 2020, equipment financing assets included leases of $37.8 million and $36.8 million, respectively. The components of the net investment in leases, which included both sales-type and direct financing, are presented below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 2021</w:t>
            </w:r>
          </w:p>
        </w:tc>
        <w:tc>
          <w:tcPr>
            <w:tcW w:w="200" w:type="dxa"/>
            <w:vAlign w:val="bottom"/>
          </w:tcPr>
          <w:p>
            <w:pPr>
              <w:spacing w:after="0"/>
              <w:rPr>
                <w:sz w:val="18"/>
                <w:szCs w:val="18"/>
                <w:color w:val="auto"/>
              </w:rPr>
            </w:pPr>
          </w:p>
        </w:tc>
        <w:tc>
          <w:tcPr>
            <w:tcW w:w="330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 2020</w:t>
            </w:r>
          </w:p>
        </w:tc>
      </w:tr>
      <w:tr>
        <w:trPr>
          <w:trHeight w:val="213"/>
        </w:trPr>
        <w:tc>
          <w:tcPr>
            <w:tcW w:w="5760" w:type="dxa"/>
            <w:vAlign w:val="bottom"/>
            <w:tcBorders>
              <w:top w:val="single" w:sz="8" w:color="CCEEFF"/>
            </w:tcBorders>
            <w:shd w:val="clear" w:color="auto" w:fill="CCEEFF"/>
          </w:tcPr>
          <w:p>
            <w:pPr>
              <w:ind w:left="1620"/>
              <w:spacing w:after="0"/>
              <w:rPr>
                <w:sz w:val="20"/>
                <w:szCs w:val="20"/>
                <w:color w:val="auto"/>
              </w:rPr>
            </w:pPr>
            <w:r>
              <w:rPr>
                <w:rFonts w:ascii="Arial" w:cs="Arial" w:eastAsia="Arial" w:hAnsi="Arial"/>
                <w:sz w:val="16"/>
                <w:szCs w:val="16"/>
                <w:color w:val="auto"/>
              </w:rPr>
              <w:t>Minimum future lease payments receivable</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39,948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38,934</w:t>
            </w:r>
          </w:p>
        </w:tc>
        <w:tc>
          <w:tcPr>
            <w:tcW w:w="1620" w:type="dxa"/>
            <w:vAlign w:val="bottom"/>
            <w:tcBorders>
              <w:top w:val="single" w:sz="8" w:color="CCEEFF"/>
            </w:tcBorders>
            <w:shd w:val="clear" w:color="auto" w:fill="CCEEFF"/>
          </w:tcPr>
          <w:p>
            <w:pPr>
              <w:spacing w:after="0"/>
              <w:rPr>
                <w:sz w:val="18"/>
                <w:szCs w:val="18"/>
                <w:color w:val="auto"/>
              </w:rPr>
            </w:pPr>
          </w:p>
        </w:tc>
      </w:tr>
      <w:tr>
        <w:trPr>
          <w:trHeight w:val="213"/>
        </w:trPr>
        <w:tc>
          <w:tcPr>
            <w:tcW w:w="5760" w:type="dxa"/>
            <w:vAlign w:val="bottom"/>
          </w:tcPr>
          <w:p>
            <w:pPr>
              <w:ind w:left="1620"/>
              <w:spacing w:after="0"/>
              <w:rPr>
                <w:sz w:val="20"/>
                <w:szCs w:val="20"/>
                <w:color w:val="auto"/>
              </w:rPr>
            </w:pPr>
            <w:r>
              <w:rPr>
                <w:rFonts w:ascii="Arial" w:cs="Arial" w:eastAsia="Arial" w:hAnsi="Arial"/>
                <w:sz w:val="16"/>
                <w:szCs w:val="16"/>
                <w:color w:val="auto"/>
              </w:rPr>
              <w:t>Estimated residual value of leased equipment</w:t>
            </w: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3,269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3,263</w:t>
            </w:r>
          </w:p>
        </w:tc>
        <w:tc>
          <w:tcPr>
            <w:tcW w:w="1620" w:type="dxa"/>
            <w:vAlign w:val="bottom"/>
          </w:tcPr>
          <w:p>
            <w:pPr>
              <w:spacing w:after="0"/>
              <w:rPr>
                <w:sz w:val="18"/>
                <w:szCs w:val="18"/>
                <w:color w:val="auto"/>
              </w:rPr>
            </w:pPr>
          </w:p>
        </w:tc>
      </w:tr>
      <w:tr>
        <w:trPr>
          <w:trHeight w:val="219"/>
        </w:trPr>
        <w:tc>
          <w:tcPr>
            <w:tcW w:w="5760" w:type="dxa"/>
            <w:vAlign w:val="bottom"/>
            <w:shd w:val="clear" w:color="auto" w:fill="CCEEFF"/>
          </w:tcPr>
          <w:p>
            <w:pPr>
              <w:ind w:left="1620"/>
              <w:spacing w:after="0"/>
              <w:rPr>
                <w:sz w:val="20"/>
                <w:szCs w:val="20"/>
                <w:color w:val="auto"/>
              </w:rPr>
            </w:pPr>
            <w:r>
              <w:rPr>
                <w:rFonts w:ascii="Arial" w:cs="Arial" w:eastAsia="Arial" w:hAnsi="Arial"/>
                <w:sz w:val="16"/>
                <w:szCs w:val="16"/>
                <w:color w:val="auto"/>
              </w:rPr>
              <w:t>Initial direct costs</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w:t>
            </w:r>
          </w:p>
        </w:tc>
        <w:tc>
          <w:tcPr>
            <w:tcW w:w="1620" w:type="dxa"/>
            <w:vAlign w:val="bottom"/>
            <w:shd w:val="clear" w:color="auto" w:fill="CCEEFF"/>
          </w:tcPr>
          <w:p>
            <w:pPr>
              <w:spacing w:after="0"/>
              <w:rPr>
                <w:sz w:val="19"/>
                <w:szCs w:val="19"/>
                <w:color w:val="auto"/>
              </w:rPr>
            </w:pPr>
          </w:p>
        </w:tc>
      </w:tr>
      <w:tr>
        <w:trPr>
          <w:trHeight w:val="213"/>
        </w:trPr>
        <w:tc>
          <w:tcPr>
            <w:tcW w:w="5760" w:type="dxa"/>
            <w:vAlign w:val="bottom"/>
          </w:tcPr>
          <w:p>
            <w:pPr>
              <w:ind w:left="1620"/>
              <w:spacing w:after="0"/>
              <w:rPr>
                <w:sz w:val="20"/>
                <w:szCs w:val="20"/>
                <w:color w:val="auto"/>
              </w:rPr>
            </w:pPr>
            <w:r>
              <w:rPr>
                <w:rFonts w:ascii="Arial" w:cs="Arial" w:eastAsia="Arial" w:hAnsi="Arial"/>
                <w:sz w:val="16"/>
                <w:szCs w:val="16"/>
                <w:color w:val="auto"/>
              </w:rPr>
              <w:t>Security deposits</w:t>
            </w: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(672)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(727)</w:t>
            </w:r>
          </w:p>
        </w:tc>
        <w:tc>
          <w:tcPr>
            <w:tcW w:w="1620" w:type="dxa"/>
            <w:vAlign w:val="bottom"/>
          </w:tcPr>
          <w:p>
            <w:pPr>
              <w:spacing w:after="0"/>
              <w:rPr>
                <w:sz w:val="18"/>
                <w:szCs w:val="18"/>
                <w:color w:val="auto"/>
              </w:rPr>
            </w:pPr>
          </w:p>
        </w:tc>
      </w:tr>
      <w:tr>
        <w:trPr>
          <w:trHeight w:val="219"/>
        </w:trPr>
        <w:tc>
          <w:tcPr>
            <w:tcW w:w="5760" w:type="dxa"/>
            <w:vAlign w:val="bottom"/>
            <w:shd w:val="clear" w:color="auto" w:fill="CCEEFF"/>
          </w:tcPr>
          <w:p>
            <w:pPr>
              <w:ind w:left="1620"/>
              <w:spacing w:after="0"/>
              <w:rPr>
                <w:sz w:val="20"/>
                <w:szCs w:val="20"/>
                <w:color w:val="auto"/>
              </w:rPr>
            </w:pPr>
            <w:r>
              <w:rPr>
                <w:rFonts w:ascii="Arial" w:cs="Arial" w:eastAsia="Arial" w:hAnsi="Arial"/>
                <w:sz w:val="16"/>
                <w:szCs w:val="16"/>
                <w:color w:val="auto"/>
              </w:rPr>
              <w:t>Purchase accounting premium</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620" w:type="dxa"/>
            <w:vAlign w:val="bottom"/>
            <w:shd w:val="clear" w:color="auto" w:fill="CCEEFF"/>
          </w:tcPr>
          <w:p>
            <w:pPr>
              <w:spacing w:after="0"/>
              <w:rPr>
                <w:sz w:val="19"/>
                <w:szCs w:val="19"/>
                <w:color w:val="auto"/>
              </w:rPr>
            </w:pPr>
          </w:p>
        </w:tc>
      </w:tr>
      <w:tr>
        <w:trPr>
          <w:trHeight w:val="213"/>
        </w:trPr>
        <w:tc>
          <w:tcPr>
            <w:tcW w:w="5760" w:type="dxa"/>
            <w:vAlign w:val="bottom"/>
            <w:tcBorders>
              <w:bottom w:val="single" w:sz="8" w:color="CCEEFF"/>
            </w:tcBorders>
          </w:tcPr>
          <w:p>
            <w:pPr>
              <w:ind w:left="1620"/>
              <w:spacing w:after="0"/>
              <w:rPr>
                <w:sz w:val="20"/>
                <w:szCs w:val="20"/>
                <w:color w:val="auto"/>
              </w:rPr>
            </w:pPr>
            <w:r>
              <w:rPr>
                <w:rFonts w:ascii="Arial" w:cs="Arial" w:eastAsia="Arial" w:hAnsi="Arial"/>
                <w:sz w:val="16"/>
                <w:szCs w:val="16"/>
                <w:color w:val="auto"/>
              </w:rPr>
              <w:t>Unearned income</w:t>
            </w: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(5,525)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(5,457)</w:t>
            </w:r>
          </w:p>
        </w:tc>
        <w:tc>
          <w:tcPr>
            <w:tcW w:w="1620" w:type="dxa"/>
            <w:vAlign w:val="bottom"/>
            <w:tcBorders>
              <w:bottom w:val="single" w:sz="8" w:color="CCEEFF"/>
            </w:tcBorders>
          </w:tcPr>
          <w:p>
            <w:pPr>
              <w:spacing w:after="0"/>
              <w:rPr>
                <w:sz w:val="18"/>
                <w:szCs w:val="18"/>
                <w:color w:val="auto"/>
              </w:rPr>
            </w:pPr>
          </w:p>
        </w:tc>
      </w:tr>
      <w:tr>
        <w:trPr>
          <w:trHeight w:val="237"/>
        </w:trPr>
        <w:tc>
          <w:tcPr>
            <w:tcW w:w="5760" w:type="dxa"/>
            <w:vAlign w:val="bottom"/>
            <w:tcBorders>
              <w:bottom w:val="single" w:sz="8" w:color="CCEEFF"/>
            </w:tcBorders>
            <w:shd w:val="clear" w:color="auto" w:fill="CCEEFF"/>
          </w:tcPr>
          <w:p>
            <w:pPr>
              <w:ind w:left="1820"/>
              <w:spacing w:after="0"/>
              <w:rPr>
                <w:sz w:val="20"/>
                <w:szCs w:val="20"/>
                <w:color w:val="auto"/>
              </w:rPr>
            </w:pPr>
            <w:r>
              <w:rPr>
                <w:rFonts w:ascii="Arial" w:cs="Arial" w:eastAsia="Arial" w:hAnsi="Arial"/>
                <w:sz w:val="16"/>
                <w:szCs w:val="16"/>
                <w:color w:val="auto"/>
              </w:rPr>
              <w:t>Net investment in leases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37,757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36,802</w:t>
            </w:r>
          </w:p>
        </w:tc>
        <w:tc>
          <w:tcPr>
            <w:tcW w:w="1620" w:type="dxa"/>
            <w:vAlign w:val="bottom"/>
            <w:tcBorders>
              <w:bottom w:val="single" w:sz="8" w:color="CCEEFF"/>
            </w:tcBorders>
            <w:shd w:val="clear" w:color="auto" w:fill="CCEEFF"/>
          </w:tcPr>
          <w:p>
            <w:pPr>
              <w:spacing w:after="0"/>
              <w:rPr>
                <w:sz w:val="20"/>
                <w:szCs w:val="20"/>
                <w:color w:val="auto"/>
              </w:rPr>
            </w:pP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Minimum future lease payments expected to be received from equipment financing lease contracts as of June 30, 2021 were as follows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80" w:type="dxa"/>
            <w:vAlign w:val="bottom"/>
          </w:tcPr>
          <w:p>
            <w:pPr>
              <w:ind w:left="2700"/>
              <w:spacing w:after="0"/>
              <w:rPr>
                <w:sz w:val="20"/>
                <w:szCs w:val="20"/>
                <w:color w:val="auto"/>
              </w:rPr>
            </w:pPr>
            <w:r>
              <w:rPr>
                <w:rFonts w:ascii="Arial" w:cs="Arial" w:eastAsia="Arial" w:hAnsi="Arial"/>
                <w:sz w:val="16"/>
                <w:szCs w:val="16"/>
                <w:b w:val="1"/>
                <w:bCs w:val="1"/>
                <w:color w:val="auto"/>
              </w:rPr>
              <w:t>Year</w:t>
            </w: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9"/>
        </w:trPr>
        <w:tc>
          <w:tcPr>
            <w:tcW w:w="6980" w:type="dxa"/>
            <w:vAlign w:val="bottom"/>
            <w:shd w:val="clear" w:color="auto" w:fill="CCEEFF"/>
          </w:tcPr>
          <w:p>
            <w:pPr>
              <w:ind w:left="2700"/>
              <w:spacing w:after="0"/>
              <w:rPr>
                <w:sz w:val="20"/>
                <w:szCs w:val="20"/>
                <w:color w:val="auto"/>
              </w:rPr>
            </w:pPr>
            <w:r>
              <w:rPr>
                <w:rFonts w:ascii="Arial" w:cs="Arial" w:eastAsia="Arial" w:hAnsi="Arial"/>
                <w:sz w:val="16"/>
                <w:szCs w:val="16"/>
                <w:color w:val="auto"/>
              </w:rPr>
              <w:t>Remainder of 2021</w:t>
            </w: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8,161</w:t>
            </w:r>
          </w:p>
        </w:tc>
        <w:tc>
          <w:tcPr>
            <w:tcW w:w="2680" w:type="dxa"/>
            <w:vAlign w:val="bottom"/>
            <w:shd w:val="clear" w:color="auto" w:fill="CCEEFF"/>
          </w:tcPr>
          <w:p>
            <w:pPr>
              <w:spacing w:after="0"/>
              <w:rPr>
                <w:sz w:val="19"/>
                <w:szCs w:val="19"/>
                <w:color w:val="auto"/>
              </w:rPr>
            </w:pPr>
          </w:p>
        </w:tc>
      </w:tr>
      <w:tr>
        <w:trPr>
          <w:trHeight w:val="213"/>
        </w:trPr>
        <w:tc>
          <w:tcPr>
            <w:tcW w:w="6980" w:type="dxa"/>
            <w:vAlign w:val="bottom"/>
          </w:tcPr>
          <w:p>
            <w:pPr>
              <w:ind w:left="2700"/>
              <w:spacing w:after="0"/>
              <w:rPr>
                <w:sz w:val="20"/>
                <w:szCs w:val="20"/>
                <w:color w:val="auto"/>
              </w:rPr>
            </w:pPr>
            <w:r>
              <w:rPr>
                <w:rFonts w:ascii="Arial" w:cs="Arial" w:eastAsia="Arial" w:hAnsi="Arial"/>
                <w:sz w:val="16"/>
                <w:szCs w:val="16"/>
                <w:color w:val="auto"/>
              </w:rPr>
              <w:t>2022</w:t>
            </w: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13,830</w:t>
            </w:r>
          </w:p>
        </w:tc>
        <w:tc>
          <w:tcPr>
            <w:tcW w:w="2680" w:type="dxa"/>
            <w:vAlign w:val="bottom"/>
          </w:tcPr>
          <w:p>
            <w:pPr>
              <w:spacing w:after="0"/>
              <w:rPr>
                <w:sz w:val="18"/>
                <w:szCs w:val="18"/>
                <w:color w:val="auto"/>
              </w:rPr>
            </w:pPr>
          </w:p>
        </w:tc>
      </w:tr>
      <w:tr>
        <w:trPr>
          <w:trHeight w:val="219"/>
        </w:trPr>
        <w:tc>
          <w:tcPr>
            <w:tcW w:w="6980" w:type="dxa"/>
            <w:vAlign w:val="bottom"/>
            <w:shd w:val="clear" w:color="auto" w:fill="CCEEFF"/>
          </w:tcPr>
          <w:p>
            <w:pPr>
              <w:ind w:left="2700"/>
              <w:spacing w:after="0"/>
              <w:rPr>
                <w:sz w:val="20"/>
                <w:szCs w:val="20"/>
                <w:color w:val="auto"/>
              </w:rPr>
            </w:pPr>
            <w:r>
              <w:rPr>
                <w:rFonts w:ascii="Arial" w:cs="Arial" w:eastAsia="Arial" w:hAnsi="Arial"/>
                <w:sz w:val="16"/>
                <w:szCs w:val="16"/>
                <w:color w:val="auto"/>
              </w:rPr>
              <w:t>2023</w:t>
            </w: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9,601</w:t>
            </w:r>
          </w:p>
        </w:tc>
        <w:tc>
          <w:tcPr>
            <w:tcW w:w="2680" w:type="dxa"/>
            <w:vAlign w:val="bottom"/>
            <w:shd w:val="clear" w:color="auto" w:fill="CCEEFF"/>
          </w:tcPr>
          <w:p>
            <w:pPr>
              <w:spacing w:after="0"/>
              <w:rPr>
                <w:sz w:val="19"/>
                <w:szCs w:val="19"/>
                <w:color w:val="auto"/>
              </w:rPr>
            </w:pPr>
          </w:p>
        </w:tc>
      </w:tr>
      <w:tr>
        <w:trPr>
          <w:trHeight w:val="213"/>
        </w:trPr>
        <w:tc>
          <w:tcPr>
            <w:tcW w:w="6980" w:type="dxa"/>
            <w:vAlign w:val="bottom"/>
          </w:tcPr>
          <w:p>
            <w:pPr>
              <w:ind w:left="2700"/>
              <w:spacing w:after="0"/>
              <w:rPr>
                <w:sz w:val="20"/>
                <w:szCs w:val="20"/>
                <w:color w:val="auto"/>
              </w:rPr>
            </w:pPr>
            <w:r>
              <w:rPr>
                <w:rFonts w:ascii="Arial" w:cs="Arial" w:eastAsia="Arial" w:hAnsi="Arial"/>
                <w:sz w:val="16"/>
                <w:szCs w:val="16"/>
                <w:color w:val="auto"/>
              </w:rPr>
              <w:t>2024</w:t>
            </w: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5,161</w:t>
            </w:r>
          </w:p>
        </w:tc>
        <w:tc>
          <w:tcPr>
            <w:tcW w:w="2680" w:type="dxa"/>
            <w:vAlign w:val="bottom"/>
          </w:tcPr>
          <w:p>
            <w:pPr>
              <w:spacing w:after="0"/>
              <w:rPr>
                <w:sz w:val="18"/>
                <w:szCs w:val="18"/>
                <w:color w:val="auto"/>
              </w:rPr>
            </w:pPr>
          </w:p>
        </w:tc>
      </w:tr>
      <w:tr>
        <w:trPr>
          <w:trHeight w:val="219"/>
        </w:trPr>
        <w:tc>
          <w:tcPr>
            <w:tcW w:w="6980" w:type="dxa"/>
            <w:vAlign w:val="bottom"/>
            <w:shd w:val="clear" w:color="auto" w:fill="CCEEFF"/>
          </w:tcPr>
          <w:p>
            <w:pPr>
              <w:ind w:left="2700"/>
              <w:spacing w:after="0"/>
              <w:rPr>
                <w:sz w:val="20"/>
                <w:szCs w:val="20"/>
                <w:color w:val="auto"/>
              </w:rPr>
            </w:pPr>
            <w:r>
              <w:rPr>
                <w:rFonts w:ascii="Arial" w:cs="Arial" w:eastAsia="Arial" w:hAnsi="Arial"/>
                <w:sz w:val="16"/>
                <w:szCs w:val="16"/>
                <w:color w:val="auto"/>
              </w:rPr>
              <w:t>2025</w:t>
            </w: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2,741</w:t>
            </w:r>
          </w:p>
        </w:tc>
        <w:tc>
          <w:tcPr>
            <w:tcW w:w="2680" w:type="dxa"/>
            <w:vAlign w:val="bottom"/>
            <w:shd w:val="clear" w:color="auto" w:fill="CCEEFF"/>
          </w:tcPr>
          <w:p>
            <w:pPr>
              <w:spacing w:after="0"/>
              <w:rPr>
                <w:sz w:val="19"/>
                <w:szCs w:val="19"/>
                <w:color w:val="auto"/>
              </w:rPr>
            </w:pPr>
          </w:p>
        </w:tc>
      </w:tr>
      <w:tr>
        <w:trPr>
          <w:trHeight w:val="213"/>
        </w:trPr>
        <w:tc>
          <w:tcPr>
            <w:tcW w:w="6980" w:type="dxa"/>
            <w:vAlign w:val="bottom"/>
            <w:tcBorders>
              <w:bottom w:val="single" w:sz="8" w:color="CCEEFF"/>
            </w:tcBorders>
          </w:tcPr>
          <w:p>
            <w:pPr>
              <w:ind w:left="2700"/>
              <w:spacing w:after="0"/>
              <w:rPr>
                <w:sz w:val="20"/>
                <w:szCs w:val="20"/>
                <w:color w:val="auto"/>
              </w:rPr>
            </w:pPr>
            <w:r>
              <w:rPr>
                <w:rFonts w:ascii="Arial" w:cs="Arial" w:eastAsia="Arial" w:hAnsi="Arial"/>
                <w:sz w:val="16"/>
                <w:szCs w:val="16"/>
                <w:color w:val="auto"/>
              </w:rPr>
              <w:t>Thereafter</w:t>
            </w: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454</w:t>
            </w:r>
          </w:p>
        </w:tc>
        <w:tc>
          <w:tcPr>
            <w:tcW w:w="2680" w:type="dxa"/>
            <w:vAlign w:val="bottom"/>
            <w:tcBorders>
              <w:bottom w:val="single" w:sz="8" w:color="CCEEFF"/>
            </w:tcBorders>
          </w:tcPr>
          <w:p>
            <w:pPr>
              <w:spacing w:after="0"/>
              <w:rPr>
                <w:sz w:val="18"/>
                <w:szCs w:val="18"/>
                <w:color w:val="auto"/>
              </w:rPr>
            </w:pPr>
          </w:p>
        </w:tc>
      </w:tr>
      <w:tr>
        <w:trPr>
          <w:trHeight w:val="238"/>
        </w:trPr>
        <w:tc>
          <w:tcPr>
            <w:tcW w:w="6980" w:type="dxa"/>
            <w:vAlign w:val="bottom"/>
            <w:tcBorders>
              <w:bottom w:val="single" w:sz="8" w:color="CCEEFF"/>
            </w:tcBorders>
            <w:shd w:val="clear" w:color="auto" w:fill="CCEEFF"/>
          </w:tcPr>
          <w:p>
            <w:pPr>
              <w:ind w:left="2900"/>
              <w:spacing w:after="0"/>
              <w:rPr>
                <w:sz w:val="20"/>
                <w:szCs w:val="20"/>
                <w:color w:val="auto"/>
              </w:rPr>
            </w:pPr>
            <w:r>
              <w:rPr>
                <w:rFonts w:ascii="Arial" w:cs="Arial" w:eastAsia="Arial" w:hAnsi="Arial"/>
                <w:sz w:val="16"/>
                <w:szCs w:val="16"/>
                <w:color w:val="auto"/>
              </w:rPr>
              <w:t>Total</w:t>
            </w: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39,948</w:t>
            </w:r>
          </w:p>
        </w:tc>
        <w:tc>
          <w:tcPr>
            <w:tcW w:w="2680" w:type="dxa"/>
            <w:vAlign w:val="bottom"/>
            <w:tcBorders>
              <w:bottom w:val="single" w:sz="8" w:color="CCEEFF"/>
            </w:tcBorders>
            <w:shd w:val="clear" w:color="auto" w:fill="CCEEFF"/>
          </w:tcPr>
          <w:p>
            <w:pPr>
              <w:spacing w:after="0"/>
              <w:rPr>
                <w:sz w:val="20"/>
                <w:szCs w:val="20"/>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Nonaccrual and Past Due Loans</w:t>
      </w:r>
    </w:p>
    <w:p>
      <w:pPr>
        <w:spacing w:after="0" w:line="2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 xml:space="preserve">The following table presents the aging of the amortized cost basis in loans by aging category and accrual status as of the dates indicated </w:t>
      </w:r>
      <w:r>
        <w:rPr>
          <w:rFonts w:ascii="Arial" w:cs="Arial" w:eastAsia="Arial" w:hAnsi="Arial"/>
          <w:sz w:val="17"/>
          <w:szCs w:val="17"/>
          <w:i w:val="1"/>
          <w:iCs w:val="1"/>
          <w:color w:val="auto"/>
        </w:rPr>
        <w:t>(in thousands)</w:t>
      </w:r>
      <w:r>
        <w:rPr>
          <w:rFonts w:ascii="Arial" w:cs="Arial" w:eastAsia="Arial" w:hAnsi="Arial"/>
          <w:sz w:val="17"/>
          <w:szCs w:val="17"/>
          <w:color w:val="auto"/>
        </w:rPr>
        <w:t>. Past due status is based on contractual terms of the loan. The accrual of interest is generally discontinued when a loan becomes 90 days past due. Loans with active COVID-19 deferrals are not reported as past due to the extent they are in compliance with the deferral terms.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ind w:left="420"/>
              <w:spacing w:after="0"/>
              <w:rPr>
                <w:sz w:val="20"/>
                <w:szCs w:val="20"/>
                <w:color w:val="auto"/>
              </w:rPr>
            </w:pPr>
            <w:r>
              <w:rPr>
                <w:rFonts w:ascii="Arial" w:cs="Arial" w:eastAsia="Arial" w:hAnsi="Arial"/>
                <w:sz w:val="16"/>
                <w:szCs w:val="16"/>
                <w:b w:val="1"/>
                <w:bCs w:val="1"/>
                <w:color w:val="auto"/>
              </w:rPr>
              <w:t>Accruing</w:t>
            </w: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w w:val="89"/>
              </w:rPr>
              <w:t>Loans Past Due</w:t>
            </w: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4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Current Loans</w:t>
            </w:r>
          </w:p>
        </w:tc>
        <w:tc>
          <w:tcPr>
            <w:tcW w:w="110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30 - 59 Days</w:t>
            </w:r>
          </w:p>
        </w:tc>
        <w:tc>
          <w:tcPr>
            <w:tcW w:w="112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60 - 89 Days</w:t>
            </w:r>
          </w:p>
        </w:tc>
        <w:tc>
          <w:tcPr>
            <w:tcW w:w="120" w:type="dxa"/>
            <w:vAlign w:val="bottom"/>
          </w:tcPr>
          <w:p>
            <w:pPr>
              <w:spacing w:after="0"/>
              <w:rPr>
                <w:sz w:val="16"/>
                <w:szCs w:val="16"/>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&gt; 90 Days</w:t>
            </w:r>
          </w:p>
        </w:tc>
        <w:tc>
          <w:tcPr>
            <w:tcW w:w="14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Nonaccrual</w:t>
            </w:r>
          </w:p>
        </w:tc>
        <w:tc>
          <w:tcPr>
            <w:tcW w:w="140" w:type="dxa"/>
            <w:vAlign w:val="bottom"/>
          </w:tcPr>
          <w:p>
            <w:pPr>
              <w:spacing w:after="0"/>
              <w:rPr>
                <w:sz w:val="16"/>
                <w:szCs w:val="16"/>
                <w:color w:val="auto"/>
              </w:rPr>
            </w:pPr>
          </w:p>
        </w:tc>
        <w:tc>
          <w:tcPr>
            <w:tcW w:w="102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91"/>
              </w:rPr>
              <w:t>Total Loans</w:t>
            </w:r>
          </w:p>
        </w:tc>
        <w:tc>
          <w:tcPr>
            <w:tcW w:w="0" w:type="dxa"/>
            <w:vAlign w:val="bottom"/>
          </w:tcPr>
          <w:p>
            <w:pPr>
              <w:spacing w:after="0"/>
              <w:rPr>
                <w:sz w:val="1"/>
                <w:szCs w:val="1"/>
                <w:color w:val="auto"/>
              </w:rPr>
            </w:pPr>
          </w:p>
        </w:tc>
      </w:tr>
      <w:tr>
        <w:trPr>
          <w:trHeight w:val="210"/>
        </w:trPr>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vMerge w:val="continue"/>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112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Loans</w:t>
            </w:r>
          </w:p>
        </w:tc>
        <w:tc>
          <w:tcPr>
            <w:tcW w:w="1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As of June 30, 2021</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CCEEFF"/>
            </w:tcBorders>
          </w:tcPr>
          <w:p>
            <w:pPr>
              <w:spacing w:after="0"/>
              <w:rPr>
                <w:sz w:val="17"/>
                <w:szCs w:val="17"/>
                <w:color w:val="auto"/>
              </w:rPr>
            </w:pPr>
          </w:p>
        </w:tc>
        <w:tc>
          <w:tcPr>
            <w:tcW w:w="92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CCEEFF"/>
            </w:tcBorders>
          </w:tcPr>
          <w:p>
            <w:pPr>
              <w:spacing w:after="0"/>
              <w:rPr>
                <w:sz w:val="17"/>
                <w:szCs w:val="17"/>
                <w:color w:val="auto"/>
              </w:rPr>
            </w:pPr>
          </w:p>
        </w:tc>
        <w:tc>
          <w:tcPr>
            <w:tcW w:w="70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20" w:type="dxa"/>
            <w:vAlign w:val="bottom"/>
            <w:tcBorders>
              <w:top w:val="single" w:sz="8" w:color="auto"/>
              <w:bottom w:val="single" w:sz="8" w:color="CCEEFF"/>
            </w:tcBorders>
          </w:tcPr>
          <w:p>
            <w:pPr>
              <w:spacing w:after="0"/>
              <w:rPr>
                <w:sz w:val="17"/>
                <w:szCs w:val="17"/>
                <w:color w:val="auto"/>
              </w:rPr>
            </w:pPr>
          </w:p>
        </w:tc>
        <w:tc>
          <w:tcPr>
            <w:tcW w:w="580" w:type="dxa"/>
            <w:vAlign w:val="bottom"/>
            <w:tcBorders>
              <w:top w:val="single" w:sz="8" w:color="auto"/>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88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CCEEFF"/>
            </w:tcBorders>
          </w:tcPr>
          <w:p>
            <w:pPr>
              <w:spacing w:after="0"/>
              <w:rPr>
                <w:sz w:val="17"/>
                <w:szCs w:val="17"/>
                <w:color w:val="auto"/>
              </w:rPr>
            </w:pPr>
          </w:p>
        </w:tc>
        <w:tc>
          <w:tcPr>
            <w:tcW w:w="102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CCEEFF"/>
            </w:tcBorders>
          </w:tcPr>
          <w:p>
            <w:pPr>
              <w:spacing w:after="0"/>
              <w:rPr>
                <w:sz w:val="17"/>
                <w:szCs w:val="17"/>
                <w:color w:val="auto"/>
              </w:rPr>
            </w:pPr>
          </w:p>
        </w:tc>
        <w:tc>
          <w:tcPr>
            <w:tcW w:w="1020" w:type="dxa"/>
            <w:vAlign w:val="bottom"/>
            <w:tcBorders>
              <w:top w:val="single" w:sz="8" w:color="auto"/>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Owner occupied commercial real estate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2,141,403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2,149,371</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Arial" w:cs="Arial" w:eastAsia="Arial" w:hAnsi="Arial"/>
                <w:sz w:val="16"/>
                <w:szCs w:val="16"/>
                <w:color w:val="auto"/>
              </w:rPr>
              <w:t>Income producing commercial real estate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2,536,332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592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13,100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2,550,243</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Commercial &amp; industrial</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2,225,062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2,234,646</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Arial" w:cs="Arial" w:eastAsia="Arial" w:hAnsi="Arial"/>
                <w:sz w:val="16"/>
                <w:szCs w:val="16"/>
                <w:color w:val="auto"/>
              </w:rPr>
              <w:t>Commercial construction</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925,376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1,229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926,809</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Equipment financing</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965,350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968,805</w:t>
            </w:r>
          </w:p>
        </w:tc>
        <w:tc>
          <w:tcPr>
            <w:tcW w:w="0" w:type="dxa"/>
            <w:vAlign w:val="bottom"/>
          </w:tcPr>
          <w:p>
            <w:pPr>
              <w:spacing w:after="0"/>
              <w:rPr>
                <w:sz w:val="1"/>
                <w:szCs w:val="1"/>
                <w:color w:val="auto"/>
              </w:rPr>
            </w:pPr>
          </w:p>
        </w:tc>
      </w:tr>
      <w:tr>
        <w:trPr>
          <w:trHeight w:val="206"/>
        </w:trPr>
        <w:tc>
          <w:tcPr>
            <w:tcW w:w="4260" w:type="dxa"/>
            <w:vAlign w:val="bottom"/>
            <w:gridSpan w:val="2"/>
          </w:tcPr>
          <w:p>
            <w:pPr>
              <w:ind w:left="140"/>
              <w:spacing w:after="0"/>
              <w:rPr>
                <w:sz w:val="20"/>
                <w:szCs w:val="20"/>
                <w:color w:val="auto"/>
              </w:rPr>
            </w:pPr>
            <w:r>
              <w:rPr>
                <w:rFonts w:ascii="Arial" w:cs="Arial" w:eastAsia="Arial" w:hAnsi="Arial"/>
                <w:sz w:val="16"/>
                <w:szCs w:val="16"/>
                <w:color w:val="auto"/>
              </w:rPr>
              <w:t>Total commercial</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8,793,523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4,372</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1,188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30,791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8,829,874</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Residential mortgage</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1,456,280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1,472,608</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Arial" w:cs="Arial" w:eastAsia="Arial" w:hAnsi="Arial"/>
                <w:sz w:val="16"/>
                <w:szCs w:val="16"/>
                <w:color w:val="auto"/>
              </w:rPr>
              <w:t>HELOC</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658,224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1,015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209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660,881</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Residential construction</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288,032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288,708</w:t>
            </w:r>
          </w:p>
        </w:tc>
        <w:tc>
          <w:tcPr>
            <w:tcW w:w="0" w:type="dxa"/>
            <w:vAlign w:val="bottom"/>
          </w:tcPr>
          <w:p>
            <w:pPr>
              <w:spacing w:after="0"/>
              <w:rPr>
                <w:sz w:val="1"/>
                <w:szCs w:val="1"/>
                <w:color w:val="auto"/>
              </w:rPr>
            </w:pPr>
          </w:p>
        </w:tc>
      </w:tr>
      <w:tr>
        <w:trPr>
          <w:trHeight w:val="213"/>
        </w:trPr>
        <w:tc>
          <w:tcPr>
            <w:tcW w:w="42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Consumer</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138,287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138,675</w:t>
            </w:r>
          </w:p>
        </w:tc>
        <w:tc>
          <w:tcPr>
            <w:tcW w:w="0" w:type="dxa"/>
            <w:vAlign w:val="bottom"/>
          </w:tcPr>
          <w:p>
            <w:pPr>
              <w:spacing w:after="0"/>
              <w:rPr>
                <w:sz w:val="1"/>
                <w:szCs w:val="1"/>
                <w:color w:val="auto"/>
              </w:rPr>
            </w:pPr>
          </w:p>
        </w:tc>
      </w:tr>
      <w:tr>
        <w:trPr>
          <w:trHeight w:val="233"/>
        </w:trPr>
        <w:tc>
          <w:tcPr>
            <w:tcW w:w="42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Total loans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11,334,346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8,093</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46,123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11,390,746</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 of December 31, 2020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260" w:type="dxa"/>
            <w:vAlign w:val="bottom"/>
            <w:gridSpan w:val="2"/>
          </w:tcPr>
          <w:p>
            <w:pPr>
              <w:ind w:left="20"/>
              <w:spacing w:after="0"/>
              <w:rPr>
                <w:sz w:val="20"/>
                <w:szCs w:val="20"/>
                <w:color w:val="auto"/>
              </w:rPr>
            </w:pPr>
            <w:r>
              <w:rPr>
                <w:rFonts w:ascii="Arial" w:cs="Arial" w:eastAsia="Arial" w:hAnsi="Arial"/>
                <w:sz w:val="16"/>
                <w:szCs w:val="16"/>
                <w:color w:val="auto"/>
              </w:rPr>
              <w:t>Owner occupied commercial real estate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2,079,845</w:t>
            </w:r>
          </w:p>
        </w:tc>
        <w:tc>
          <w:tcPr>
            <w:tcW w:w="10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2,013</w:t>
            </w:r>
          </w:p>
        </w:tc>
        <w:tc>
          <w:tcPr>
            <w:tcW w:w="100" w:type="dxa"/>
            <w:vAlign w:val="bottom"/>
          </w:tcPr>
          <w:p>
            <w:pPr>
              <w:spacing w:after="0"/>
              <w:rPr>
                <w:sz w:val="17"/>
                <w:szCs w:val="17"/>
                <w:color w:val="auto"/>
              </w:rPr>
            </w:pPr>
          </w:p>
        </w:tc>
        <w:tc>
          <w:tcPr>
            <w:tcW w:w="420" w:type="dxa"/>
            <w:vAlign w:val="bottom"/>
          </w:tcPr>
          <w:p>
            <w:pPr>
              <w:ind w:left="2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8,582</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2,090,443</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producing commercial real estate</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2,522,743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2,540,750</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Arial" w:cs="Arial" w:eastAsia="Arial" w:hAnsi="Arial"/>
                <w:sz w:val="16"/>
                <w:szCs w:val="16"/>
                <w:color w:val="auto"/>
              </w:rPr>
              <w:t>Commercial &amp; industrial</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2,480,483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1,176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267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16,634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2,498,560</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Commercial construction</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964,947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967,305</w:t>
            </w:r>
          </w:p>
        </w:tc>
        <w:tc>
          <w:tcPr>
            <w:tcW w:w="0" w:type="dxa"/>
            <w:vAlign w:val="bottom"/>
          </w:tcPr>
          <w:p>
            <w:pPr>
              <w:spacing w:after="0"/>
              <w:rPr>
                <w:sz w:val="1"/>
                <w:szCs w:val="1"/>
                <w:color w:val="auto"/>
              </w:rPr>
            </w:pPr>
          </w:p>
        </w:tc>
      </w:tr>
      <w:tr>
        <w:trPr>
          <w:trHeight w:val="213"/>
        </w:trPr>
        <w:tc>
          <w:tcPr>
            <w:tcW w:w="42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Equipment financing</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856,985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2,431</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863,830</w:t>
            </w:r>
          </w:p>
        </w:tc>
        <w:tc>
          <w:tcPr>
            <w:tcW w:w="0" w:type="dxa"/>
            <w:vAlign w:val="bottom"/>
          </w:tcPr>
          <w:p>
            <w:pPr>
              <w:spacing w:after="0"/>
              <w:rPr>
                <w:sz w:val="1"/>
                <w:szCs w:val="1"/>
                <w:color w:val="auto"/>
              </w:rPr>
            </w:pPr>
          </w:p>
        </w:tc>
      </w:tr>
      <w:tr>
        <w:trPr>
          <w:trHeight w:val="213"/>
        </w:trPr>
        <w:tc>
          <w:tcPr>
            <w:tcW w:w="42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Total commercial</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8,905,003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8,960,888</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Arial" w:cs="Arial" w:eastAsia="Arial" w:hAnsi="Arial"/>
                <w:sz w:val="16"/>
                <w:szCs w:val="16"/>
                <w:color w:val="auto"/>
              </w:rPr>
              <w:t>Residential mortgage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1,265,019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5,549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12,858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1,284,920</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HELOC</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692,504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697,117</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Arial" w:cs="Arial" w:eastAsia="Arial" w:hAnsi="Arial"/>
                <w:sz w:val="16"/>
                <w:szCs w:val="16"/>
                <w:color w:val="auto"/>
              </w:rPr>
              <w:t>Residential construction</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280,551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365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281,430</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Consumer</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145,770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429</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146,460</w:t>
            </w:r>
          </w:p>
        </w:tc>
        <w:tc>
          <w:tcPr>
            <w:tcW w:w="0" w:type="dxa"/>
            <w:vAlign w:val="bottom"/>
          </w:tcPr>
          <w:p>
            <w:pPr>
              <w:spacing w:after="0"/>
              <w:rPr>
                <w:sz w:val="1"/>
                <w:szCs w:val="1"/>
                <w:color w:val="auto"/>
              </w:rPr>
            </w:pPr>
          </w:p>
        </w:tc>
      </w:tr>
      <w:tr>
        <w:trPr>
          <w:trHeight w:val="213"/>
        </w:trPr>
        <w:tc>
          <w:tcPr>
            <w:tcW w:w="4260" w:type="dxa"/>
            <w:vAlign w:val="bottom"/>
            <w:gridSpan w:val="2"/>
          </w:tcPr>
          <w:p>
            <w:pPr>
              <w:ind w:left="140"/>
              <w:spacing w:after="0"/>
              <w:rPr>
                <w:sz w:val="20"/>
                <w:szCs w:val="20"/>
                <w:color w:val="auto"/>
              </w:rPr>
            </w:pPr>
            <w:r>
              <w:rPr>
                <w:rFonts w:ascii="Arial" w:cs="Arial" w:eastAsia="Arial" w:hAnsi="Arial"/>
                <w:sz w:val="16"/>
                <w:szCs w:val="16"/>
                <w:color w:val="auto"/>
              </w:rPr>
              <w:t>Total loans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11,288,847</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15,744</w:t>
            </w:r>
          </w:p>
        </w:tc>
        <w:tc>
          <w:tcPr>
            <w:tcW w:w="100" w:type="dxa"/>
            <w:vAlign w:val="bottom"/>
          </w:tcPr>
          <w:p>
            <w:pPr>
              <w:spacing w:after="0"/>
              <w:rPr>
                <w:sz w:val="18"/>
                <w:szCs w:val="18"/>
                <w:color w:val="auto"/>
              </w:rPr>
            </w:pPr>
          </w:p>
        </w:tc>
        <w:tc>
          <w:tcPr>
            <w:tcW w:w="420" w:type="dxa"/>
            <w:vAlign w:val="bottom"/>
          </w:tcPr>
          <w:p>
            <w:pPr>
              <w:ind w:left="2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4,625</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61,599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11,370,815</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nonaccrual loans by loan class for the periods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4"/>
          </w:tcPr>
          <w:p>
            <w:pPr>
              <w:jc w:val="right"/>
              <w:ind w:right="479"/>
              <w:spacing w:after="0"/>
              <w:rPr>
                <w:sz w:val="20"/>
                <w:szCs w:val="20"/>
                <w:color w:val="auto"/>
              </w:rPr>
            </w:pPr>
            <w:r>
              <w:rPr>
                <w:rFonts w:ascii="Arial" w:cs="Arial" w:eastAsia="Arial" w:hAnsi="Arial"/>
                <w:sz w:val="16"/>
                <w:szCs w:val="16"/>
                <w:b w:val="1"/>
                <w:bCs w:val="1"/>
                <w:color w:val="auto"/>
              </w:rPr>
              <w:t>Nonaccrual Loans</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6"/>
                <w:szCs w:val="16"/>
                <w:b w:val="1"/>
                <w:bCs w:val="1"/>
                <w:color w:val="auto"/>
                <w:w w:val="90"/>
              </w:rPr>
              <w:t>June 30, 2021</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0"/>
              </w:rPr>
              <w:t>December 31, 2020</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ind w:left="120"/>
              <w:spacing w:after="0" w:line="158" w:lineRule="exact"/>
              <w:rPr>
                <w:sz w:val="20"/>
                <w:szCs w:val="20"/>
                <w:color w:val="auto"/>
              </w:rPr>
            </w:pPr>
            <w:r>
              <w:rPr>
                <w:rFonts w:ascii="Arial" w:cs="Arial" w:eastAsia="Arial" w:hAnsi="Arial"/>
                <w:sz w:val="16"/>
                <w:szCs w:val="16"/>
                <w:b w:val="1"/>
                <w:bCs w:val="1"/>
                <w:color w:val="auto"/>
              </w:rPr>
              <w:t>With no</w:t>
            </w:r>
          </w:p>
        </w:tc>
        <w:tc>
          <w:tcPr>
            <w:tcW w:w="160" w:type="dxa"/>
            <w:vAlign w:val="bottom"/>
          </w:tcPr>
          <w:p>
            <w:pPr>
              <w:spacing w:after="0"/>
              <w:rPr>
                <w:sz w:val="13"/>
                <w:szCs w:val="13"/>
                <w:color w:val="auto"/>
              </w:rPr>
            </w:pPr>
          </w:p>
        </w:tc>
        <w:tc>
          <w:tcPr>
            <w:tcW w:w="108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96"/>
              </w:rPr>
              <w:t>With an</w:t>
            </w:r>
          </w:p>
        </w:tc>
        <w:tc>
          <w:tcPr>
            <w:tcW w:w="240" w:type="dxa"/>
            <w:vAlign w:val="bottom"/>
          </w:tcPr>
          <w:p>
            <w:pPr>
              <w:spacing w:after="0"/>
              <w:rPr>
                <w:sz w:val="13"/>
                <w:szCs w:val="13"/>
                <w:color w:val="auto"/>
              </w:rPr>
            </w:pPr>
          </w:p>
        </w:tc>
        <w:tc>
          <w:tcPr>
            <w:tcW w:w="88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Total</w:t>
            </w:r>
          </w:p>
        </w:tc>
        <w:tc>
          <w:tcPr>
            <w:tcW w:w="8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ind w:right="199"/>
              <w:spacing w:after="0" w:line="158" w:lineRule="exact"/>
              <w:rPr>
                <w:sz w:val="20"/>
                <w:szCs w:val="20"/>
                <w:color w:val="auto"/>
              </w:rPr>
            </w:pPr>
            <w:r>
              <w:rPr>
                <w:rFonts w:ascii="Arial" w:cs="Arial" w:eastAsia="Arial" w:hAnsi="Arial"/>
                <w:sz w:val="16"/>
                <w:szCs w:val="16"/>
                <w:b w:val="1"/>
                <w:bCs w:val="1"/>
                <w:color w:val="auto"/>
              </w:rPr>
              <w:t>With no</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6"/>
              </w:rPr>
              <w:t>With an</w:t>
            </w:r>
          </w:p>
        </w:tc>
        <w:tc>
          <w:tcPr>
            <w:tcW w:w="260" w:type="dxa"/>
            <w:vAlign w:val="bottom"/>
          </w:tcPr>
          <w:p>
            <w:pPr>
              <w:spacing w:after="0"/>
              <w:rPr>
                <w:sz w:val="13"/>
                <w:szCs w:val="13"/>
                <w:color w:val="auto"/>
              </w:rPr>
            </w:pPr>
          </w:p>
        </w:tc>
        <w:tc>
          <w:tcPr>
            <w:tcW w:w="88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38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4"/>
              </w:rPr>
              <w:t>allowance</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8"/>
              </w:rPr>
              <w:t>allowance</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4"/>
              </w:rPr>
              <w:t>allowance</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1"/>
              </w:rPr>
              <w:t>allowance</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Owner occupied commercial real estate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6,614</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8,582</w:t>
            </w:r>
          </w:p>
        </w:tc>
        <w:tc>
          <w:tcPr>
            <w:tcW w:w="0" w:type="dxa"/>
            <w:vAlign w:val="bottom"/>
          </w:tcPr>
          <w:p>
            <w:pPr>
              <w:spacing w:after="0"/>
              <w:rPr>
                <w:sz w:val="1"/>
                <w:szCs w:val="1"/>
                <w:color w:val="auto"/>
              </w:rPr>
            </w:pPr>
          </w:p>
        </w:tc>
      </w:tr>
      <w:tr>
        <w:trPr>
          <w:trHeight w:val="213"/>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Income producing commercial real estate</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12,515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585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13,100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10,008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5,141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15,149</w:t>
            </w:r>
          </w:p>
        </w:tc>
        <w:tc>
          <w:tcPr>
            <w:tcW w:w="0" w:type="dxa"/>
            <w:vAlign w:val="bottom"/>
          </w:tcPr>
          <w:p>
            <w:pPr>
              <w:spacing w:after="0"/>
              <w:rPr>
                <w:sz w:val="1"/>
                <w:szCs w:val="1"/>
                <w:color w:val="auto"/>
              </w:rPr>
            </w:pPr>
          </w:p>
        </w:tc>
      </w:tr>
      <w:tr>
        <w:trPr>
          <w:trHeight w:val="219"/>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Commercial &amp; industrial</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8,563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16,634</w:t>
            </w:r>
          </w:p>
        </w:tc>
        <w:tc>
          <w:tcPr>
            <w:tcW w:w="0" w:type="dxa"/>
            <w:vAlign w:val="bottom"/>
          </w:tcPr>
          <w:p>
            <w:pPr>
              <w:spacing w:after="0"/>
              <w:rPr>
                <w:sz w:val="1"/>
                <w:szCs w:val="1"/>
                <w:color w:val="auto"/>
              </w:rPr>
            </w:pPr>
          </w:p>
        </w:tc>
      </w:tr>
      <w:tr>
        <w:trPr>
          <w:trHeight w:val="213"/>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Commercial construction</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479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1,229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1,339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406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1,745</w:t>
            </w:r>
          </w:p>
        </w:tc>
        <w:tc>
          <w:tcPr>
            <w:tcW w:w="0" w:type="dxa"/>
            <w:vAlign w:val="bottom"/>
          </w:tcPr>
          <w:p>
            <w:pPr>
              <w:spacing w:after="0"/>
              <w:rPr>
                <w:sz w:val="1"/>
                <w:szCs w:val="1"/>
                <w:color w:val="auto"/>
              </w:rPr>
            </w:pPr>
          </w:p>
        </w:tc>
      </w:tr>
      <w:tr>
        <w:trPr>
          <w:trHeight w:val="219"/>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Equipment financing</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3,405</w:t>
            </w:r>
          </w:p>
        </w:tc>
        <w:tc>
          <w:tcPr>
            <w:tcW w:w="0" w:type="dxa"/>
            <w:vAlign w:val="bottom"/>
          </w:tcPr>
          <w:p>
            <w:pPr>
              <w:spacing w:after="0"/>
              <w:rPr>
                <w:sz w:val="1"/>
                <w:szCs w:val="1"/>
                <w:color w:val="auto"/>
              </w:rPr>
            </w:pPr>
          </w:p>
        </w:tc>
      </w:tr>
      <w:tr>
        <w:trPr>
          <w:trHeight w:val="207"/>
        </w:trPr>
        <w:tc>
          <w:tcPr>
            <w:tcW w:w="3940" w:type="dxa"/>
            <w:vAlign w:val="bottom"/>
            <w:gridSpan w:val="2"/>
          </w:tcPr>
          <w:p>
            <w:pPr>
              <w:ind w:left="140"/>
              <w:spacing w:after="0"/>
              <w:rPr>
                <w:sz w:val="20"/>
                <w:szCs w:val="20"/>
                <w:color w:val="auto"/>
              </w:rPr>
            </w:pPr>
            <w:r>
              <w:rPr>
                <w:rFonts w:ascii="Arial" w:cs="Arial" w:eastAsia="Arial" w:hAnsi="Arial"/>
                <w:sz w:val="16"/>
                <w:szCs w:val="16"/>
                <w:color w:val="auto"/>
              </w:rPr>
              <w:t>Total commercial</w:t>
            </w: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24,273</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6,518</w:t>
            </w: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30,791</w:t>
            </w: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20,121</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25,394</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45,515</w:t>
            </w:r>
          </w:p>
        </w:tc>
        <w:tc>
          <w:tcPr>
            <w:tcW w:w="0" w:type="dxa"/>
            <w:vAlign w:val="bottom"/>
          </w:tcPr>
          <w:p>
            <w:pPr>
              <w:spacing w:after="0"/>
              <w:rPr>
                <w:sz w:val="1"/>
                <w:szCs w:val="1"/>
                <w:color w:val="auto"/>
              </w:rPr>
            </w:pPr>
          </w:p>
        </w:tc>
      </w:tr>
      <w:tr>
        <w:trPr>
          <w:trHeight w:val="219"/>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Residential mortgage</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10,206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13,485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12,858</w:t>
            </w:r>
          </w:p>
        </w:tc>
        <w:tc>
          <w:tcPr>
            <w:tcW w:w="0" w:type="dxa"/>
            <w:vAlign w:val="bottom"/>
          </w:tcPr>
          <w:p>
            <w:pPr>
              <w:spacing w:after="0"/>
              <w:rPr>
                <w:sz w:val="1"/>
                <w:szCs w:val="1"/>
                <w:color w:val="auto"/>
              </w:rPr>
            </w:pPr>
          </w:p>
        </w:tc>
      </w:tr>
      <w:tr>
        <w:trPr>
          <w:trHeight w:val="213"/>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HELOC</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1,316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1,433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1,329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1,158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2,487</w:t>
            </w:r>
          </w:p>
        </w:tc>
        <w:tc>
          <w:tcPr>
            <w:tcW w:w="0" w:type="dxa"/>
            <w:vAlign w:val="bottom"/>
          </w:tcPr>
          <w:p>
            <w:pPr>
              <w:spacing w:after="0"/>
              <w:rPr>
                <w:sz w:val="1"/>
                <w:szCs w:val="1"/>
                <w:color w:val="auto"/>
              </w:rPr>
            </w:pPr>
          </w:p>
        </w:tc>
      </w:tr>
      <w:tr>
        <w:trPr>
          <w:trHeight w:val="219"/>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Residential construction</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w:t>
            </w:r>
          </w:p>
        </w:tc>
        <w:tc>
          <w:tcPr>
            <w:tcW w:w="0" w:type="dxa"/>
            <w:vAlign w:val="bottom"/>
          </w:tcPr>
          <w:p>
            <w:pPr>
              <w:spacing w:after="0"/>
              <w:rPr>
                <w:sz w:val="1"/>
                <w:szCs w:val="1"/>
                <w:color w:val="auto"/>
              </w:rPr>
            </w:pPr>
          </w:p>
        </w:tc>
      </w:tr>
      <w:tr>
        <w:trPr>
          <w:trHeight w:val="213"/>
        </w:trPr>
        <w:tc>
          <w:tcPr>
            <w:tcW w:w="39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Consumer</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32"/>
        </w:trPr>
        <w:tc>
          <w:tcPr>
            <w:tcW w:w="39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27,670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18,453</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46,123</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23,760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37,839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61,599</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Ratings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United categorizes commercial loans, with the exception of equipment financing receivables, into risk categories based on relevant information about the ability of borrowers to service their debt such as: current financial information, historical payment experience, public information, and current industry and economic trends, among other factors. United analyzes loans individually by classifying the loans as to credit risk. This analysis is performed on a continual basis. United uses the following definitions for its risk ratings: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Pass. </w:t>
      </w:r>
      <w:r>
        <w:rPr>
          <w:rFonts w:ascii="Arial" w:cs="Arial" w:eastAsia="Arial" w:hAnsi="Arial"/>
          <w:sz w:val="18"/>
          <w:szCs w:val="18"/>
          <w:color w:val="auto"/>
        </w:rPr>
        <w:t>Loans in this category are considered to have a low probability of default and do not meet the criteria of the risk categories below.</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Special Mention. </w:t>
      </w:r>
      <w:r>
        <w:rPr>
          <w:rFonts w:ascii="Arial" w:cs="Arial" w:eastAsia="Arial" w:hAnsi="Arial"/>
          <w:sz w:val="18"/>
          <w:szCs w:val="18"/>
          <w:color w:val="auto"/>
        </w:rPr>
        <w:t>Loans in this category are presently protected from apparent loss; however, weaknesses exist that could cause future impairment,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the deterioration of financial ratios, past due status and questionable management capabilities. These loans require more than the ordinary amount of supervision. Collateral values generally afford adequate coverage, but may not be immediately marketable.</w:t>
      </w:r>
    </w:p>
    <w:p>
      <w:pPr>
        <w:spacing w:after="0" w:line="20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Substandard. </w:t>
      </w:r>
      <w:r>
        <w:rPr>
          <w:rFonts w:ascii="Arial" w:cs="Arial" w:eastAsia="Arial" w:hAnsi="Arial"/>
          <w:sz w:val="18"/>
          <w:szCs w:val="18"/>
          <w:color w:val="auto"/>
        </w:rPr>
        <w:t>These loans are inadequately protected by the current net worth and paying capacity of the obligor or by the collateral pledged. Specific and</w:t>
      </w:r>
      <w:r>
        <w:rPr>
          <w:rFonts w:ascii="Arial" w:cs="Arial" w:eastAsia="Arial" w:hAnsi="Arial"/>
          <w:sz w:val="18"/>
          <w:szCs w:val="18"/>
          <w:b w:val="1"/>
          <w:bCs w:val="1"/>
          <w:color w:val="auto"/>
        </w:rPr>
        <w:t xml:space="preserve"> </w:t>
      </w:r>
      <w:r>
        <w:rPr>
          <w:rFonts w:ascii="Arial" w:cs="Arial" w:eastAsia="Arial" w:hAnsi="Arial"/>
          <w:sz w:val="18"/>
          <w:szCs w:val="18"/>
          <w:color w:val="auto"/>
        </w:rPr>
        <w:t>well-defined weaknesses exist that may include poor liquidity and deterioration of financial ratios. The loan may be past due and related deposit accounts experiencing overdrafts. There is the distinct possibility that United will sustain some loss if deficiencies are not corrected. If possible, immediate corrective action is taken.</w:t>
      </w:r>
    </w:p>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Doubtful. </w:t>
      </w:r>
      <w:r>
        <w:rPr>
          <w:rFonts w:ascii="Arial" w:cs="Arial" w:eastAsia="Arial" w:hAnsi="Arial"/>
          <w:sz w:val="18"/>
          <w:szCs w:val="18"/>
          <w:color w:val="auto"/>
        </w:rPr>
        <w:t>Specific weaknesses characterized as Substandard that are severe enough to make collection in full highly questionable and improbable. There is</w:t>
      </w:r>
      <w:r>
        <w:rPr>
          <w:rFonts w:ascii="Arial" w:cs="Arial" w:eastAsia="Arial" w:hAnsi="Arial"/>
          <w:sz w:val="18"/>
          <w:szCs w:val="18"/>
          <w:b w:val="1"/>
          <w:bCs w:val="1"/>
          <w:color w:val="auto"/>
        </w:rPr>
        <w:t xml:space="preserve"> </w:t>
      </w:r>
      <w:r>
        <w:rPr>
          <w:rFonts w:ascii="Arial" w:cs="Arial" w:eastAsia="Arial" w:hAnsi="Arial"/>
          <w:sz w:val="18"/>
          <w:szCs w:val="18"/>
          <w:color w:val="auto"/>
        </w:rPr>
        <w:t>no reliable secondary source of full repayment.</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Loss. </w:t>
      </w:r>
      <w:r>
        <w:rPr>
          <w:rFonts w:ascii="Arial" w:cs="Arial" w:eastAsia="Arial" w:hAnsi="Arial"/>
          <w:sz w:val="16"/>
          <w:szCs w:val="16"/>
          <w:color w:val="auto"/>
        </w:rPr>
        <w:t>Loans categorized as Loss have the same characteristics as Doubtful; however, probability of loss is certain. Loans classified as Loss are charged off.</w:t>
      </w:r>
    </w:p>
    <w:p>
      <w:pPr>
        <w:spacing w:after="0" w:line="2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Equipment Financing Receivables and Consumer Purpose Loans. </w:t>
      </w:r>
      <w:r>
        <w:rPr>
          <w:rFonts w:ascii="Arial" w:cs="Arial" w:eastAsia="Arial" w:hAnsi="Arial"/>
          <w:sz w:val="18"/>
          <w:szCs w:val="18"/>
          <w:color w:val="auto"/>
        </w:rPr>
        <w:t>United applies a pass / fail grading system to all equipment financing receivables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consumer purpose loans. Under this system, loans that are on nonaccrual status, become past due 90 days, or are in bankruptcy are classified as “fail” and all other loans are classified as “pass”. For reporting purposes, loans in these categories that are classified as “fail” are reported as substandard and all other loans are reported as pass.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Based on the most recent analysis performed, the amortized cost of loans by risk category by vintage year as of the date indicated is as follows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59"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20" w:type="dxa"/>
            <w:vAlign w:val="bottom"/>
            <w:gridSpan w:val="7"/>
            <w:vMerge w:val="restart"/>
          </w:tcPr>
          <w:p>
            <w:pPr>
              <w:spacing w:after="0"/>
              <w:rPr>
                <w:sz w:val="20"/>
                <w:szCs w:val="20"/>
                <w:color w:val="auto"/>
              </w:rPr>
            </w:pPr>
            <w:r>
              <w:rPr>
                <w:rFonts w:ascii="Arial" w:cs="Arial" w:eastAsia="Arial" w:hAnsi="Arial"/>
                <w:sz w:val="14"/>
                <w:szCs w:val="14"/>
                <w:b w:val="1"/>
                <w:bCs w:val="1"/>
                <w:color w:val="auto"/>
                <w:w w:val="94"/>
              </w:rPr>
              <w:t>Term Loans by Origination Year</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Revolvers</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20" w:type="dxa"/>
            <w:vAlign w:val="bottom"/>
            <w:tcBorders>
              <w:bottom w:val="single" w:sz="8" w:color="auto"/>
            </w:tcBorders>
            <w:gridSpan w:val="7"/>
            <w:vMerge w:val="continue"/>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gridSpan w:val="3"/>
          </w:tcPr>
          <w:p>
            <w:pPr>
              <w:jc w:val="center"/>
              <w:ind w:right="120"/>
              <w:spacing w:after="0" w:line="102" w:lineRule="exact"/>
              <w:rPr>
                <w:sz w:val="20"/>
                <w:szCs w:val="20"/>
                <w:color w:val="auto"/>
              </w:rPr>
            </w:pPr>
            <w:r>
              <w:rPr>
                <w:rFonts w:ascii="Arial" w:cs="Arial" w:eastAsia="Arial" w:hAnsi="Arial"/>
                <w:sz w:val="11"/>
                <w:szCs w:val="11"/>
                <w:b w:val="1"/>
                <w:bCs w:val="1"/>
                <w:color w:val="auto"/>
              </w:rPr>
              <w:t>converted to</w:t>
            </w: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2220" w:type="dxa"/>
            <w:vAlign w:val="bottom"/>
            <w:gridSpan w:val="2"/>
          </w:tcPr>
          <w:p>
            <w:pPr>
              <w:ind w:left="20"/>
              <w:spacing w:after="0"/>
              <w:rPr>
                <w:sz w:val="20"/>
                <w:szCs w:val="20"/>
                <w:color w:val="auto"/>
              </w:rPr>
            </w:pPr>
            <w:r>
              <w:rPr>
                <w:rFonts w:ascii="Arial" w:cs="Arial" w:eastAsia="Arial" w:hAnsi="Arial"/>
                <w:sz w:val="14"/>
                <w:szCs w:val="14"/>
                <w:b w:val="1"/>
                <w:bCs w:val="1"/>
                <w:color w:val="auto"/>
              </w:rPr>
              <w:t>As of June 30, 2021</w:t>
            </w:r>
          </w:p>
        </w:tc>
        <w:tc>
          <w:tcPr>
            <w:tcW w:w="160" w:type="dxa"/>
            <w:vAlign w:val="bottom"/>
          </w:tcPr>
          <w:p>
            <w:pPr>
              <w:spacing w:after="0"/>
              <w:rPr>
                <w:sz w:val="17"/>
                <w:szCs w:val="17"/>
                <w:color w:val="auto"/>
              </w:rPr>
            </w:pPr>
          </w:p>
        </w:tc>
        <w:tc>
          <w:tcPr>
            <w:tcW w:w="700" w:type="dxa"/>
            <w:vAlign w:val="bottom"/>
          </w:tcPr>
          <w:p>
            <w:pPr>
              <w:jc w:val="right"/>
              <w:ind w:right="20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ind w:right="20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ind w:right="20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ind w:right="20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ind w:right="20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ind w:left="100"/>
              <w:spacing w:after="0"/>
              <w:rPr>
                <w:sz w:val="20"/>
                <w:szCs w:val="20"/>
                <w:color w:val="auto"/>
              </w:rPr>
            </w:pPr>
            <w:r>
              <w:rPr>
                <w:rFonts w:ascii="Arial" w:cs="Arial" w:eastAsia="Arial" w:hAnsi="Arial"/>
                <w:sz w:val="14"/>
                <w:szCs w:val="14"/>
                <w:b w:val="1"/>
                <w:bCs w:val="1"/>
                <w:color w:val="auto"/>
              </w:rPr>
              <w:t>Prior</w:t>
            </w:r>
          </w:p>
        </w:tc>
        <w:tc>
          <w:tcPr>
            <w:tcW w:w="100" w:type="dxa"/>
            <w:vAlign w:val="bottom"/>
          </w:tcPr>
          <w:p>
            <w:pPr>
              <w:spacing w:after="0"/>
              <w:rPr>
                <w:sz w:val="17"/>
                <w:szCs w:val="17"/>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Revolvers</w:t>
            </w:r>
          </w:p>
        </w:tc>
        <w:tc>
          <w:tcPr>
            <w:tcW w:w="100" w:type="dxa"/>
            <w:vAlign w:val="bottom"/>
          </w:tcPr>
          <w:p>
            <w:pPr>
              <w:spacing w:after="0"/>
              <w:rPr>
                <w:sz w:val="17"/>
                <w:szCs w:val="17"/>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term loans</w:t>
            </w:r>
          </w:p>
        </w:tc>
        <w:tc>
          <w:tcPr>
            <w:tcW w:w="200" w:type="dxa"/>
            <w:vAlign w:val="bottom"/>
          </w:tcPr>
          <w:p>
            <w:pPr>
              <w:spacing w:after="0"/>
              <w:rPr>
                <w:sz w:val="17"/>
                <w:szCs w:val="17"/>
                <w:color w:val="auto"/>
              </w:rPr>
            </w:pPr>
          </w:p>
        </w:tc>
        <w:tc>
          <w:tcPr>
            <w:tcW w:w="820" w:type="dxa"/>
            <w:vAlign w:val="bottom"/>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21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Pass</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220" w:type="dxa"/>
            <w:vAlign w:val="bottom"/>
            <w:gridSpan w:val="2"/>
          </w:tcPr>
          <w:p>
            <w:pPr>
              <w:ind w:left="140"/>
              <w:spacing w:after="0" w:line="135" w:lineRule="exact"/>
              <w:rPr>
                <w:sz w:val="20"/>
                <w:szCs w:val="20"/>
                <w:color w:val="auto"/>
              </w:rPr>
            </w:pPr>
            <w:r>
              <w:rPr>
                <w:rFonts w:ascii="Arial" w:cs="Arial" w:eastAsia="Arial" w:hAnsi="Arial"/>
                <w:sz w:val="14"/>
                <w:szCs w:val="14"/>
                <w:color w:val="auto"/>
              </w:rPr>
              <w:t>Owner occupied commercial real</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348,878</w:t>
            </w:r>
          </w:p>
        </w:tc>
        <w:tc>
          <w:tcPr>
            <w:tcW w:w="100" w:type="dxa"/>
            <w:vAlign w:val="bottom"/>
          </w:tcPr>
          <w:p>
            <w:pPr>
              <w:spacing w:after="0"/>
              <w:rPr>
                <w:sz w:val="11"/>
                <w:szCs w:val="11"/>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692,889</w:t>
            </w:r>
          </w:p>
        </w:tc>
        <w:tc>
          <w:tcPr>
            <w:tcW w:w="2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300,165</w:t>
            </w:r>
          </w:p>
        </w:tc>
        <w:tc>
          <w:tcPr>
            <w:tcW w:w="100" w:type="dxa"/>
            <w:vAlign w:val="bottom"/>
          </w:tcPr>
          <w:p>
            <w:pPr>
              <w:spacing w:after="0"/>
              <w:rPr>
                <w:sz w:val="11"/>
                <w:szCs w:val="11"/>
                <w:color w:val="auto"/>
              </w:rPr>
            </w:pPr>
          </w:p>
        </w:tc>
        <w:tc>
          <w:tcPr>
            <w:tcW w:w="160" w:type="dxa"/>
            <w:vAlign w:val="bottom"/>
            <w:vMerge w:val="restart"/>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173,797</w:t>
            </w:r>
          </w:p>
        </w:tc>
        <w:tc>
          <w:tcPr>
            <w:tcW w:w="100" w:type="dxa"/>
            <w:vAlign w:val="bottom"/>
          </w:tcPr>
          <w:p>
            <w:pPr>
              <w:spacing w:after="0"/>
              <w:rPr>
                <w:sz w:val="11"/>
                <w:szCs w:val="11"/>
                <w:color w:val="auto"/>
              </w:rPr>
            </w:pPr>
          </w:p>
        </w:tc>
        <w:tc>
          <w:tcPr>
            <w:tcW w:w="180" w:type="dxa"/>
            <w:vAlign w:val="bottom"/>
            <w:vMerge w:val="restart"/>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163,854</w:t>
            </w:r>
          </w:p>
        </w:tc>
        <w:tc>
          <w:tcPr>
            <w:tcW w:w="100" w:type="dxa"/>
            <w:vAlign w:val="bottom"/>
          </w:tcPr>
          <w:p>
            <w:pPr>
              <w:spacing w:after="0"/>
              <w:rPr>
                <w:sz w:val="11"/>
                <w:szCs w:val="11"/>
                <w:color w:val="auto"/>
              </w:rPr>
            </w:pPr>
          </w:p>
        </w:tc>
        <w:tc>
          <w:tcPr>
            <w:tcW w:w="160" w:type="dxa"/>
            <w:vAlign w:val="bottom"/>
            <w:vMerge w:val="restart"/>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309,564</w:t>
            </w:r>
          </w:p>
        </w:tc>
        <w:tc>
          <w:tcPr>
            <w:tcW w:w="1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48,247</w:t>
            </w:r>
          </w:p>
        </w:tc>
        <w:tc>
          <w:tcPr>
            <w:tcW w:w="1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10,973</w:t>
            </w:r>
          </w:p>
        </w:tc>
        <w:tc>
          <w:tcPr>
            <w:tcW w:w="100" w:type="dxa"/>
            <w:vAlign w:val="bottom"/>
          </w:tcPr>
          <w:p>
            <w:pPr>
              <w:spacing w:after="0"/>
              <w:rPr>
                <w:sz w:val="11"/>
                <w:szCs w:val="11"/>
                <w:color w:val="auto"/>
              </w:rPr>
            </w:pPr>
          </w:p>
        </w:tc>
        <w:tc>
          <w:tcPr>
            <w:tcW w:w="200" w:type="dxa"/>
            <w:vAlign w:val="bottom"/>
            <w:vMerge w:val="restart"/>
          </w:tcPr>
          <w:p>
            <w:pPr>
              <w:jc w:val="right"/>
              <w:ind w:right="48"/>
              <w:spacing w:after="0"/>
              <w:rPr>
                <w:sz w:val="20"/>
                <w:szCs w:val="20"/>
                <w:color w:val="auto"/>
              </w:rPr>
            </w:pPr>
            <w:r>
              <w:rPr>
                <w:rFonts w:ascii="Arial" w:cs="Arial" w:eastAsia="Arial" w:hAnsi="Arial"/>
                <w:sz w:val="14"/>
                <w:szCs w:val="14"/>
                <w:color w:val="auto"/>
                <w:w w:val="76"/>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2,048,367</w:t>
            </w:r>
          </w:p>
        </w:tc>
        <w:tc>
          <w:tcPr>
            <w:tcW w:w="0" w:type="dxa"/>
            <w:vAlign w:val="bottom"/>
          </w:tcPr>
          <w:p>
            <w:pPr>
              <w:spacing w:after="0"/>
              <w:rPr>
                <w:sz w:val="1"/>
                <w:szCs w:val="1"/>
                <w:color w:val="auto"/>
              </w:rPr>
            </w:pPr>
          </w:p>
        </w:tc>
      </w:tr>
      <w:tr>
        <w:trPr>
          <w:trHeight w:val="186"/>
        </w:trPr>
        <w:tc>
          <w:tcPr>
            <w:tcW w:w="2220" w:type="dxa"/>
            <w:vAlign w:val="bottom"/>
            <w:gridSpan w:val="2"/>
          </w:tcPr>
          <w:p>
            <w:pPr>
              <w:ind w:left="140"/>
              <w:spacing w:after="0"/>
              <w:rPr>
                <w:sz w:val="20"/>
                <w:szCs w:val="20"/>
                <w:color w:val="auto"/>
              </w:rPr>
            </w:pPr>
            <w:r>
              <w:rPr>
                <w:rFonts w:ascii="Arial" w:cs="Arial" w:eastAsia="Arial" w:hAnsi="Arial"/>
                <w:sz w:val="14"/>
                <w:szCs w:val="14"/>
                <w:color w:val="auto"/>
              </w:rPr>
              <w:t>estate</w:t>
            </w:r>
          </w:p>
        </w:tc>
        <w:tc>
          <w:tcPr>
            <w:tcW w:w="1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220" w:type="dxa"/>
            <w:vAlign w:val="bottom"/>
            <w:gridSpan w:val="2"/>
            <w:shd w:val="clear" w:color="auto" w:fill="CCEEFF"/>
          </w:tcPr>
          <w:p>
            <w:pPr>
              <w:ind w:left="140"/>
              <w:spacing w:after="0" w:line="139" w:lineRule="exact"/>
              <w:rPr>
                <w:sz w:val="20"/>
                <w:szCs w:val="20"/>
                <w:color w:val="auto"/>
              </w:rPr>
            </w:pPr>
            <w:r>
              <w:rPr>
                <w:rFonts w:ascii="Arial" w:cs="Arial" w:eastAsia="Arial" w:hAnsi="Arial"/>
                <w:sz w:val="14"/>
                <w:szCs w:val="14"/>
                <w:color w:val="auto"/>
              </w:rPr>
              <w:t>Income producing commercial</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349,737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772,304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338,003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272,816</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214,741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273,090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33,109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12,088</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2,265,888</w:t>
            </w:r>
          </w:p>
        </w:tc>
        <w:tc>
          <w:tcPr>
            <w:tcW w:w="0" w:type="dxa"/>
            <w:vAlign w:val="bottom"/>
          </w:tcPr>
          <w:p>
            <w:pPr>
              <w:spacing w:after="0"/>
              <w:rPr>
                <w:sz w:val="1"/>
                <w:szCs w:val="1"/>
                <w:color w:val="auto"/>
              </w:rPr>
            </w:pPr>
          </w:p>
        </w:tc>
      </w:tr>
      <w:tr>
        <w:trPr>
          <w:trHeight w:val="189"/>
        </w:trPr>
        <w:tc>
          <w:tcPr>
            <w:tcW w:w="2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real estate</w:t>
            </w: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20" w:type="dxa"/>
            <w:vAlign w:val="bottom"/>
            <w:gridSpan w:val="2"/>
          </w:tcPr>
          <w:p>
            <w:pPr>
              <w:ind w:left="140"/>
              <w:spacing w:after="0"/>
              <w:rPr>
                <w:sz w:val="20"/>
                <w:szCs w:val="20"/>
                <w:color w:val="auto"/>
              </w:rPr>
            </w:pPr>
            <w:r>
              <w:rPr>
                <w:rFonts w:ascii="Arial" w:cs="Arial" w:eastAsia="Arial" w:hAnsi="Arial"/>
                <w:sz w:val="14"/>
                <w:szCs w:val="14"/>
                <w:color w:val="auto"/>
              </w:rPr>
              <w:t>Commercial &amp; industrial</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684,472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426,442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195,329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173,366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62,870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103,609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490,906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3,737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2,140,731</w:t>
            </w:r>
          </w:p>
        </w:tc>
        <w:tc>
          <w:tcPr>
            <w:tcW w:w="0" w:type="dxa"/>
            <w:vAlign w:val="bottom"/>
          </w:tcPr>
          <w:p>
            <w:pPr>
              <w:spacing w:after="0"/>
              <w:rPr>
                <w:sz w:val="1"/>
                <w:szCs w:val="1"/>
                <w:color w:val="auto"/>
              </w:rPr>
            </w:pPr>
          </w:p>
        </w:tc>
      </w:tr>
      <w:tr>
        <w:trPr>
          <w:trHeight w:val="192"/>
        </w:trPr>
        <w:tc>
          <w:tcPr>
            <w:tcW w:w="2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Commercial construction</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175,452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300,989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167,938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124,411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28,142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12,596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8,054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819,612</w:t>
            </w:r>
          </w:p>
        </w:tc>
        <w:tc>
          <w:tcPr>
            <w:tcW w:w="0" w:type="dxa"/>
            <w:vAlign w:val="bottom"/>
          </w:tcPr>
          <w:p>
            <w:pPr>
              <w:spacing w:after="0"/>
              <w:rPr>
                <w:sz w:val="1"/>
                <w:szCs w:val="1"/>
                <w:color w:val="auto"/>
              </w:rPr>
            </w:pPr>
          </w:p>
        </w:tc>
      </w:tr>
      <w:tr>
        <w:trPr>
          <w:trHeight w:val="186"/>
        </w:trPr>
        <w:tc>
          <w:tcPr>
            <w:tcW w:w="2220" w:type="dxa"/>
            <w:vAlign w:val="bottom"/>
            <w:gridSpan w:val="2"/>
          </w:tcPr>
          <w:p>
            <w:pPr>
              <w:ind w:left="140"/>
              <w:spacing w:after="0"/>
              <w:rPr>
                <w:sz w:val="20"/>
                <w:szCs w:val="20"/>
                <w:color w:val="auto"/>
              </w:rPr>
            </w:pPr>
            <w:r>
              <w:rPr>
                <w:rFonts w:ascii="Arial" w:cs="Arial" w:eastAsia="Arial" w:hAnsi="Arial"/>
                <w:sz w:val="14"/>
                <w:szCs w:val="14"/>
                <w:color w:val="auto"/>
              </w:rPr>
              <w:t>Equipment financing</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293,882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331,475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220,386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92,083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25,113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3,634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966,573</w:t>
            </w:r>
          </w:p>
        </w:tc>
        <w:tc>
          <w:tcPr>
            <w:tcW w:w="0" w:type="dxa"/>
            <w:vAlign w:val="bottom"/>
          </w:tcPr>
          <w:p>
            <w:pPr>
              <w:spacing w:after="0"/>
              <w:rPr>
                <w:sz w:val="1"/>
                <w:szCs w:val="1"/>
                <w:color w:val="auto"/>
              </w:rPr>
            </w:pPr>
          </w:p>
        </w:tc>
      </w:tr>
      <w:tr>
        <w:trPr>
          <w:trHeight w:val="186"/>
        </w:trPr>
        <w:tc>
          <w:tcPr>
            <w:tcW w:w="2220" w:type="dxa"/>
            <w:vAlign w:val="bottom"/>
            <w:tcBorders>
              <w:top w:val="single" w:sz="8" w:color="CCEEFF"/>
            </w:tcBorders>
            <w:gridSpan w:val="2"/>
            <w:shd w:val="clear" w:color="auto" w:fill="CCEEFF"/>
          </w:tcPr>
          <w:p>
            <w:pPr>
              <w:ind w:left="240"/>
              <w:spacing w:after="0"/>
              <w:rPr>
                <w:sz w:val="20"/>
                <w:szCs w:val="20"/>
                <w:color w:val="auto"/>
              </w:rPr>
            </w:pPr>
            <w:r>
              <w:rPr>
                <w:rFonts w:ascii="Arial" w:cs="Arial" w:eastAsia="Arial" w:hAnsi="Arial"/>
                <w:sz w:val="14"/>
                <w:szCs w:val="14"/>
                <w:color w:val="auto"/>
              </w:rPr>
              <w:t>Total commercial</w:t>
            </w: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1,852,421</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2,524,099</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1,221,821</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836,473</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494,720</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702,493</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580,316</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28,828</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8,241,171</w:t>
            </w:r>
          </w:p>
        </w:tc>
        <w:tc>
          <w:tcPr>
            <w:tcW w:w="0" w:type="dxa"/>
            <w:vAlign w:val="bottom"/>
          </w:tcPr>
          <w:p>
            <w:pPr>
              <w:spacing w:after="0"/>
              <w:rPr>
                <w:sz w:val="1"/>
                <w:szCs w:val="1"/>
                <w:color w:val="auto"/>
              </w:rPr>
            </w:pPr>
          </w:p>
        </w:tc>
      </w:tr>
      <w:tr>
        <w:trPr>
          <w:trHeight w:val="186"/>
        </w:trPr>
        <w:tc>
          <w:tcPr>
            <w:tcW w:w="2220" w:type="dxa"/>
            <w:vAlign w:val="bottom"/>
            <w:gridSpan w:val="2"/>
          </w:tcPr>
          <w:p>
            <w:pPr>
              <w:ind w:left="140"/>
              <w:spacing w:after="0"/>
              <w:rPr>
                <w:sz w:val="20"/>
                <w:szCs w:val="20"/>
                <w:color w:val="auto"/>
              </w:rPr>
            </w:pPr>
            <w:r>
              <w:rPr>
                <w:rFonts w:ascii="Arial" w:cs="Arial" w:eastAsia="Arial" w:hAnsi="Arial"/>
                <w:sz w:val="14"/>
                <w:szCs w:val="14"/>
                <w:color w:val="auto"/>
              </w:rPr>
              <w:t>Residential mortgage</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448,846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416,688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136,631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91,877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88,511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268,040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4,883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1,455,490</w:t>
            </w:r>
          </w:p>
        </w:tc>
        <w:tc>
          <w:tcPr>
            <w:tcW w:w="0" w:type="dxa"/>
            <w:vAlign w:val="bottom"/>
          </w:tcPr>
          <w:p>
            <w:pPr>
              <w:spacing w:after="0"/>
              <w:rPr>
                <w:sz w:val="1"/>
                <w:szCs w:val="1"/>
                <w:color w:val="auto"/>
              </w:rPr>
            </w:pPr>
          </w:p>
        </w:tc>
      </w:tr>
      <w:tr>
        <w:trPr>
          <w:trHeight w:val="192"/>
        </w:trPr>
        <w:tc>
          <w:tcPr>
            <w:tcW w:w="2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HELOC</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643,249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15,303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658,552</w:t>
            </w:r>
          </w:p>
        </w:tc>
        <w:tc>
          <w:tcPr>
            <w:tcW w:w="0" w:type="dxa"/>
            <w:vAlign w:val="bottom"/>
          </w:tcPr>
          <w:p>
            <w:pPr>
              <w:spacing w:after="0"/>
              <w:rPr>
                <w:sz w:val="1"/>
                <w:szCs w:val="1"/>
                <w:color w:val="auto"/>
              </w:rPr>
            </w:pPr>
          </w:p>
        </w:tc>
      </w:tr>
      <w:tr>
        <w:trPr>
          <w:trHeight w:val="186"/>
        </w:trPr>
        <w:tc>
          <w:tcPr>
            <w:tcW w:w="2220" w:type="dxa"/>
            <w:vAlign w:val="bottom"/>
            <w:gridSpan w:val="2"/>
          </w:tcPr>
          <w:p>
            <w:pPr>
              <w:ind w:left="140"/>
              <w:spacing w:after="0"/>
              <w:rPr>
                <w:sz w:val="20"/>
                <w:szCs w:val="20"/>
                <w:color w:val="auto"/>
              </w:rPr>
            </w:pPr>
            <w:r>
              <w:rPr>
                <w:rFonts w:ascii="Arial" w:cs="Arial" w:eastAsia="Arial" w:hAnsi="Arial"/>
                <w:sz w:val="14"/>
                <w:szCs w:val="14"/>
                <w:color w:val="auto"/>
              </w:rPr>
              <w:t>Residential construction</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135,105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128,013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5,196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3,724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3,776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12,244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288,167</w:t>
            </w:r>
          </w:p>
        </w:tc>
        <w:tc>
          <w:tcPr>
            <w:tcW w:w="0" w:type="dxa"/>
            <w:vAlign w:val="bottom"/>
          </w:tcPr>
          <w:p>
            <w:pPr>
              <w:spacing w:after="0"/>
              <w:rPr>
                <w:sz w:val="1"/>
                <w:szCs w:val="1"/>
                <w:color w:val="auto"/>
              </w:rPr>
            </w:pPr>
          </w:p>
        </w:tc>
      </w:tr>
      <w:tr>
        <w:trPr>
          <w:trHeight w:val="189"/>
        </w:trPr>
        <w:tc>
          <w:tcPr>
            <w:tcW w:w="2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Consumer</w:t>
            </w:r>
          </w:p>
        </w:tc>
        <w:tc>
          <w:tcPr>
            <w:tcW w:w="1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33,625</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37,841</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16,905</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8,636</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2,515</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2,633</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36,126</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138,413</w:t>
            </w:r>
          </w:p>
        </w:tc>
        <w:tc>
          <w:tcPr>
            <w:tcW w:w="0" w:type="dxa"/>
            <w:vAlign w:val="bottom"/>
          </w:tcPr>
          <w:p>
            <w:pPr>
              <w:spacing w:after="0"/>
              <w:rPr>
                <w:sz w:val="1"/>
                <w:szCs w:val="1"/>
                <w:color w:val="auto"/>
              </w:rPr>
            </w:pPr>
          </w:p>
        </w:tc>
      </w:tr>
      <w:tr>
        <w:trPr>
          <w:trHeight w:val="183"/>
        </w:trPr>
        <w:tc>
          <w:tcPr>
            <w:tcW w:w="2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2,469,997</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3,106,641</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1,380,553</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940,710</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589,522</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985,410</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1,259,761</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49,199</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10,781,793</w:t>
            </w:r>
          </w:p>
        </w:tc>
        <w:tc>
          <w:tcPr>
            <w:tcW w:w="0" w:type="dxa"/>
            <w:vAlign w:val="bottom"/>
          </w:tcPr>
          <w:p>
            <w:pPr>
              <w:spacing w:after="0"/>
              <w:rPr>
                <w:sz w:val="1"/>
                <w:szCs w:val="1"/>
                <w:color w:val="auto"/>
              </w:rPr>
            </w:pPr>
          </w:p>
        </w:tc>
      </w:tr>
      <w:tr>
        <w:trPr>
          <w:trHeight w:val="172"/>
        </w:trPr>
        <w:tc>
          <w:tcPr>
            <w:tcW w:w="22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Special Mention</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220" w:type="dxa"/>
            <w:vAlign w:val="bottom"/>
            <w:gridSpan w:val="2"/>
          </w:tcPr>
          <w:p>
            <w:pPr>
              <w:ind w:left="140"/>
              <w:spacing w:after="0" w:line="135" w:lineRule="exact"/>
              <w:rPr>
                <w:sz w:val="20"/>
                <w:szCs w:val="20"/>
                <w:color w:val="auto"/>
              </w:rPr>
            </w:pPr>
            <w:r>
              <w:rPr>
                <w:rFonts w:ascii="Arial" w:cs="Arial" w:eastAsia="Arial" w:hAnsi="Arial"/>
                <w:sz w:val="14"/>
                <w:szCs w:val="14"/>
                <w:color w:val="auto"/>
              </w:rPr>
              <w:t>Owner occupied commercial real</w:t>
            </w: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10,313</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5,379</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15,503</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3,839</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4,036</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8,610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247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286</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48,213</w:t>
            </w:r>
          </w:p>
        </w:tc>
        <w:tc>
          <w:tcPr>
            <w:tcW w:w="0" w:type="dxa"/>
            <w:vAlign w:val="bottom"/>
          </w:tcPr>
          <w:p>
            <w:pPr>
              <w:spacing w:after="0"/>
              <w:rPr>
                <w:sz w:val="1"/>
                <w:szCs w:val="1"/>
                <w:color w:val="auto"/>
              </w:rPr>
            </w:pPr>
          </w:p>
        </w:tc>
      </w:tr>
      <w:tr>
        <w:trPr>
          <w:trHeight w:val="186"/>
        </w:trPr>
        <w:tc>
          <w:tcPr>
            <w:tcW w:w="2220" w:type="dxa"/>
            <w:vAlign w:val="bottom"/>
            <w:gridSpan w:val="2"/>
          </w:tcPr>
          <w:p>
            <w:pPr>
              <w:ind w:left="140"/>
              <w:spacing w:after="0"/>
              <w:rPr>
                <w:sz w:val="20"/>
                <w:szCs w:val="20"/>
                <w:color w:val="auto"/>
              </w:rPr>
            </w:pPr>
            <w:r>
              <w:rPr>
                <w:rFonts w:ascii="Arial" w:cs="Arial" w:eastAsia="Arial" w:hAnsi="Arial"/>
                <w:sz w:val="14"/>
                <w:szCs w:val="14"/>
                <w:color w:val="auto"/>
              </w:rPr>
              <w:t>estate</w:t>
            </w: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220" w:type="dxa"/>
            <w:vAlign w:val="bottom"/>
            <w:gridSpan w:val="2"/>
            <w:shd w:val="clear" w:color="auto" w:fill="CCEEFF"/>
          </w:tcPr>
          <w:p>
            <w:pPr>
              <w:ind w:left="140"/>
              <w:spacing w:after="0" w:line="139" w:lineRule="exact"/>
              <w:rPr>
                <w:sz w:val="20"/>
                <w:szCs w:val="20"/>
                <w:color w:val="auto"/>
              </w:rPr>
            </w:pPr>
            <w:r>
              <w:rPr>
                <w:rFonts w:ascii="Arial" w:cs="Arial" w:eastAsia="Arial" w:hAnsi="Arial"/>
                <w:sz w:val="14"/>
                <w:szCs w:val="14"/>
                <w:color w:val="auto"/>
              </w:rPr>
              <w:t>Income producing commercial</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12,003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28,577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45,452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37,606</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19,349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29,947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172,934</w:t>
            </w:r>
          </w:p>
        </w:tc>
        <w:tc>
          <w:tcPr>
            <w:tcW w:w="0" w:type="dxa"/>
            <w:vAlign w:val="bottom"/>
          </w:tcPr>
          <w:p>
            <w:pPr>
              <w:spacing w:after="0"/>
              <w:rPr>
                <w:sz w:val="1"/>
                <w:szCs w:val="1"/>
                <w:color w:val="auto"/>
              </w:rPr>
            </w:pPr>
          </w:p>
        </w:tc>
      </w:tr>
      <w:tr>
        <w:trPr>
          <w:trHeight w:val="189"/>
        </w:trPr>
        <w:tc>
          <w:tcPr>
            <w:tcW w:w="2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real estate</w:t>
            </w: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20" w:type="dxa"/>
            <w:vAlign w:val="bottom"/>
            <w:gridSpan w:val="2"/>
          </w:tcPr>
          <w:p>
            <w:pPr>
              <w:ind w:left="140"/>
              <w:spacing w:after="0"/>
              <w:rPr>
                <w:sz w:val="20"/>
                <w:szCs w:val="20"/>
                <w:color w:val="auto"/>
              </w:rPr>
            </w:pPr>
            <w:r>
              <w:rPr>
                <w:rFonts w:ascii="Arial" w:cs="Arial" w:eastAsia="Arial" w:hAnsi="Arial"/>
                <w:sz w:val="14"/>
                <w:szCs w:val="14"/>
                <w:color w:val="auto"/>
              </w:rPr>
              <w:t>Commercial &amp; industrial</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18,804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13,050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7,400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243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1,208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18,944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802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60,744</w:t>
            </w:r>
          </w:p>
        </w:tc>
        <w:tc>
          <w:tcPr>
            <w:tcW w:w="0" w:type="dxa"/>
            <w:vAlign w:val="bottom"/>
          </w:tcPr>
          <w:p>
            <w:pPr>
              <w:spacing w:after="0"/>
              <w:rPr>
                <w:sz w:val="1"/>
                <w:szCs w:val="1"/>
                <w:color w:val="auto"/>
              </w:rPr>
            </w:pPr>
          </w:p>
        </w:tc>
      </w:tr>
      <w:tr>
        <w:trPr>
          <w:trHeight w:val="192"/>
        </w:trPr>
        <w:tc>
          <w:tcPr>
            <w:tcW w:w="2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Commercial construction</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18,763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12,943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17,248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38,377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88,073</w:t>
            </w:r>
          </w:p>
        </w:tc>
        <w:tc>
          <w:tcPr>
            <w:tcW w:w="0" w:type="dxa"/>
            <w:vAlign w:val="bottom"/>
          </w:tcPr>
          <w:p>
            <w:pPr>
              <w:spacing w:after="0"/>
              <w:rPr>
                <w:sz w:val="1"/>
                <w:szCs w:val="1"/>
                <w:color w:val="auto"/>
              </w:rPr>
            </w:pPr>
          </w:p>
        </w:tc>
      </w:tr>
      <w:tr>
        <w:trPr>
          <w:trHeight w:val="186"/>
        </w:trPr>
        <w:tc>
          <w:tcPr>
            <w:tcW w:w="2220" w:type="dxa"/>
            <w:vAlign w:val="bottom"/>
            <w:gridSpan w:val="2"/>
          </w:tcPr>
          <w:p>
            <w:pPr>
              <w:ind w:left="140"/>
              <w:spacing w:after="0"/>
              <w:rPr>
                <w:sz w:val="20"/>
                <w:szCs w:val="20"/>
                <w:color w:val="auto"/>
              </w:rPr>
            </w:pPr>
            <w:r>
              <w:rPr>
                <w:rFonts w:ascii="Arial" w:cs="Arial" w:eastAsia="Arial" w:hAnsi="Arial"/>
                <w:sz w:val="14"/>
                <w:szCs w:val="14"/>
                <w:color w:val="auto"/>
              </w:rPr>
              <w:t>Equipment financing</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22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4"/>
                <w:szCs w:val="14"/>
                <w:color w:val="auto"/>
              </w:rPr>
              <w:t>Total commercial</w:t>
            </w: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41,799</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65,769</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81,298</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58,936</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62,970</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38,913</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19,191</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1,088</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369,964</w:t>
            </w:r>
          </w:p>
        </w:tc>
        <w:tc>
          <w:tcPr>
            <w:tcW w:w="0" w:type="dxa"/>
            <w:vAlign w:val="bottom"/>
          </w:tcPr>
          <w:p>
            <w:pPr>
              <w:spacing w:after="0"/>
              <w:rPr>
                <w:sz w:val="1"/>
                <w:szCs w:val="1"/>
                <w:color w:val="auto"/>
              </w:rPr>
            </w:pPr>
          </w:p>
        </w:tc>
      </w:tr>
      <w:tr>
        <w:trPr>
          <w:trHeight w:val="186"/>
        </w:trPr>
        <w:tc>
          <w:tcPr>
            <w:tcW w:w="2220" w:type="dxa"/>
            <w:vAlign w:val="bottom"/>
            <w:gridSpan w:val="2"/>
          </w:tcPr>
          <w:p>
            <w:pPr>
              <w:ind w:left="140"/>
              <w:spacing w:after="0"/>
              <w:rPr>
                <w:sz w:val="20"/>
                <w:szCs w:val="20"/>
                <w:color w:val="auto"/>
              </w:rPr>
            </w:pPr>
            <w:r>
              <w:rPr>
                <w:rFonts w:ascii="Arial" w:cs="Arial" w:eastAsia="Arial" w:hAnsi="Arial"/>
                <w:sz w:val="14"/>
                <w:szCs w:val="14"/>
                <w:color w:val="auto"/>
              </w:rPr>
              <w:t>Residential mortgage</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2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HELOC</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220" w:type="dxa"/>
            <w:vAlign w:val="bottom"/>
            <w:gridSpan w:val="2"/>
          </w:tcPr>
          <w:p>
            <w:pPr>
              <w:ind w:left="140"/>
              <w:spacing w:after="0"/>
              <w:rPr>
                <w:sz w:val="20"/>
                <w:szCs w:val="20"/>
                <w:color w:val="auto"/>
              </w:rPr>
            </w:pPr>
            <w:r>
              <w:rPr>
                <w:rFonts w:ascii="Arial" w:cs="Arial" w:eastAsia="Arial" w:hAnsi="Arial"/>
                <w:sz w:val="14"/>
                <w:szCs w:val="14"/>
                <w:color w:val="auto"/>
              </w:rPr>
              <w:t>Residential construction</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Consumer</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41,799</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65,769</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81,298</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58,936</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62,970</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38,913</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19,191</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1,088</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369,964</w:t>
            </w:r>
          </w:p>
        </w:tc>
        <w:tc>
          <w:tcPr>
            <w:tcW w:w="0" w:type="dxa"/>
            <w:vAlign w:val="bottom"/>
          </w:tcPr>
          <w:p>
            <w:pPr>
              <w:spacing w:after="0"/>
              <w:rPr>
                <w:sz w:val="1"/>
                <w:szCs w:val="1"/>
                <w:color w:val="auto"/>
              </w:rPr>
            </w:pPr>
          </w:p>
        </w:tc>
      </w:tr>
      <w:tr>
        <w:trPr>
          <w:trHeight w:val="172"/>
        </w:trPr>
        <w:tc>
          <w:tcPr>
            <w:tcW w:w="22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Substandard</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220" w:type="dxa"/>
            <w:vAlign w:val="bottom"/>
            <w:gridSpan w:val="2"/>
          </w:tcPr>
          <w:p>
            <w:pPr>
              <w:ind w:left="140"/>
              <w:spacing w:after="0" w:line="135" w:lineRule="exact"/>
              <w:rPr>
                <w:sz w:val="20"/>
                <w:szCs w:val="20"/>
                <w:color w:val="auto"/>
              </w:rPr>
            </w:pPr>
            <w:r>
              <w:rPr>
                <w:rFonts w:ascii="Arial" w:cs="Arial" w:eastAsia="Arial" w:hAnsi="Arial"/>
                <w:sz w:val="14"/>
                <w:szCs w:val="14"/>
                <w:color w:val="auto"/>
              </w:rPr>
              <w:t>Owner occupied commercial real</w:t>
            </w: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10,561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1,636</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11,185</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8,450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6,871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12,267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1,300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521</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52,791</w:t>
            </w:r>
          </w:p>
        </w:tc>
        <w:tc>
          <w:tcPr>
            <w:tcW w:w="0" w:type="dxa"/>
            <w:vAlign w:val="bottom"/>
          </w:tcPr>
          <w:p>
            <w:pPr>
              <w:spacing w:after="0"/>
              <w:rPr>
                <w:sz w:val="1"/>
                <w:szCs w:val="1"/>
                <w:color w:val="auto"/>
              </w:rPr>
            </w:pPr>
          </w:p>
        </w:tc>
      </w:tr>
      <w:tr>
        <w:trPr>
          <w:trHeight w:val="186"/>
        </w:trPr>
        <w:tc>
          <w:tcPr>
            <w:tcW w:w="2220" w:type="dxa"/>
            <w:vAlign w:val="bottom"/>
            <w:gridSpan w:val="2"/>
          </w:tcPr>
          <w:p>
            <w:pPr>
              <w:ind w:left="140"/>
              <w:spacing w:after="0"/>
              <w:rPr>
                <w:sz w:val="20"/>
                <w:szCs w:val="20"/>
                <w:color w:val="auto"/>
              </w:rPr>
            </w:pPr>
            <w:r>
              <w:rPr>
                <w:rFonts w:ascii="Arial" w:cs="Arial" w:eastAsia="Arial" w:hAnsi="Arial"/>
                <w:sz w:val="14"/>
                <w:szCs w:val="14"/>
                <w:color w:val="auto"/>
              </w:rPr>
              <w:t>estate</w:t>
            </w: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220" w:type="dxa"/>
            <w:vAlign w:val="bottom"/>
            <w:gridSpan w:val="2"/>
            <w:shd w:val="clear" w:color="auto" w:fill="CCEEFF"/>
          </w:tcPr>
          <w:p>
            <w:pPr>
              <w:ind w:left="140"/>
              <w:spacing w:after="0" w:line="139" w:lineRule="exact"/>
              <w:rPr>
                <w:sz w:val="20"/>
                <w:szCs w:val="20"/>
                <w:color w:val="auto"/>
              </w:rPr>
            </w:pPr>
            <w:r>
              <w:rPr>
                <w:rFonts w:ascii="Arial" w:cs="Arial" w:eastAsia="Arial" w:hAnsi="Arial"/>
                <w:sz w:val="14"/>
                <w:szCs w:val="14"/>
                <w:color w:val="auto"/>
              </w:rPr>
              <w:t>Income producing commercial</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16,656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34,733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2,681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16,799</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8,718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31,744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111,421</w:t>
            </w:r>
          </w:p>
        </w:tc>
        <w:tc>
          <w:tcPr>
            <w:tcW w:w="0" w:type="dxa"/>
            <w:vAlign w:val="bottom"/>
          </w:tcPr>
          <w:p>
            <w:pPr>
              <w:spacing w:after="0"/>
              <w:rPr>
                <w:sz w:val="1"/>
                <w:szCs w:val="1"/>
                <w:color w:val="auto"/>
              </w:rPr>
            </w:pPr>
          </w:p>
        </w:tc>
      </w:tr>
      <w:tr>
        <w:trPr>
          <w:trHeight w:val="189"/>
        </w:trPr>
        <w:tc>
          <w:tcPr>
            <w:tcW w:w="2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real estate</w:t>
            </w: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20" w:type="dxa"/>
            <w:vAlign w:val="bottom"/>
            <w:gridSpan w:val="2"/>
          </w:tcPr>
          <w:p>
            <w:pPr>
              <w:ind w:left="140"/>
              <w:spacing w:after="0"/>
              <w:rPr>
                <w:sz w:val="20"/>
                <w:szCs w:val="20"/>
                <w:color w:val="auto"/>
              </w:rPr>
            </w:pPr>
            <w:r>
              <w:rPr>
                <w:rFonts w:ascii="Arial" w:cs="Arial" w:eastAsia="Arial" w:hAnsi="Arial"/>
                <w:sz w:val="14"/>
                <w:szCs w:val="14"/>
                <w:color w:val="auto"/>
              </w:rPr>
              <w:t>Commercial &amp; industrial</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1,238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1,638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4,755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7,122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1,882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7,081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8,989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466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33,171</w:t>
            </w:r>
          </w:p>
        </w:tc>
        <w:tc>
          <w:tcPr>
            <w:tcW w:w="0" w:type="dxa"/>
            <w:vAlign w:val="bottom"/>
          </w:tcPr>
          <w:p>
            <w:pPr>
              <w:spacing w:after="0"/>
              <w:rPr>
                <w:sz w:val="1"/>
                <w:szCs w:val="1"/>
                <w:color w:val="auto"/>
              </w:rPr>
            </w:pPr>
          </w:p>
        </w:tc>
      </w:tr>
      <w:tr>
        <w:trPr>
          <w:trHeight w:val="192"/>
        </w:trPr>
        <w:tc>
          <w:tcPr>
            <w:tcW w:w="2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Commercial construction</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13,496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19,124</w:t>
            </w:r>
          </w:p>
        </w:tc>
        <w:tc>
          <w:tcPr>
            <w:tcW w:w="0" w:type="dxa"/>
            <w:vAlign w:val="bottom"/>
          </w:tcPr>
          <w:p>
            <w:pPr>
              <w:spacing w:after="0"/>
              <w:rPr>
                <w:sz w:val="1"/>
                <w:szCs w:val="1"/>
                <w:color w:val="auto"/>
              </w:rPr>
            </w:pPr>
          </w:p>
        </w:tc>
      </w:tr>
      <w:tr>
        <w:trPr>
          <w:trHeight w:val="186"/>
        </w:trPr>
        <w:tc>
          <w:tcPr>
            <w:tcW w:w="2220" w:type="dxa"/>
            <w:vAlign w:val="bottom"/>
            <w:gridSpan w:val="2"/>
          </w:tcPr>
          <w:p>
            <w:pPr>
              <w:ind w:left="140"/>
              <w:spacing w:after="0"/>
              <w:rPr>
                <w:sz w:val="20"/>
                <w:szCs w:val="20"/>
                <w:color w:val="auto"/>
              </w:rPr>
            </w:pPr>
            <w:r>
              <w:rPr>
                <w:rFonts w:ascii="Arial" w:cs="Arial" w:eastAsia="Arial" w:hAnsi="Arial"/>
                <w:sz w:val="14"/>
                <w:szCs w:val="14"/>
                <w:color w:val="auto"/>
              </w:rPr>
              <w:t>Equipment financing</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248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786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656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472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2,232</w:t>
            </w:r>
          </w:p>
        </w:tc>
        <w:tc>
          <w:tcPr>
            <w:tcW w:w="0" w:type="dxa"/>
            <w:vAlign w:val="bottom"/>
          </w:tcPr>
          <w:p>
            <w:pPr>
              <w:spacing w:after="0"/>
              <w:rPr>
                <w:sz w:val="1"/>
                <w:szCs w:val="1"/>
                <w:color w:val="auto"/>
              </w:rPr>
            </w:pPr>
          </w:p>
        </w:tc>
      </w:tr>
      <w:tr>
        <w:trPr>
          <w:trHeight w:val="186"/>
        </w:trPr>
        <w:tc>
          <w:tcPr>
            <w:tcW w:w="222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4"/>
                <w:szCs w:val="14"/>
                <w:color w:val="auto"/>
              </w:rPr>
              <w:t>Total commercial</w:t>
            </w: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29,738</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39,225</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19,989</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46,339</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17,525</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53,552</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10,289</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2,082</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218,739</w:t>
            </w:r>
          </w:p>
        </w:tc>
        <w:tc>
          <w:tcPr>
            <w:tcW w:w="0" w:type="dxa"/>
            <w:vAlign w:val="bottom"/>
          </w:tcPr>
          <w:p>
            <w:pPr>
              <w:spacing w:after="0"/>
              <w:rPr>
                <w:sz w:val="1"/>
                <w:szCs w:val="1"/>
                <w:color w:val="auto"/>
              </w:rPr>
            </w:pPr>
          </w:p>
        </w:tc>
      </w:tr>
      <w:tr>
        <w:trPr>
          <w:trHeight w:val="186"/>
        </w:trPr>
        <w:tc>
          <w:tcPr>
            <w:tcW w:w="2220" w:type="dxa"/>
            <w:vAlign w:val="bottom"/>
            <w:gridSpan w:val="2"/>
          </w:tcPr>
          <w:p>
            <w:pPr>
              <w:ind w:left="140"/>
              <w:spacing w:after="0"/>
              <w:rPr>
                <w:sz w:val="20"/>
                <w:szCs w:val="20"/>
                <w:color w:val="auto"/>
              </w:rPr>
            </w:pPr>
            <w:r>
              <w:rPr>
                <w:rFonts w:ascii="Arial" w:cs="Arial" w:eastAsia="Arial" w:hAnsi="Arial"/>
                <w:sz w:val="14"/>
                <w:szCs w:val="14"/>
                <w:color w:val="auto"/>
              </w:rPr>
              <w:t>Residential mortgage</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786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1,653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2,336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3,778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1,440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6,340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785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17,118</w:t>
            </w:r>
          </w:p>
        </w:tc>
        <w:tc>
          <w:tcPr>
            <w:tcW w:w="0" w:type="dxa"/>
            <w:vAlign w:val="bottom"/>
          </w:tcPr>
          <w:p>
            <w:pPr>
              <w:spacing w:after="0"/>
              <w:rPr>
                <w:sz w:val="1"/>
                <w:szCs w:val="1"/>
                <w:color w:val="auto"/>
              </w:rPr>
            </w:pPr>
          </w:p>
        </w:tc>
      </w:tr>
      <w:tr>
        <w:trPr>
          <w:trHeight w:val="192"/>
        </w:trPr>
        <w:tc>
          <w:tcPr>
            <w:tcW w:w="2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HELOC</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2,329</w:t>
            </w:r>
          </w:p>
        </w:tc>
        <w:tc>
          <w:tcPr>
            <w:tcW w:w="0" w:type="dxa"/>
            <w:vAlign w:val="bottom"/>
          </w:tcPr>
          <w:p>
            <w:pPr>
              <w:spacing w:after="0"/>
              <w:rPr>
                <w:sz w:val="1"/>
                <w:szCs w:val="1"/>
                <w:color w:val="auto"/>
              </w:rPr>
            </w:pPr>
          </w:p>
        </w:tc>
      </w:tr>
      <w:tr>
        <w:trPr>
          <w:trHeight w:val="186"/>
        </w:trPr>
        <w:tc>
          <w:tcPr>
            <w:tcW w:w="2220" w:type="dxa"/>
            <w:vAlign w:val="bottom"/>
            <w:gridSpan w:val="2"/>
          </w:tcPr>
          <w:p>
            <w:pPr>
              <w:ind w:left="140"/>
              <w:spacing w:after="0"/>
              <w:rPr>
                <w:sz w:val="20"/>
                <w:szCs w:val="20"/>
                <w:color w:val="auto"/>
              </w:rPr>
            </w:pPr>
            <w:r>
              <w:rPr>
                <w:rFonts w:ascii="Arial" w:cs="Arial" w:eastAsia="Arial" w:hAnsi="Arial"/>
                <w:sz w:val="14"/>
                <w:szCs w:val="14"/>
                <w:color w:val="auto"/>
              </w:rPr>
              <w:t>Residential construction</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415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541</w:t>
            </w:r>
          </w:p>
        </w:tc>
        <w:tc>
          <w:tcPr>
            <w:tcW w:w="0" w:type="dxa"/>
            <w:vAlign w:val="bottom"/>
          </w:tcPr>
          <w:p>
            <w:pPr>
              <w:spacing w:after="0"/>
              <w:rPr>
                <w:sz w:val="1"/>
                <w:szCs w:val="1"/>
                <w:color w:val="auto"/>
              </w:rPr>
            </w:pPr>
          </w:p>
        </w:tc>
      </w:tr>
      <w:tr>
        <w:trPr>
          <w:trHeight w:val="189"/>
        </w:trPr>
        <w:tc>
          <w:tcPr>
            <w:tcW w:w="2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Consumer</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w:t>
            </w:r>
          </w:p>
        </w:tc>
        <w:tc>
          <w:tcPr>
            <w:tcW w:w="0" w:type="dxa"/>
            <w:vAlign w:val="bottom"/>
          </w:tcPr>
          <w:p>
            <w:pPr>
              <w:spacing w:after="0"/>
              <w:rPr>
                <w:sz w:val="1"/>
                <w:szCs w:val="1"/>
                <w:color w:val="auto"/>
              </w:rPr>
            </w:pPr>
          </w:p>
        </w:tc>
      </w:tr>
      <w:tr>
        <w:trPr>
          <w:trHeight w:val="183"/>
        </w:trPr>
        <w:tc>
          <w:tcPr>
            <w:tcW w:w="2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30,524</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40,923</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22,400</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50,199</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19,008</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60,427</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10,357</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5,151</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238,989</w:t>
            </w:r>
          </w:p>
        </w:tc>
        <w:tc>
          <w:tcPr>
            <w:tcW w:w="0" w:type="dxa"/>
            <w:vAlign w:val="bottom"/>
          </w:tcPr>
          <w:p>
            <w:pPr>
              <w:spacing w:after="0"/>
              <w:rPr>
                <w:sz w:val="1"/>
                <w:szCs w:val="1"/>
                <w:color w:val="auto"/>
              </w:rPr>
            </w:pPr>
          </w:p>
        </w:tc>
      </w:tr>
      <w:tr>
        <w:trPr>
          <w:trHeight w:val="199"/>
        </w:trPr>
        <w:tc>
          <w:tcPr>
            <w:tcW w:w="2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220" w:type="dxa"/>
            <w:vAlign w:val="bottom"/>
            <w:gridSpan w:val="2"/>
          </w:tcPr>
          <w:p>
            <w:pPr>
              <w:ind w:left="260"/>
              <w:spacing w:after="0"/>
              <w:rPr>
                <w:sz w:val="20"/>
                <w:szCs w:val="20"/>
                <w:color w:val="auto"/>
              </w:rPr>
            </w:pPr>
            <w:r>
              <w:rPr>
                <w:rFonts w:ascii="Arial" w:cs="Arial" w:eastAsia="Arial" w:hAnsi="Arial"/>
                <w:sz w:val="14"/>
                <w:szCs w:val="14"/>
                <w:color w:val="auto"/>
              </w:rPr>
              <w:t>Total</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w w:val="99"/>
              </w:rPr>
              <w:t>2,542,320</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w w:val="99"/>
              </w:rPr>
              <w:t>3,213,333</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w w:val="99"/>
              </w:rPr>
              <w:t>1,484,251</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w w:val="99"/>
              </w:rPr>
              <w:t>1,049,845</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671,500</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w w:val="99"/>
              </w:rPr>
              <w:t>1,084,750</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1,289,309</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55,438</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11,390,746</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40" w:type="dxa"/>
            <w:vAlign w:val="bottom"/>
            <w:gridSpan w:val="9"/>
          </w:tcPr>
          <w:p>
            <w:pPr>
              <w:ind w:left="20"/>
              <w:spacing w:after="0"/>
              <w:rPr>
                <w:sz w:val="20"/>
                <w:szCs w:val="20"/>
                <w:color w:val="auto"/>
              </w:rPr>
            </w:pPr>
            <w:r>
              <w:rPr>
                <w:rFonts w:ascii="Arial" w:cs="Arial" w:eastAsia="Arial" w:hAnsi="Arial"/>
                <w:sz w:val="14"/>
                <w:szCs w:val="14"/>
                <w:b w:val="1"/>
                <w:bCs w:val="1"/>
                <w:color w:val="auto"/>
                <w:w w:val="94"/>
              </w:rPr>
              <w:t>Term Loans by Origination Year</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Revolvers</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gridSpan w:val="3"/>
            <w:vMerge w:val="restart"/>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converted to</w:t>
            </w: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As of December 31, 2020</w:t>
            </w:r>
          </w:p>
        </w:tc>
        <w:tc>
          <w:tcPr>
            <w:tcW w:w="160" w:type="dxa"/>
            <w:vAlign w:val="bottom"/>
          </w:tcPr>
          <w:p>
            <w:pPr>
              <w:spacing w:after="0"/>
              <w:rPr>
                <w:sz w:val="5"/>
                <w:szCs w:val="5"/>
                <w:color w:val="auto"/>
              </w:rPr>
            </w:pPr>
          </w:p>
        </w:tc>
        <w:tc>
          <w:tcPr>
            <w:tcW w:w="70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Prior</w:t>
            </w:r>
          </w:p>
        </w:tc>
        <w:tc>
          <w:tcPr>
            <w:tcW w:w="120" w:type="dxa"/>
            <w:vAlign w:val="bottom"/>
          </w:tcPr>
          <w:p>
            <w:pPr>
              <w:spacing w:after="0"/>
              <w:rPr>
                <w:sz w:val="5"/>
                <w:szCs w:val="5"/>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Revolvers</w:t>
            </w:r>
          </w:p>
        </w:tc>
        <w:tc>
          <w:tcPr>
            <w:tcW w:w="96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2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term loans</w:t>
            </w: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1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Pass</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220" w:type="dxa"/>
            <w:vAlign w:val="bottom"/>
            <w:gridSpan w:val="2"/>
          </w:tcPr>
          <w:p>
            <w:pPr>
              <w:ind w:left="140"/>
              <w:spacing w:after="0" w:line="135" w:lineRule="exact"/>
              <w:rPr>
                <w:sz w:val="20"/>
                <w:szCs w:val="20"/>
                <w:color w:val="auto"/>
              </w:rPr>
            </w:pPr>
            <w:r>
              <w:rPr>
                <w:rFonts w:ascii="Arial" w:cs="Arial" w:eastAsia="Arial" w:hAnsi="Arial"/>
                <w:sz w:val="14"/>
                <w:szCs w:val="14"/>
                <w:color w:val="auto"/>
              </w:rPr>
              <w:t>Owner occupied commercial real</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707,501</w:t>
            </w:r>
          </w:p>
        </w:tc>
        <w:tc>
          <w:tcPr>
            <w:tcW w:w="100" w:type="dxa"/>
            <w:vAlign w:val="bottom"/>
          </w:tcPr>
          <w:p>
            <w:pPr>
              <w:spacing w:after="0"/>
              <w:rPr>
                <w:sz w:val="11"/>
                <w:szCs w:val="11"/>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368,615</w:t>
            </w:r>
          </w:p>
        </w:tc>
        <w:tc>
          <w:tcPr>
            <w:tcW w:w="280" w:type="dxa"/>
            <w:vAlign w:val="bottom"/>
            <w:gridSpan w:val="3"/>
            <w:vMerge w:val="restart"/>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231,316</w:t>
            </w:r>
          </w:p>
        </w:tc>
        <w:tc>
          <w:tcPr>
            <w:tcW w:w="100" w:type="dxa"/>
            <w:vAlign w:val="bottom"/>
          </w:tcPr>
          <w:p>
            <w:pPr>
              <w:spacing w:after="0"/>
              <w:rPr>
                <w:sz w:val="11"/>
                <w:szCs w:val="11"/>
                <w:color w:val="auto"/>
              </w:rPr>
            </w:pPr>
          </w:p>
        </w:tc>
        <w:tc>
          <w:tcPr>
            <w:tcW w:w="180" w:type="dxa"/>
            <w:vAlign w:val="bottom"/>
            <w:vMerge w:val="restart"/>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197,778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vMerge w:val="restart"/>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201,362</w:t>
            </w:r>
          </w:p>
        </w:tc>
        <w:tc>
          <w:tcPr>
            <w:tcW w:w="100" w:type="dxa"/>
            <w:vAlign w:val="bottom"/>
          </w:tcPr>
          <w:p>
            <w:pPr>
              <w:spacing w:after="0"/>
              <w:rPr>
                <w:sz w:val="11"/>
                <w:szCs w:val="11"/>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229,667</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56,273</w:t>
            </w:r>
          </w:p>
        </w:tc>
        <w:tc>
          <w:tcPr>
            <w:tcW w:w="1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9,072</w:t>
            </w:r>
          </w:p>
        </w:tc>
        <w:tc>
          <w:tcPr>
            <w:tcW w:w="100" w:type="dxa"/>
            <w:vAlign w:val="bottom"/>
          </w:tcPr>
          <w:p>
            <w:pPr>
              <w:spacing w:after="0"/>
              <w:rPr>
                <w:sz w:val="11"/>
                <w:szCs w:val="11"/>
                <w:color w:val="auto"/>
              </w:rPr>
            </w:pPr>
          </w:p>
        </w:tc>
        <w:tc>
          <w:tcPr>
            <w:tcW w:w="200" w:type="dxa"/>
            <w:vAlign w:val="bottom"/>
            <w:vMerge w:val="restart"/>
          </w:tcPr>
          <w:p>
            <w:pPr>
              <w:jc w:val="right"/>
              <w:ind w:right="48"/>
              <w:spacing w:after="0"/>
              <w:rPr>
                <w:sz w:val="20"/>
                <w:szCs w:val="20"/>
                <w:color w:val="auto"/>
              </w:rPr>
            </w:pPr>
            <w:r>
              <w:rPr>
                <w:rFonts w:ascii="Arial" w:cs="Arial" w:eastAsia="Arial" w:hAnsi="Arial"/>
                <w:sz w:val="14"/>
                <w:szCs w:val="14"/>
                <w:color w:val="auto"/>
                <w:w w:val="76"/>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2,001,584</w:t>
            </w:r>
          </w:p>
        </w:tc>
        <w:tc>
          <w:tcPr>
            <w:tcW w:w="0" w:type="dxa"/>
            <w:vAlign w:val="bottom"/>
          </w:tcPr>
          <w:p>
            <w:pPr>
              <w:spacing w:after="0"/>
              <w:rPr>
                <w:sz w:val="1"/>
                <w:szCs w:val="1"/>
                <w:color w:val="auto"/>
              </w:rPr>
            </w:pPr>
          </w:p>
        </w:tc>
      </w:tr>
      <w:tr>
        <w:trPr>
          <w:trHeight w:val="186"/>
        </w:trPr>
        <w:tc>
          <w:tcPr>
            <w:tcW w:w="2220" w:type="dxa"/>
            <w:vAlign w:val="bottom"/>
            <w:gridSpan w:val="2"/>
          </w:tcPr>
          <w:p>
            <w:pPr>
              <w:ind w:left="140"/>
              <w:spacing w:after="0"/>
              <w:rPr>
                <w:sz w:val="20"/>
                <w:szCs w:val="20"/>
                <w:color w:val="auto"/>
              </w:rPr>
            </w:pPr>
            <w:r>
              <w:rPr>
                <w:rFonts w:ascii="Arial" w:cs="Arial" w:eastAsia="Arial" w:hAnsi="Arial"/>
                <w:sz w:val="14"/>
                <w:szCs w:val="14"/>
                <w:color w:val="auto"/>
              </w:rPr>
              <w:t>estate</w:t>
            </w:r>
          </w:p>
        </w:tc>
        <w:tc>
          <w:tcPr>
            <w:tcW w:w="1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280" w:type="dxa"/>
            <w:vAlign w:val="bottom"/>
            <w:gridSpan w:val="3"/>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220" w:type="dxa"/>
            <w:vAlign w:val="bottom"/>
            <w:gridSpan w:val="2"/>
            <w:shd w:val="clear" w:color="auto" w:fill="CCEEFF"/>
          </w:tcPr>
          <w:p>
            <w:pPr>
              <w:ind w:left="140"/>
              <w:spacing w:after="0" w:line="139" w:lineRule="exact"/>
              <w:rPr>
                <w:sz w:val="20"/>
                <w:szCs w:val="20"/>
                <w:color w:val="auto"/>
              </w:rPr>
            </w:pPr>
            <w:r>
              <w:rPr>
                <w:rFonts w:ascii="Arial" w:cs="Arial" w:eastAsia="Arial" w:hAnsi="Arial"/>
                <w:sz w:val="14"/>
                <w:szCs w:val="14"/>
                <w:color w:val="auto"/>
              </w:rPr>
              <w:t>Income producing commercial</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815,799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376,911</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361,539</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277,769</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206,068</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198,080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28,542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12,128</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2,276,836</w:t>
            </w:r>
          </w:p>
        </w:tc>
        <w:tc>
          <w:tcPr>
            <w:tcW w:w="0" w:type="dxa"/>
            <w:vAlign w:val="bottom"/>
          </w:tcPr>
          <w:p>
            <w:pPr>
              <w:spacing w:after="0"/>
              <w:rPr>
                <w:sz w:val="1"/>
                <w:szCs w:val="1"/>
                <w:color w:val="auto"/>
              </w:rPr>
            </w:pPr>
          </w:p>
        </w:tc>
      </w:tr>
      <w:tr>
        <w:trPr>
          <w:trHeight w:val="189"/>
        </w:trPr>
        <w:tc>
          <w:tcPr>
            <w:tcW w:w="2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real estate</w:t>
            </w: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20" w:type="dxa"/>
            <w:vAlign w:val="bottom"/>
            <w:gridSpan w:val="2"/>
          </w:tcPr>
          <w:p>
            <w:pPr>
              <w:ind w:left="140"/>
              <w:spacing w:after="0"/>
              <w:rPr>
                <w:sz w:val="20"/>
                <w:szCs w:val="20"/>
                <w:color w:val="auto"/>
              </w:rPr>
            </w:pPr>
            <w:r>
              <w:rPr>
                <w:rFonts w:ascii="Arial" w:cs="Arial" w:eastAsia="Arial" w:hAnsi="Arial"/>
                <w:sz w:val="14"/>
                <w:szCs w:val="14"/>
                <w:color w:val="auto"/>
              </w:rPr>
              <w:t>Commercial &amp; industrial</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w w:val="99"/>
              </w:rPr>
              <w:t>1,092,767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287,857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263,439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115,790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92,968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58,359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515,593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3,777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2,430,550</w:t>
            </w:r>
          </w:p>
        </w:tc>
        <w:tc>
          <w:tcPr>
            <w:tcW w:w="0" w:type="dxa"/>
            <w:vAlign w:val="bottom"/>
          </w:tcPr>
          <w:p>
            <w:pPr>
              <w:spacing w:after="0"/>
              <w:rPr>
                <w:sz w:val="1"/>
                <w:szCs w:val="1"/>
                <w:color w:val="auto"/>
              </w:rPr>
            </w:pPr>
          </w:p>
        </w:tc>
      </w:tr>
      <w:tr>
        <w:trPr>
          <w:trHeight w:val="192"/>
        </w:trPr>
        <w:tc>
          <w:tcPr>
            <w:tcW w:w="2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Commercial construction</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314,154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217,643</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226,308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53,708</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30,812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21,985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20,278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888,835</w:t>
            </w:r>
          </w:p>
        </w:tc>
        <w:tc>
          <w:tcPr>
            <w:tcW w:w="0" w:type="dxa"/>
            <w:vAlign w:val="bottom"/>
          </w:tcPr>
          <w:p>
            <w:pPr>
              <w:spacing w:after="0"/>
              <w:rPr>
                <w:sz w:val="1"/>
                <w:szCs w:val="1"/>
                <w:color w:val="auto"/>
              </w:rPr>
            </w:pPr>
          </w:p>
        </w:tc>
      </w:tr>
      <w:tr>
        <w:trPr>
          <w:trHeight w:val="186"/>
        </w:trPr>
        <w:tc>
          <w:tcPr>
            <w:tcW w:w="2220" w:type="dxa"/>
            <w:vAlign w:val="bottom"/>
            <w:gridSpan w:val="2"/>
          </w:tcPr>
          <w:p>
            <w:pPr>
              <w:ind w:left="140"/>
              <w:spacing w:after="0"/>
              <w:rPr>
                <w:sz w:val="20"/>
                <w:szCs w:val="20"/>
                <w:color w:val="auto"/>
              </w:rPr>
            </w:pPr>
            <w:r>
              <w:rPr>
                <w:rFonts w:ascii="Arial" w:cs="Arial" w:eastAsia="Arial" w:hAnsi="Arial"/>
                <w:sz w:val="14"/>
                <w:szCs w:val="14"/>
                <w:color w:val="auto"/>
              </w:rPr>
              <w:t>Equipment financing</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413,653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270,664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125,869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39,982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9,404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445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860,017</w:t>
            </w:r>
          </w:p>
        </w:tc>
        <w:tc>
          <w:tcPr>
            <w:tcW w:w="0" w:type="dxa"/>
            <w:vAlign w:val="bottom"/>
          </w:tcPr>
          <w:p>
            <w:pPr>
              <w:spacing w:after="0"/>
              <w:rPr>
                <w:sz w:val="1"/>
                <w:szCs w:val="1"/>
                <w:color w:val="auto"/>
              </w:rPr>
            </w:pPr>
          </w:p>
        </w:tc>
      </w:tr>
      <w:tr>
        <w:trPr>
          <w:trHeight w:val="186"/>
        </w:trPr>
        <w:tc>
          <w:tcPr>
            <w:tcW w:w="2220" w:type="dxa"/>
            <w:vAlign w:val="bottom"/>
            <w:tcBorders>
              <w:top w:val="single" w:sz="8" w:color="CCEEFF"/>
            </w:tcBorders>
            <w:gridSpan w:val="2"/>
            <w:shd w:val="clear" w:color="auto" w:fill="CCEEFF"/>
          </w:tcPr>
          <w:p>
            <w:pPr>
              <w:ind w:left="240"/>
              <w:spacing w:after="0"/>
              <w:rPr>
                <w:sz w:val="20"/>
                <w:szCs w:val="20"/>
                <w:color w:val="auto"/>
              </w:rPr>
            </w:pPr>
            <w:r>
              <w:rPr>
                <w:rFonts w:ascii="Arial" w:cs="Arial" w:eastAsia="Arial" w:hAnsi="Arial"/>
                <w:sz w:val="14"/>
                <w:szCs w:val="14"/>
                <w:color w:val="auto"/>
              </w:rPr>
              <w:t>Total commercial</w:t>
            </w: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3,343,874</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1,521,690</w:t>
            </w: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1,208,471</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685,027</w:t>
            </w: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540,614</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508,536</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620,686</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28,924</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8,457,822</w:t>
            </w:r>
          </w:p>
        </w:tc>
        <w:tc>
          <w:tcPr>
            <w:tcW w:w="0" w:type="dxa"/>
            <w:vAlign w:val="bottom"/>
          </w:tcPr>
          <w:p>
            <w:pPr>
              <w:spacing w:after="0"/>
              <w:rPr>
                <w:sz w:val="1"/>
                <w:szCs w:val="1"/>
                <w:color w:val="auto"/>
              </w:rPr>
            </w:pPr>
          </w:p>
        </w:tc>
      </w:tr>
      <w:tr>
        <w:trPr>
          <w:trHeight w:val="186"/>
        </w:trPr>
        <w:tc>
          <w:tcPr>
            <w:tcW w:w="2220" w:type="dxa"/>
            <w:vAlign w:val="bottom"/>
            <w:gridSpan w:val="2"/>
          </w:tcPr>
          <w:p>
            <w:pPr>
              <w:ind w:left="140"/>
              <w:spacing w:after="0"/>
              <w:rPr>
                <w:sz w:val="20"/>
                <w:szCs w:val="20"/>
                <w:color w:val="auto"/>
              </w:rPr>
            </w:pPr>
            <w:r>
              <w:rPr>
                <w:rFonts w:ascii="Arial" w:cs="Arial" w:eastAsia="Arial" w:hAnsi="Arial"/>
                <w:sz w:val="14"/>
                <w:szCs w:val="14"/>
                <w:color w:val="auto"/>
              </w:rPr>
              <w:t>Residential mortgage</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468,945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195,213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125,492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120,944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122,013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230,771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5,393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1,268,789</w:t>
            </w:r>
          </w:p>
        </w:tc>
        <w:tc>
          <w:tcPr>
            <w:tcW w:w="0" w:type="dxa"/>
            <w:vAlign w:val="bottom"/>
          </w:tcPr>
          <w:p>
            <w:pPr>
              <w:spacing w:after="0"/>
              <w:rPr>
                <w:sz w:val="1"/>
                <w:szCs w:val="1"/>
                <w:color w:val="auto"/>
              </w:rPr>
            </w:pPr>
          </w:p>
        </w:tc>
      </w:tr>
      <w:tr>
        <w:trPr>
          <w:trHeight w:val="192"/>
        </w:trPr>
        <w:tc>
          <w:tcPr>
            <w:tcW w:w="2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HELOC</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675,878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17,581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693,459</w:t>
            </w:r>
          </w:p>
        </w:tc>
        <w:tc>
          <w:tcPr>
            <w:tcW w:w="0" w:type="dxa"/>
            <w:vAlign w:val="bottom"/>
          </w:tcPr>
          <w:p>
            <w:pPr>
              <w:spacing w:after="0"/>
              <w:rPr>
                <w:sz w:val="1"/>
                <w:szCs w:val="1"/>
                <w:color w:val="auto"/>
              </w:rPr>
            </w:pPr>
          </w:p>
        </w:tc>
      </w:tr>
      <w:tr>
        <w:trPr>
          <w:trHeight w:val="186"/>
        </w:trPr>
        <w:tc>
          <w:tcPr>
            <w:tcW w:w="2220" w:type="dxa"/>
            <w:vAlign w:val="bottom"/>
            <w:gridSpan w:val="2"/>
          </w:tcPr>
          <w:p>
            <w:pPr>
              <w:ind w:left="140"/>
              <w:spacing w:after="0"/>
              <w:rPr>
                <w:sz w:val="20"/>
                <w:szCs w:val="20"/>
                <w:color w:val="auto"/>
              </w:rPr>
            </w:pPr>
            <w:r>
              <w:rPr>
                <w:rFonts w:ascii="Arial" w:cs="Arial" w:eastAsia="Arial" w:hAnsi="Arial"/>
                <w:sz w:val="14"/>
                <w:szCs w:val="14"/>
                <w:color w:val="auto"/>
              </w:rPr>
              <w:t>Residential construction</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225,727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30,646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4,026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4,544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3,172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12,546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280,725</w:t>
            </w:r>
          </w:p>
        </w:tc>
        <w:tc>
          <w:tcPr>
            <w:tcW w:w="0" w:type="dxa"/>
            <w:vAlign w:val="bottom"/>
          </w:tcPr>
          <w:p>
            <w:pPr>
              <w:spacing w:after="0"/>
              <w:rPr>
                <w:sz w:val="1"/>
                <w:szCs w:val="1"/>
                <w:color w:val="auto"/>
              </w:rPr>
            </w:pPr>
          </w:p>
        </w:tc>
      </w:tr>
      <w:tr>
        <w:trPr>
          <w:trHeight w:val="189"/>
        </w:trPr>
        <w:tc>
          <w:tcPr>
            <w:tcW w:w="2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Consumer</w:t>
            </w:r>
          </w:p>
        </w:tc>
        <w:tc>
          <w:tcPr>
            <w:tcW w:w="1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54,997</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25,528</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14,206</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4,531</w:t>
            </w: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3,595</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1,677</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41,445</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146,055</w:t>
            </w:r>
          </w:p>
        </w:tc>
        <w:tc>
          <w:tcPr>
            <w:tcW w:w="0" w:type="dxa"/>
            <w:vAlign w:val="bottom"/>
          </w:tcPr>
          <w:p>
            <w:pPr>
              <w:spacing w:after="0"/>
              <w:rPr>
                <w:sz w:val="1"/>
                <w:szCs w:val="1"/>
                <w:color w:val="auto"/>
              </w:rPr>
            </w:pPr>
          </w:p>
        </w:tc>
      </w:tr>
      <w:tr>
        <w:trPr>
          <w:trHeight w:val="183"/>
        </w:trPr>
        <w:tc>
          <w:tcPr>
            <w:tcW w:w="2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4,093,543</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1,773,077</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1,352,195</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815,046</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669,394</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753,530</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1,338,027</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52,038</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10,846,850</w:t>
            </w:r>
          </w:p>
        </w:tc>
        <w:tc>
          <w:tcPr>
            <w:tcW w:w="0" w:type="dxa"/>
            <w:vAlign w:val="bottom"/>
          </w:tcPr>
          <w:p>
            <w:pPr>
              <w:spacing w:after="0"/>
              <w:rPr>
                <w:sz w:val="1"/>
                <w:szCs w:val="1"/>
                <w:color w:val="auto"/>
              </w:rPr>
            </w:pPr>
          </w:p>
        </w:tc>
      </w:tr>
      <w:tr>
        <w:trPr>
          <w:trHeight w:val="172"/>
        </w:trPr>
        <w:tc>
          <w:tcPr>
            <w:tcW w:w="22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Special Mention</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220" w:type="dxa"/>
            <w:vAlign w:val="bottom"/>
            <w:gridSpan w:val="2"/>
          </w:tcPr>
          <w:p>
            <w:pPr>
              <w:ind w:left="140"/>
              <w:spacing w:after="0" w:line="135" w:lineRule="exact"/>
              <w:rPr>
                <w:sz w:val="20"/>
                <w:szCs w:val="20"/>
                <w:color w:val="auto"/>
              </w:rPr>
            </w:pPr>
            <w:r>
              <w:rPr>
                <w:rFonts w:ascii="Arial" w:cs="Arial" w:eastAsia="Arial" w:hAnsi="Arial"/>
                <w:sz w:val="14"/>
                <w:szCs w:val="14"/>
                <w:color w:val="auto"/>
              </w:rPr>
              <w:t>Owner occupied commercial real</w:t>
            </w: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8,759</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4,088</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4,221</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10,025</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11,138</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4,728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43,059</w:t>
            </w:r>
          </w:p>
        </w:tc>
        <w:tc>
          <w:tcPr>
            <w:tcW w:w="0" w:type="dxa"/>
            <w:vAlign w:val="bottom"/>
          </w:tcPr>
          <w:p>
            <w:pPr>
              <w:spacing w:after="0"/>
              <w:rPr>
                <w:sz w:val="1"/>
                <w:szCs w:val="1"/>
                <w:color w:val="auto"/>
              </w:rPr>
            </w:pPr>
          </w:p>
        </w:tc>
      </w:tr>
      <w:tr>
        <w:trPr>
          <w:trHeight w:val="186"/>
        </w:trPr>
        <w:tc>
          <w:tcPr>
            <w:tcW w:w="2220" w:type="dxa"/>
            <w:vAlign w:val="bottom"/>
            <w:gridSpan w:val="2"/>
          </w:tcPr>
          <w:p>
            <w:pPr>
              <w:ind w:left="140"/>
              <w:spacing w:after="0"/>
              <w:rPr>
                <w:sz w:val="20"/>
                <w:szCs w:val="20"/>
                <w:color w:val="auto"/>
              </w:rPr>
            </w:pPr>
            <w:r>
              <w:rPr>
                <w:rFonts w:ascii="Arial" w:cs="Arial" w:eastAsia="Arial" w:hAnsi="Arial"/>
                <w:sz w:val="14"/>
                <w:szCs w:val="14"/>
                <w:color w:val="auto"/>
              </w:rPr>
              <w:t>estate</w:t>
            </w: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220" w:type="dxa"/>
            <w:vAlign w:val="bottom"/>
            <w:gridSpan w:val="2"/>
            <w:shd w:val="clear" w:color="auto" w:fill="CCEEFF"/>
          </w:tcPr>
          <w:p>
            <w:pPr>
              <w:ind w:left="140"/>
              <w:spacing w:after="0" w:line="139" w:lineRule="exact"/>
              <w:rPr>
                <w:sz w:val="20"/>
                <w:szCs w:val="20"/>
                <w:color w:val="auto"/>
              </w:rPr>
            </w:pPr>
            <w:r>
              <w:rPr>
                <w:rFonts w:ascii="Arial" w:cs="Arial" w:eastAsia="Arial" w:hAnsi="Arial"/>
                <w:sz w:val="14"/>
                <w:szCs w:val="14"/>
                <w:color w:val="auto"/>
              </w:rPr>
              <w:t>Income producing commercial</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35,471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42,831</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39,954</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13,238</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24,164</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11,337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1,681</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168,676</w:t>
            </w:r>
          </w:p>
        </w:tc>
        <w:tc>
          <w:tcPr>
            <w:tcW w:w="0" w:type="dxa"/>
            <w:vAlign w:val="bottom"/>
          </w:tcPr>
          <w:p>
            <w:pPr>
              <w:spacing w:after="0"/>
              <w:rPr>
                <w:sz w:val="1"/>
                <w:szCs w:val="1"/>
                <w:color w:val="auto"/>
              </w:rPr>
            </w:pPr>
          </w:p>
        </w:tc>
      </w:tr>
      <w:tr>
        <w:trPr>
          <w:trHeight w:val="189"/>
        </w:trPr>
        <w:tc>
          <w:tcPr>
            <w:tcW w:w="2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real estate</w:t>
            </w: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20" w:type="dxa"/>
            <w:vAlign w:val="bottom"/>
            <w:gridSpan w:val="2"/>
          </w:tcPr>
          <w:p>
            <w:pPr>
              <w:ind w:left="140"/>
              <w:spacing w:after="0"/>
              <w:rPr>
                <w:sz w:val="20"/>
                <w:szCs w:val="20"/>
                <w:color w:val="auto"/>
              </w:rPr>
            </w:pPr>
            <w:r>
              <w:rPr>
                <w:rFonts w:ascii="Arial" w:cs="Arial" w:eastAsia="Arial" w:hAnsi="Arial"/>
                <w:sz w:val="14"/>
                <w:szCs w:val="14"/>
                <w:color w:val="auto"/>
              </w:rPr>
              <w:t>Commercial &amp; industrial</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1,451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16,315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2,176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630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459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6,464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27,512</w:t>
            </w:r>
          </w:p>
        </w:tc>
        <w:tc>
          <w:tcPr>
            <w:tcW w:w="0" w:type="dxa"/>
            <w:vAlign w:val="bottom"/>
          </w:tcPr>
          <w:p>
            <w:pPr>
              <w:spacing w:after="0"/>
              <w:rPr>
                <w:sz w:val="1"/>
                <w:szCs w:val="1"/>
                <w:color w:val="auto"/>
              </w:rPr>
            </w:pPr>
          </w:p>
        </w:tc>
      </w:tr>
      <w:tr>
        <w:trPr>
          <w:trHeight w:val="192"/>
        </w:trPr>
        <w:tc>
          <w:tcPr>
            <w:tcW w:w="2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Commercial construction</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21,366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23,292</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11,775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57,998</w:t>
            </w:r>
          </w:p>
        </w:tc>
        <w:tc>
          <w:tcPr>
            <w:tcW w:w="0" w:type="dxa"/>
            <w:vAlign w:val="bottom"/>
          </w:tcPr>
          <w:p>
            <w:pPr>
              <w:spacing w:after="0"/>
              <w:rPr>
                <w:sz w:val="1"/>
                <w:szCs w:val="1"/>
                <w:color w:val="auto"/>
              </w:rPr>
            </w:pPr>
          </w:p>
        </w:tc>
      </w:tr>
      <w:tr>
        <w:trPr>
          <w:trHeight w:val="186"/>
        </w:trPr>
        <w:tc>
          <w:tcPr>
            <w:tcW w:w="2220" w:type="dxa"/>
            <w:vAlign w:val="bottom"/>
            <w:gridSpan w:val="2"/>
          </w:tcPr>
          <w:p>
            <w:pPr>
              <w:ind w:left="140"/>
              <w:spacing w:after="0"/>
              <w:rPr>
                <w:sz w:val="20"/>
                <w:szCs w:val="20"/>
                <w:color w:val="auto"/>
              </w:rPr>
            </w:pPr>
            <w:r>
              <w:rPr>
                <w:rFonts w:ascii="Arial" w:cs="Arial" w:eastAsia="Arial" w:hAnsi="Arial"/>
                <w:sz w:val="14"/>
                <w:szCs w:val="14"/>
                <w:color w:val="auto"/>
              </w:rPr>
              <w:t>Equipment financing</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22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4"/>
                <w:szCs w:val="14"/>
                <w:color w:val="auto"/>
              </w:rPr>
              <w:t>Total commercial</w:t>
            </w: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67,047</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63,506</w:t>
            </w: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47,167</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47,185</w:t>
            </w: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47,536</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16,559</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6,564</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1,681</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297,245</w:t>
            </w:r>
          </w:p>
        </w:tc>
        <w:tc>
          <w:tcPr>
            <w:tcW w:w="0" w:type="dxa"/>
            <w:vAlign w:val="bottom"/>
          </w:tcPr>
          <w:p>
            <w:pPr>
              <w:spacing w:after="0"/>
              <w:rPr>
                <w:sz w:val="1"/>
                <w:szCs w:val="1"/>
                <w:color w:val="auto"/>
              </w:rPr>
            </w:pPr>
          </w:p>
        </w:tc>
      </w:tr>
      <w:tr>
        <w:trPr>
          <w:trHeight w:val="186"/>
        </w:trPr>
        <w:tc>
          <w:tcPr>
            <w:tcW w:w="2220" w:type="dxa"/>
            <w:vAlign w:val="bottom"/>
            <w:gridSpan w:val="2"/>
          </w:tcPr>
          <w:p>
            <w:pPr>
              <w:ind w:left="140"/>
              <w:spacing w:after="0"/>
              <w:rPr>
                <w:sz w:val="20"/>
                <w:szCs w:val="20"/>
                <w:color w:val="auto"/>
              </w:rPr>
            </w:pPr>
            <w:r>
              <w:rPr>
                <w:rFonts w:ascii="Arial" w:cs="Arial" w:eastAsia="Arial" w:hAnsi="Arial"/>
                <w:sz w:val="14"/>
                <w:szCs w:val="14"/>
                <w:color w:val="auto"/>
              </w:rPr>
              <w:t>Residential mortgage</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2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HELOC</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220" w:type="dxa"/>
            <w:vAlign w:val="bottom"/>
            <w:gridSpan w:val="2"/>
          </w:tcPr>
          <w:p>
            <w:pPr>
              <w:ind w:left="140"/>
              <w:spacing w:after="0"/>
              <w:rPr>
                <w:sz w:val="20"/>
                <w:szCs w:val="20"/>
                <w:color w:val="auto"/>
              </w:rPr>
            </w:pPr>
            <w:r>
              <w:rPr>
                <w:rFonts w:ascii="Arial" w:cs="Arial" w:eastAsia="Arial" w:hAnsi="Arial"/>
                <w:sz w:val="14"/>
                <w:szCs w:val="14"/>
                <w:color w:val="auto"/>
              </w:rPr>
              <w:t>Residential construction</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Consumer</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67,047</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63,506</w:t>
            </w: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47,167</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47,185</w:t>
            </w:r>
          </w:p>
        </w:tc>
        <w:tc>
          <w:tcPr>
            <w:tcW w:w="100" w:type="dxa"/>
            <w:vAlign w:val="bottom"/>
            <w:tcBorders>
              <w:bottom w:val="single" w:sz="8" w:color="CCEEFF"/>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47,536</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16,559</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6,564</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1,681</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297,245</w:t>
            </w:r>
          </w:p>
        </w:tc>
        <w:tc>
          <w:tcPr>
            <w:tcW w:w="0" w:type="dxa"/>
            <w:vAlign w:val="bottom"/>
          </w:tcPr>
          <w:p>
            <w:pPr>
              <w:spacing w:after="0"/>
              <w:rPr>
                <w:sz w:val="1"/>
                <w:szCs w:val="1"/>
                <w:color w:val="auto"/>
              </w:rPr>
            </w:pPr>
          </w:p>
        </w:tc>
      </w:tr>
      <w:tr>
        <w:trPr>
          <w:trHeight w:val="172"/>
        </w:trPr>
        <w:tc>
          <w:tcPr>
            <w:tcW w:w="22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Substandard</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220" w:type="dxa"/>
            <w:vAlign w:val="bottom"/>
            <w:gridSpan w:val="2"/>
          </w:tcPr>
          <w:p>
            <w:pPr>
              <w:ind w:left="140"/>
              <w:spacing w:after="0" w:line="135" w:lineRule="exact"/>
              <w:rPr>
                <w:sz w:val="20"/>
                <w:szCs w:val="20"/>
                <w:color w:val="auto"/>
              </w:rPr>
            </w:pPr>
            <w:r>
              <w:rPr>
                <w:rFonts w:ascii="Arial" w:cs="Arial" w:eastAsia="Arial" w:hAnsi="Arial"/>
                <w:sz w:val="14"/>
                <w:szCs w:val="14"/>
                <w:color w:val="auto"/>
              </w:rPr>
              <w:t>Owner occupied commercial real</w:t>
            </w: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6,586</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10,473</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7,596</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3,717</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6,753</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8,473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1,528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674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45,800</w:t>
            </w:r>
          </w:p>
        </w:tc>
        <w:tc>
          <w:tcPr>
            <w:tcW w:w="0" w:type="dxa"/>
            <w:vAlign w:val="bottom"/>
          </w:tcPr>
          <w:p>
            <w:pPr>
              <w:spacing w:after="0"/>
              <w:rPr>
                <w:sz w:val="1"/>
                <w:szCs w:val="1"/>
                <w:color w:val="auto"/>
              </w:rPr>
            </w:pPr>
          </w:p>
        </w:tc>
      </w:tr>
      <w:tr>
        <w:trPr>
          <w:trHeight w:val="186"/>
        </w:trPr>
        <w:tc>
          <w:tcPr>
            <w:tcW w:w="2220" w:type="dxa"/>
            <w:vAlign w:val="bottom"/>
            <w:gridSpan w:val="2"/>
          </w:tcPr>
          <w:p>
            <w:pPr>
              <w:ind w:left="140"/>
              <w:spacing w:after="0"/>
              <w:rPr>
                <w:sz w:val="20"/>
                <w:szCs w:val="20"/>
                <w:color w:val="auto"/>
              </w:rPr>
            </w:pPr>
            <w:r>
              <w:rPr>
                <w:rFonts w:ascii="Arial" w:cs="Arial" w:eastAsia="Arial" w:hAnsi="Arial"/>
                <w:sz w:val="14"/>
                <w:szCs w:val="14"/>
                <w:color w:val="auto"/>
              </w:rPr>
              <w:t>estate</w:t>
            </w: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220" w:type="dxa"/>
            <w:vAlign w:val="bottom"/>
            <w:gridSpan w:val="2"/>
            <w:shd w:val="clear" w:color="auto" w:fill="CCEEFF"/>
          </w:tcPr>
          <w:p>
            <w:pPr>
              <w:ind w:left="140"/>
              <w:spacing w:after="0" w:line="139" w:lineRule="exact"/>
              <w:rPr>
                <w:sz w:val="20"/>
                <w:szCs w:val="20"/>
                <w:color w:val="auto"/>
              </w:rPr>
            </w:pPr>
            <w:r>
              <w:rPr>
                <w:rFonts w:ascii="Arial" w:cs="Arial" w:eastAsia="Arial" w:hAnsi="Arial"/>
                <w:sz w:val="14"/>
                <w:szCs w:val="14"/>
                <w:color w:val="auto"/>
              </w:rPr>
              <w:t>Income producing commercial</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45,125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8,940</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2,179</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5,034</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31,211</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2,652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95,238</w:t>
            </w:r>
          </w:p>
        </w:tc>
        <w:tc>
          <w:tcPr>
            <w:tcW w:w="0" w:type="dxa"/>
            <w:vAlign w:val="bottom"/>
          </w:tcPr>
          <w:p>
            <w:pPr>
              <w:spacing w:after="0"/>
              <w:rPr>
                <w:sz w:val="1"/>
                <w:szCs w:val="1"/>
                <w:color w:val="auto"/>
              </w:rPr>
            </w:pPr>
          </w:p>
        </w:tc>
      </w:tr>
      <w:tr>
        <w:trPr>
          <w:trHeight w:val="189"/>
        </w:trPr>
        <w:tc>
          <w:tcPr>
            <w:tcW w:w="2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real estate</w:t>
            </w: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20" w:type="dxa"/>
            <w:vAlign w:val="bottom"/>
            <w:gridSpan w:val="2"/>
          </w:tcPr>
          <w:p>
            <w:pPr>
              <w:ind w:left="140"/>
              <w:spacing w:after="0"/>
              <w:rPr>
                <w:sz w:val="20"/>
                <w:szCs w:val="20"/>
                <w:color w:val="auto"/>
              </w:rPr>
            </w:pPr>
            <w:r>
              <w:rPr>
                <w:rFonts w:ascii="Arial" w:cs="Arial" w:eastAsia="Arial" w:hAnsi="Arial"/>
                <w:sz w:val="14"/>
                <w:szCs w:val="14"/>
                <w:color w:val="auto"/>
              </w:rPr>
              <w:t>Commercial &amp; industrial</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1,545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5,536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6,193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1,684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1,292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1,485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22,170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593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40,498</w:t>
            </w:r>
          </w:p>
        </w:tc>
        <w:tc>
          <w:tcPr>
            <w:tcW w:w="0" w:type="dxa"/>
            <w:vAlign w:val="bottom"/>
          </w:tcPr>
          <w:p>
            <w:pPr>
              <w:spacing w:after="0"/>
              <w:rPr>
                <w:sz w:val="1"/>
                <w:szCs w:val="1"/>
                <w:color w:val="auto"/>
              </w:rPr>
            </w:pPr>
          </w:p>
        </w:tc>
      </w:tr>
      <w:tr>
        <w:trPr>
          <w:trHeight w:val="192"/>
        </w:trPr>
        <w:tc>
          <w:tcPr>
            <w:tcW w:w="2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Commercial construction</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735</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13,741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20,472</w:t>
            </w:r>
          </w:p>
        </w:tc>
        <w:tc>
          <w:tcPr>
            <w:tcW w:w="0" w:type="dxa"/>
            <w:vAlign w:val="bottom"/>
          </w:tcPr>
          <w:p>
            <w:pPr>
              <w:spacing w:after="0"/>
              <w:rPr>
                <w:sz w:val="1"/>
                <w:szCs w:val="1"/>
                <w:color w:val="auto"/>
              </w:rPr>
            </w:pPr>
          </w:p>
        </w:tc>
      </w:tr>
      <w:tr>
        <w:trPr>
          <w:trHeight w:val="186"/>
        </w:trPr>
        <w:tc>
          <w:tcPr>
            <w:tcW w:w="2220" w:type="dxa"/>
            <w:vAlign w:val="bottom"/>
            <w:gridSpan w:val="2"/>
          </w:tcPr>
          <w:p>
            <w:pPr>
              <w:ind w:left="140"/>
              <w:spacing w:after="0"/>
              <w:rPr>
                <w:sz w:val="20"/>
                <w:szCs w:val="20"/>
                <w:color w:val="auto"/>
              </w:rPr>
            </w:pPr>
            <w:r>
              <w:rPr>
                <w:rFonts w:ascii="Arial" w:cs="Arial" w:eastAsia="Arial" w:hAnsi="Arial"/>
                <w:sz w:val="14"/>
                <w:szCs w:val="14"/>
                <w:color w:val="auto"/>
              </w:rPr>
              <w:t>Equipment financing</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1,392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1,371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306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3,813</w:t>
            </w:r>
          </w:p>
        </w:tc>
        <w:tc>
          <w:tcPr>
            <w:tcW w:w="0" w:type="dxa"/>
            <w:vAlign w:val="bottom"/>
          </w:tcPr>
          <w:p>
            <w:pPr>
              <w:spacing w:after="0"/>
              <w:rPr>
                <w:sz w:val="1"/>
                <w:szCs w:val="1"/>
                <w:color w:val="auto"/>
              </w:rPr>
            </w:pPr>
          </w:p>
        </w:tc>
      </w:tr>
      <w:tr>
        <w:trPr>
          <w:trHeight w:val="186"/>
        </w:trPr>
        <w:tc>
          <w:tcPr>
            <w:tcW w:w="222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4"/>
                <w:szCs w:val="14"/>
                <w:color w:val="auto"/>
              </w:rPr>
              <w:t>Total commercial</w:t>
            </w: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56,353</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27,076</w:t>
            </w: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31,080</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11,081</w:t>
            </w: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41,283</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12,877</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23,698</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2,373</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205,821</w:t>
            </w:r>
          </w:p>
        </w:tc>
        <w:tc>
          <w:tcPr>
            <w:tcW w:w="0" w:type="dxa"/>
            <w:vAlign w:val="bottom"/>
          </w:tcPr>
          <w:p>
            <w:pPr>
              <w:spacing w:after="0"/>
              <w:rPr>
                <w:sz w:val="1"/>
                <w:szCs w:val="1"/>
                <w:color w:val="auto"/>
              </w:rPr>
            </w:pPr>
          </w:p>
        </w:tc>
      </w:tr>
      <w:tr>
        <w:trPr>
          <w:trHeight w:val="186"/>
        </w:trPr>
        <w:tc>
          <w:tcPr>
            <w:tcW w:w="2220" w:type="dxa"/>
            <w:vAlign w:val="bottom"/>
            <w:gridSpan w:val="2"/>
          </w:tcPr>
          <w:p>
            <w:pPr>
              <w:ind w:left="140"/>
              <w:spacing w:after="0"/>
              <w:rPr>
                <w:sz w:val="20"/>
                <w:szCs w:val="20"/>
                <w:color w:val="auto"/>
              </w:rPr>
            </w:pPr>
            <w:r>
              <w:rPr>
                <w:rFonts w:ascii="Arial" w:cs="Arial" w:eastAsia="Arial" w:hAnsi="Arial"/>
                <w:sz w:val="14"/>
                <w:szCs w:val="14"/>
                <w:color w:val="auto"/>
              </w:rPr>
              <w:t>Residential mortgage</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2,049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2,106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3,174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1,369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679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5,860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894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16,131</w:t>
            </w:r>
          </w:p>
        </w:tc>
        <w:tc>
          <w:tcPr>
            <w:tcW w:w="0" w:type="dxa"/>
            <w:vAlign w:val="bottom"/>
          </w:tcPr>
          <w:p>
            <w:pPr>
              <w:spacing w:after="0"/>
              <w:rPr>
                <w:sz w:val="1"/>
                <w:szCs w:val="1"/>
                <w:color w:val="auto"/>
              </w:rPr>
            </w:pPr>
          </w:p>
        </w:tc>
      </w:tr>
      <w:tr>
        <w:trPr>
          <w:trHeight w:val="192"/>
        </w:trPr>
        <w:tc>
          <w:tcPr>
            <w:tcW w:w="2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HELOC</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3,658</w:t>
            </w:r>
          </w:p>
        </w:tc>
        <w:tc>
          <w:tcPr>
            <w:tcW w:w="0" w:type="dxa"/>
            <w:vAlign w:val="bottom"/>
          </w:tcPr>
          <w:p>
            <w:pPr>
              <w:spacing w:after="0"/>
              <w:rPr>
                <w:sz w:val="1"/>
                <w:szCs w:val="1"/>
                <w:color w:val="auto"/>
              </w:rPr>
            </w:pPr>
          </w:p>
        </w:tc>
      </w:tr>
      <w:tr>
        <w:trPr>
          <w:trHeight w:val="186"/>
        </w:trPr>
        <w:tc>
          <w:tcPr>
            <w:tcW w:w="2220" w:type="dxa"/>
            <w:vAlign w:val="bottom"/>
            <w:gridSpan w:val="2"/>
          </w:tcPr>
          <w:p>
            <w:pPr>
              <w:ind w:left="140"/>
              <w:spacing w:after="0"/>
              <w:rPr>
                <w:sz w:val="20"/>
                <w:szCs w:val="20"/>
                <w:color w:val="auto"/>
              </w:rPr>
            </w:pPr>
            <w:r>
              <w:rPr>
                <w:rFonts w:ascii="Arial" w:cs="Arial" w:eastAsia="Arial" w:hAnsi="Arial"/>
                <w:sz w:val="14"/>
                <w:szCs w:val="14"/>
                <w:color w:val="auto"/>
              </w:rPr>
              <w:t>Residential construction</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380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705</w:t>
            </w:r>
          </w:p>
        </w:tc>
        <w:tc>
          <w:tcPr>
            <w:tcW w:w="0" w:type="dxa"/>
            <w:vAlign w:val="bottom"/>
          </w:tcPr>
          <w:p>
            <w:pPr>
              <w:spacing w:after="0"/>
              <w:rPr>
                <w:sz w:val="1"/>
                <w:szCs w:val="1"/>
                <w:color w:val="auto"/>
              </w:rPr>
            </w:pPr>
          </w:p>
        </w:tc>
      </w:tr>
      <w:tr>
        <w:trPr>
          <w:trHeight w:val="189"/>
        </w:trPr>
        <w:tc>
          <w:tcPr>
            <w:tcW w:w="2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Consumer</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w:t>
            </w:r>
          </w:p>
        </w:tc>
        <w:tc>
          <w:tcPr>
            <w:tcW w:w="0" w:type="dxa"/>
            <w:vAlign w:val="bottom"/>
          </w:tcPr>
          <w:p>
            <w:pPr>
              <w:spacing w:after="0"/>
              <w:rPr>
                <w:sz w:val="1"/>
                <w:szCs w:val="1"/>
                <w:color w:val="auto"/>
              </w:rPr>
            </w:pPr>
          </w:p>
        </w:tc>
      </w:tr>
      <w:tr>
        <w:trPr>
          <w:trHeight w:val="183"/>
        </w:trPr>
        <w:tc>
          <w:tcPr>
            <w:tcW w:w="2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58,508</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29,316</w:t>
            </w: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34,357</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12,514</w:t>
            </w:r>
          </w:p>
        </w:tc>
        <w:tc>
          <w:tcPr>
            <w:tcW w:w="100" w:type="dxa"/>
            <w:vAlign w:val="bottom"/>
            <w:tcBorders>
              <w:bottom w:val="single" w:sz="8" w:color="CCEEFF"/>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42,164</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19,215</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23,963</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6,683</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226,720</w:t>
            </w:r>
          </w:p>
        </w:tc>
        <w:tc>
          <w:tcPr>
            <w:tcW w:w="0" w:type="dxa"/>
            <w:vAlign w:val="bottom"/>
          </w:tcPr>
          <w:p>
            <w:pPr>
              <w:spacing w:after="0"/>
              <w:rPr>
                <w:sz w:val="1"/>
                <w:szCs w:val="1"/>
                <w:color w:val="auto"/>
              </w:rPr>
            </w:pPr>
          </w:p>
        </w:tc>
      </w:tr>
      <w:tr>
        <w:trPr>
          <w:trHeight w:val="199"/>
        </w:trPr>
        <w:tc>
          <w:tcPr>
            <w:tcW w:w="2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220" w:type="dxa"/>
            <w:vAlign w:val="bottom"/>
            <w:gridSpan w:val="2"/>
          </w:tcPr>
          <w:p>
            <w:pPr>
              <w:ind w:left="260"/>
              <w:spacing w:after="0"/>
              <w:rPr>
                <w:sz w:val="20"/>
                <w:szCs w:val="20"/>
                <w:color w:val="auto"/>
              </w:rPr>
            </w:pPr>
            <w:r>
              <w:rPr>
                <w:rFonts w:ascii="Arial" w:cs="Arial" w:eastAsia="Arial" w:hAnsi="Arial"/>
                <w:sz w:val="14"/>
                <w:szCs w:val="14"/>
                <w:color w:val="auto"/>
              </w:rPr>
              <w:t>Total</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w w:val="99"/>
              </w:rPr>
              <w:t>4,219,098</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w w:val="99"/>
              </w:rPr>
              <w:t>1,865,899</w:t>
            </w:r>
          </w:p>
        </w:tc>
        <w:tc>
          <w:tcPr>
            <w:tcW w:w="28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w w:val="99"/>
              </w:rPr>
              <w:t>1,433,719</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874,745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759,094</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789,304</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1,368,554</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60,402</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11,370,815</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Troubled Debt Restructurings and Other Modifications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June 30, 2021 and December 31, 2020, United had TDRs totaling $57.3 million and $61.6 million, respectively. As of June 30, 2021 and December 31, 2020, United had remaining deferrals related to the COVID-19 pandemic of approximately $17.8 million and $70.7 million, respectively, which generally represented payment deferrals for up to 90 days. To the extent that these deferrals qualified under either the CARES Act or interagency guidance, they were not considered new TDRs.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Loans modified under the terms of a TDR during the three and six months ended June 30, 2021 and 2020 are presented in the following table. In addition, the table presents loans modified under the terms of a TDR that defaulted (became 90 days or more delinquent or otherwise in default of modified terms) during the periods presented and were initially restructured within one year prior to default </w:t>
      </w:r>
      <w:r>
        <w:rPr>
          <w:rFonts w:ascii="Arial" w:cs="Arial" w:eastAsia="Arial" w:hAnsi="Arial"/>
          <w:sz w:val="17"/>
          <w:szCs w:val="17"/>
          <w:i w:val="1"/>
          <w:iCs w:val="1"/>
          <w:color w:val="auto"/>
        </w:rPr>
        <w:t>(dollars in thousands).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96"/>
              </w:rPr>
              <w:t>New TDRs</w:t>
            </w: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gridSpan w:val="4"/>
          </w:tcPr>
          <w:p>
            <w:pPr>
              <w:jc w:val="center"/>
              <w:spacing w:after="0"/>
              <w:rPr>
                <w:sz w:val="20"/>
                <w:szCs w:val="20"/>
                <w:color w:val="auto"/>
              </w:rPr>
            </w:pPr>
            <w:r>
              <w:rPr>
                <w:rFonts w:ascii="Arial" w:cs="Arial" w:eastAsia="Arial" w:hAnsi="Arial"/>
                <w:sz w:val="13"/>
                <w:szCs w:val="13"/>
                <w:b w:val="1"/>
                <w:bCs w:val="1"/>
                <w:color w:val="auto"/>
                <w:w w:val="96"/>
              </w:rPr>
              <w:t>TDRs Modified Within the Previous</w:t>
            </w: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20" w:type="dxa"/>
            <w:vAlign w:val="bottom"/>
            <w:gridSpan w:val="10"/>
            <w:vMerge w:val="restart"/>
          </w:tcPr>
          <w:p>
            <w:pPr>
              <w:ind w:left="420"/>
              <w:spacing w:after="0"/>
              <w:rPr>
                <w:sz w:val="20"/>
                <w:szCs w:val="20"/>
                <w:color w:val="auto"/>
              </w:rPr>
            </w:pPr>
            <w:r>
              <w:rPr>
                <w:rFonts w:ascii="Arial" w:cs="Arial" w:eastAsia="Arial" w:hAnsi="Arial"/>
                <w:sz w:val="13"/>
                <w:szCs w:val="13"/>
                <w:b w:val="1"/>
                <w:bCs w:val="1"/>
                <w:color w:val="auto"/>
              </w:rPr>
              <w:t>Post-Modification Amortized Cost by Type of Modification</w:t>
            </w:r>
          </w:p>
        </w:tc>
        <w:tc>
          <w:tcPr>
            <w:tcW w:w="100" w:type="dxa"/>
            <w:vAlign w:val="bottom"/>
            <w:vMerge w:val="restart"/>
          </w:tcPr>
          <w:p>
            <w:pPr>
              <w:spacing w:after="0"/>
              <w:rPr>
                <w:sz w:val="11"/>
                <w:szCs w:val="11"/>
                <w:color w:val="auto"/>
              </w:rPr>
            </w:pPr>
          </w:p>
        </w:tc>
        <w:tc>
          <w:tcPr>
            <w:tcW w:w="2240" w:type="dxa"/>
            <w:vAlign w:val="bottom"/>
            <w:gridSpan w:val="4"/>
          </w:tcPr>
          <w:p>
            <w:pPr>
              <w:jc w:val="center"/>
              <w:spacing w:after="0" w:line="135" w:lineRule="exact"/>
              <w:rPr>
                <w:sz w:val="20"/>
                <w:szCs w:val="20"/>
                <w:color w:val="auto"/>
              </w:rPr>
            </w:pPr>
            <w:r>
              <w:rPr>
                <w:rFonts w:ascii="Arial" w:cs="Arial" w:eastAsia="Arial" w:hAnsi="Arial"/>
                <w:sz w:val="13"/>
                <w:szCs w:val="13"/>
                <w:b w:val="1"/>
                <w:bCs w:val="1"/>
                <w:color w:val="auto"/>
                <w:w w:val="95"/>
              </w:rPr>
              <w:t>Twelve Months That Have</w:t>
            </w:r>
          </w:p>
        </w:tc>
        <w:tc>
          <w:tcPr>
            <w:tcW w:w="0" w:type="dxa"/>
            <w:vAlign w:val="bottom"/>
          </w:tcPr>
          <w:p>
            <w:pPr>
              <w:spacing w:after="0"/>
              <w:rPr>
                <w:sz w:val="1"/>
                <w:szCs w:val="1"/>
                <w:color w:val="auto"/>
              </w:rPr>
            </w:pPr>
          </w:p>
        </w:tc>
      </w:tr>
      <w:tr>
        <w:trPr>
          <w:trHeight w:val="182"/>
        </w:trPr>
        <w:tc>
          <w:tcPr>
            <w:tcW w:w="3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420" w:type="dxa"/>
            <w:vAlign w:val="bottom"/>
            <w:tcBorders>
              <w:bottom w:val="single" w:sz="8" w:color="auto"/>
            </w:tcBorders>
            <w:gridSpan w:val="10"/>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840" w:type="dxa"/>
            <w:vAlign w:val="bottom"/>
            <w:tcBorders>
              <w:bottom w:val="single" w:sz="8" w:color="auto"/>
            </w:tcBorders>
            <w:gridSpan w:val="3"/>
          </w:tcPr>
          <w:p>
            <w:pPr>
              <w:jc w:val="center"/>
              <w:ind w:left="333"/>
              <w:spacing w:after="0"/>
              <w:rPr>
                <w:sz w:val="20"/>
                <w:szCs w:val="20"/>
                <w:color w:val="auto"/>
              </w:rPr>
            </w:pPr>
            <w:r>
              <w:rPr>
                <w:rFonts w:ascii="Arial" w:cs="Arial" w:eastAsia="Arial" w:hAnsi="Arial"/>
                <w:sz w:val="13"/>
                <w:szCs w:val="13"/>
                <w:b w:val="1"/>
                <w:bCs w:val="1"/>
                <w:color w:val="auto"/>
                <w:w w:val="91"/>
              </w:rPr>
              <w:t>Subsequently Defaulted</w:t>
            </w:r>
          </w:p>
        </w:tc>
        <w:tc>
          <w:tcPr>
            <w:tcW w:w="4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3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5"/>
              </w:rPr>
              <w:t>Number of</w:t>
            </w:r>
          </w:p>
        </w:tc>
        <w:tc>
          <w:tcPr>
            <w:tcW w:w="160" w:type="dxa"/>
            <w:vAlign w:val="bottom"/>
          </w:tcPr>
          <w:p>
            <w:pPr>
              <w:spacing w:after="0"/>
              <w:rPr>
                <w:sz w:val="14"/>
                <w:szCs w:val="14"/>
                <w:color w:val="auto"/>
              </w:rPr>
            </w:pPr>
          </w:p>
        </w:tc>
        <w:tc>
          <w:tcPr>
            <w:tcW w:w="1000" w:type="dxa"/>
            <w:vAlign w:val="bottom"/>
            <w:gridSpan w:val="2"/>
          </w:tcPr>
          <w:p>
            <w:pPr>
              <w:ind w:left="200"/>
              <w:spacing w:after="0"/>
              <w:rPr>
                <w:sz w:val="20"/>
                <w:szCs w:val="20"/>
                <w:color w:val="auto"/>
              </w:rPr>
            </w:pPr>
            <w:r>
              <w:rPr>
                <w:rFonts w:ascii="Arial" w:cs="Arial" w:eastAsia="Arial" w:hAnsi="Arial"/>
                <w:sz w:val="13"/>
                <w:szCs w:val="13"/>
                <w:b w:val="1"/>
                <w:bCs w:val="1"/>
                <w:color w:val="auto"/>
              </w:rPr>
              <w:t>Rate</w:t>
            </w:r>
          </w:p>
        </w:tc>
        <w:tc>
          <w:tcPr>
            <w:tcW w:w="180" w:type="dxa"/>
            <w:vAlign w:val="bottom"/>
          </w:tcPr>
          <w:p>
            <w:pPr>
              <w:spacing w:after="0"/>
              <w:rPr>
                <w:sz w:val="14"/>
                <w:szCs w:val="14"/>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Structure</w:t>
            </w:r>
          </w:p>
        </w:tc>
        <w:tc>
          <w:tcPr>
            <w:tcW w:w="160" w:type="dxa"/>
            <w:vAlign w:val="bottom"/>
          </w:tcPr>
          <w:p>
            <w:pPr>
              <w:spacing w:after="0"/>
              <w:rPr>
                <w:sz w:val="14"/>
                <w:szCs w:val="14"/>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7"/>
              </w:rPr>
              <w:t>Other</w:t>
            </w:r>
          </w:p>
        </w:tc>
        <w:tc>
          <w:tcPr>
            <w:tcW w:w="240" w:type="dxa"/>
            <w:vAlign w:val="bottom"/>
          </w:tcPr>
          <w:p>
            <w:pPr>
              <w:spacing w:after="0"/>
              <w:rPr>
                <w:sz w:val="14"/>
                <w:szCs w:val="14"/>
                <w:color w:val="auto"/>
              </w:rPr>
            </w:pPr>
          </w:p>
        </w:tc>
        <w:tc>
          <w:tcPr>
            <w:tcW w:w="94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Total</w:t>
            </w:r>
          </w:p>
        </w:tc>
        <w:tc>
          <w:tcPr>
            <w:tcW w:w="118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Number of</w:t>
            </w:r>
          </w:p>
        </w:tc>
        <w:tc>
          <w:tcPr>
            <w:tcW w:w="1060" w:type="dxa"/>
            <w:vAlign w:val="bottom"/>
            <w:gridSpan w:val="2"/>
            <w:vMerge w:val="restart"/>
          </w:tcPr>
          <w:p>
            <w:pPr>
              <w:jc w:val="right"/>
              <w:ind w:right="13"/>
              <w:spacing w:after="0"/>
              <w:rPr>
                <w:sz w:val="20"/>
                <w:szCs w:val="20"/>
                <w:color w:val="auto"/>
              </w:rPr>
            </w:pPr>
            <w:r>
              <w:rPr>
                <w:rFonts w:ascii="Arial" w:cs="Arial" w:eastAsia="Arial" w:hAnsi="Arial"/>
                <w:sz w:val="13"/>
                <w:szCs w:val="13"/>
                <w:b w:val="1"/>
                <w:bCs w:val="1"/>
                <w:color w:val="auto"/>
                <w:w w:val="99"/>
              </w:rPr>
              <w:t>Amortized Cost</w:t>
            </w:r>
          </w:p>
        </w:tc>
        <w:tc>
          <w:tcPr>
            <w:tcW w:w="0" w:type="dxa"/>
            <w:vAlign w:val="bottom"/>
          </w:tcPr>
          <w:p>
            <w:pPr>
              <w:spacing w:after="0"/>
              <w:rPr>
                <w:sz w:val="1"/>
                <w:szCs w:val="1"/>
                <w:color w:val="auto"/>
              </w:rPr>
            </w:pPr>
          </w:p>
        </w:tc>
      </w:tr>
      <w:tr>
        <w:trPr>
          <w:trHeight w:val="182"/>
        </w:trPr>
        <w:tc>
          <w:tcPr>
            <w:tcW w:w="3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5"/>
              </w:rPr>
              <w:t>Contracts</w:t>
            </w:r>
          </w:p>
        </w:tc>
        <w:tc>
          <w:tcPr>
            <w:tcW w:w="160" w:type="dxa"/>
            <w:vAlign w:val="bottom"/>
          </w:tcPr>
          <w:p>
            <w:pPr>
              <w:spacing w:after="0"/>
              <w:rPr>
                <w:sz w:val="15"/>
                <w:szCs w:val="15"/>
                <w:color w:val="auto"/>
              </w:rPr>
            </w:pPr>
          </w:p>
        </w:tc>
        <w:tc>
          <w:tcPr>
            <w:tcW w:w="1000" w:type="dxa"/>
            <w:vAlign w:val="bottom"/>
            <w:gridSpan w:val="2"/>
          </w:tcPr>
          <w:p>
            <w:pPr>
              <w:ind w:left="80"/>
              <w:spacing w:after="0"/>
              <w:rPr>
                <w:sz w:val="20"/>
                <w:szCs w:val="20"/>
                <w:color w:val="auto"/>
              </w:rPr>
            </w:pPr>
            <w:r>
              <w:rPr>
                <w:rFonts w:ascii="Arial" w:cs="Arial" w:eastAsia="Arial" w:hAnsi="Arial"/>
                <w:sz w:val="13"/>
                <w:szCs w:val="13"/>
                <w:b w:val="1"/>
                <w:bCs w:val="1"/>
                <w:color w:val="auto"/>
              </w:rPr>
              <w:t>Reduction</w:t>
            </w:r>
          </w:p>
        </w:tc>
        <w:tc>
          <w:tcPr>
            <w:tcW w:w="18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Contracts</w:t>
            </w:r>
          </w:p>
        </w:tc>
        <w:tc>
          <w:tcPr>
            <w:tcW w:w="10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Three Months Ended June 30, 2021</w:t>
            </w:r>
          </w:p>
        </w:tc>
        <w:tc>
          <w:tcPr>
            <w:tcW w:w="100" w:type="dxa"/>
            <w:vAlign w:val="bottom"/>
            <w:tcBorders>
              <w:bottom w:val="single" w:sz="8" w:color="CCEEFF"/>
            </w:tcBorders>
          </w:tcPr>
          <w:p>
            <w:pPr>
              <w:spacing w:after="0"/>
              <w:rPr>
                <w:sz w:val="15"/>
                <w:szCs w:val="15"/>
                <w:color w:val="auto"/>
              </w:rPr>
            </w:pPr>
          </w:p>
        </w:tc>
        <w:tc>
          <w:tcPr>
            <w:tcW w:w="1060" w:type="dxa"/>
            <w:vAlign w:val="bottom"/>
            <w:tcBorders>
              <w:top w:val="single" w:sz="8" w:color="auto"/>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CCEEFF"/>
            </w:tcBorders>
          </w:tcPr>
          <w:p>
            <w:pPr>
              <w:spacing w:after="0"/>
              <w:rPr>
                <w:sz w:val="15"/>
                <w:szCs w:val="15"/>
                <w:color w:val="auto"/>
              </w:rPr>
            </w:pPr>
          </w:p>
        </w:tc>
        <w:tc>
          <w:tcPr>
            <w:tcW w:w="900" w:type="dxa"/>
            <w:vAlign w:val="bottom"/>
            <w:tcBorders>
              <w:top w:val="single" w:sz="8" w:color="auto"/>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CCEEFF"/>
            </w:tcBorders>
          </w:tcPr>
          <w:p>
            <w:pPr>
              <w:spacing w:after="0"/>
              <w:rPr>
                <w:sz w:val="15"/>
                <w:szCs w:val="15"/>
                <w:color w:val="auto"/>
              </w:rPr>
            </w:pPr>
          </w:p>
        </w:tc>
        <w:tc>
          <w:tcPr>
            <w:tcW w:w="900" w:type="dxa"/>
            <w:vAlign w:val="bottom"/>
            <w:tcBorders>
              <w:top w:val="single" w:sz="8" w:color="auto"/>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CCEEFF"/>
            </w:tcBorders>
          </w:tcPr>
          <w:p>
            <w:pPr>
              <w:spacing w:after="0"/>
              <w:rPr>
                <w:sz w:val="15"/>
                <w:szCs w:val="15"/>
                <w:color w:val="auto"/>
              </w:rPr>
            </w:pPr>
          </w:p>
        </w:tc>
        <w:tc>
          <w:tcPr>
            <w:tcW w:w="900" w:type="dxa"/>
            <w:vAlign w:val="bottom"/>
            <w:tcBorders>
              <w:top w:val="single" w:sz="8" w:color="auto"/>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CCEEFF"/>
            </w:tcBorders>
          </w:tcPr>
          <w:p>
            <w:pPr>
              <w:spacing w:after="0"/>
              <w:rPr>
                <w:sz w:val="15"/>
                <w:szCs w:val="15"/>
                <w:color w:val="auto"/>
              </w:rPr>
            </w:pPr>
          </w:p>
        </w:tc>
        <w:tc>
          <w:tcPr>
            <w:tcW w:w="840" w:type="dxa"/>
            <w:vAlign w:val="bottom"/>
            <w:tcBorders>
              <w:top w:val="single" w:sz="8" w:color="auto"/>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60" w:type="dxa"/>
            <w:vAlign w:val="bottom"/>
            <w:tcBorders>
              <w:top w:val="single" w:sz="8" w:color="auto"/>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60" w:type="dxa"/>
            <w:vAlign w:val="bottom"/>
            <w:tcBorders>
              <w:top w:val="single" w:sz="8" w:color="auto"/>
              <w:bottom w:val="single" w:sz="8" w:color="CCEEFF"/>
            </w:tcBorders>
          </w:tcPr>
          <w:p>
            <w:pPr>
              <w:spacing w:after="0"/>
              <w:rPr>
                <w:sz w:val="15"/>
                <w:szCs w:val="15"/>
                <w:color w:val="auto"/>
              </w:rPr>
            </w:pPr>
          </w:p>
        </w:tc>
        <w:tc>
          <w:tcPr>
            <w:tcW w:w="400" w:type="dxa"/>
            <w:vAlign w:val="bottom"/>
            <w:tcBorders>
              <w:top w:val="single" w:sz="8" w:color="auto"/>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Owner occupied commercial real estate</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543</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513"/>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3140" w:type="dxa"/>
            <w:vAlign w:val="bottom"/>
            <w:gridSpan w:val="2"/>
          </w:tcPr>
          <w:p>
            <w:pPr>
              <w:ind w:left="20"/>
              <w:spacing w:after="0"/>
              <w:rPr>
                <w:sz w:val="20"/>
                <w:szCs w:val="20"/>
                <w:color w:val="auto"/>
              </w:rPr>
            </w:pPr>
            <w:r>
              <w:rPr>
                <w:rFonts w:ascii="Arial" w:cs="Arial" w:eastAsia="Arial" w:hAnsi="Arial"/>
                <w:sz w:val="13"/>
                <w:szCs w:val="13"/>
                <w:color w:val="auto"/>
              </w:rPr>
              <w:t>Income producing commercial real estate</w:t>
            </w:r>
          </w:p>
        </w:tc>
        <w:tc>
          <w:tcPr>
            <w:tcW w:w="106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378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378</w:t>
            </w:r>
          </w:p>
        </w:tc>
        <w:tc>
          <w:tcPr>
            <w:tcW w:w="10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Commercial &amp; industrial</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365</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3140" w:type="dxa"/>
            <w:vAlign w:val="bottom"/>
            <w:gridSpan w:val="2"/>
          </w:tcPr>
          <w:p>
            <w:pPr>
              <w:ind w:left="20"/>
              <w:spacing w:after="0"/>
              <w:rPr>
                <w:sz w:val="20"/>
                <w:szCs w:val="20"/>
                <w:color w:val="auto"/>
              </w:rPr>
            </w:pPr>
            <w:r>
              <w:rPr>
                <w:rFonts w:ascii="Arial" w:cs="Arial" w:eastAsia="Arial" w:hAnsi="Arial"/>
                <w:sz w:val="13"/>
                <w:szCs w:val="13"/>
                <w:color w:val="auto"/>
              </w:rPr>
              <w:t>Commercial construction</w:t>
            </w: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00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Equipment financing</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326</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326</w:t>
            </w:r>
          </w:p>
        </w:tc>
        <w:tc>
          <w:tcPr>
            <w:tcW w:w="10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138</w:t>
            </w:r>
          </w:p>
        </w:tc>
        <w:tc>
          <w:tcPr>
            <w:tcW w:w="0" w:type="dxa"/>
            <w:vAlign w:val="bottom"/>
          </w:tcPr>
          <w:p>
            <w:pPr>
              <w:spacing w:after="0"/>
              <w:rPr>
                <w:sz w:val="1"/>
                <w:szCs w:val="1"/>
                <w:color w:val="auto"/>
              </w:rPr>
            </w:pPr>
          </w:p>
        </w:tc>
      </w:tr>
      <w:tr>
        <w:trPr>
          <w:trHeight w:val="176"/>
        </w:trPr>
        <w:tc>
          <w:tcPr>
            <w:tcW w:w="3140" w:type="dxa"/>
            <w:vAlign w:val="bottom"/>
            <w:gridSpan w:val="2"/>
          </w:tcPr>
          <w:p>
            <w:pPr>
              <w:ind w:left="220"/>
              <w:spacing w:after="0"/>
              <w:rPr>
                <w:sz w:val="20"/>
                <w:szCs w:val="20"/>
                <w:color w:val="auto"/>
              </w:rPr>
            </w:pPr>
            <w:r>
              <w:rPr>
                <w:rFonts w:ascii="Arial" w:cs="Arial" w:eastAsia="Arial" w:hAnsi="Arial"/>
                <w:sz w:val="13"/>
                <w:szCs w:val="13"/>
                <w:color w:val="auto"/>
              </w:rPr>
              <w:t>Total commercial</w:t>
            </w:r>
          </w:p>
        </w:tc>
        <w:tc>
          <w:tcPr>
            <w:tcW w:w="1060" w:type="dxa"/>
            <w:vAlign w:val="bottom"/>
          </w:tcPr>
          <w:p>
            <w:pPr>
              <w:jc w:val="right"/>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1,234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378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1,612</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138</w:t>
            </w:r>
          </w:p>
        </w:tc>
        <w:tc>
          <w:tcPr>
            <w:tcW w:w="0" w:type="dxa"/>
            <w:vAlign w:val="bottom"/>
          </w:tcPr>
          <w:p>
            <w:pPr>
              <w:spacing w:after="0"/>
              <w:rPr>
                <w:sz w:val="1"/>
                <w:szCs w:val="1"/>
                <w:color w:val="auto"/>
              </w:rPr>
            </w:pPr>
          </w:p>
        </w:tc>
      </w:tr>
      <w:tr>
        <w:trPr>
          <w:trHeight w:val="196"/>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Residential mortgage</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322</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3140" w:type="dxa"/>
            <w:vAlign w:val="bottom"/>
            <w:gridSpan w:val="2"/>
          </w:tcPr>
          <w:p>
            <w:pPr>
              <w:ind w:left="20"/>
              <w:spacing w:after="0"/>
              <w:rPr>
                <w:sz w:val="20"/>
                <w:szCs w:val="20"/>
                <w:color w:val="auto"/>
              </w:rPr>
            </w:pPr>
            <w:r>
              <w:rPr>
                <w:rFonts w:ascii="Arial" w:cs="Arial" w:eastAsia="Arial" w:hAnsi="Arial"/>
                <w:sz w:val="13"/>
                <w:szCs w:val="13"/>
                <w:color w:val="auto"/>
              </w:rPr>
              <w:t>HELOC</w:t>
            </w: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00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49</w:t>
            </w:r>
          </w:p>
        </w:tc>
        <w:tc>
          <w:tcPr>
            <w:tcW w:w="0" w:type="dxa"/>
            <w:vAlign w:val="bottom"/>
          </w:tcPr>
          <w:p>
            <w:pPr>
              <w:spacing w:after="0"/>
              <w:rPr>
                <w:sz w:val="1"/>
                <w:szCs w:val="1"/>
                <w:color w:val="auto"/>
              </w:rPr>
            </w:pPr>
          </w:p>
        </w:tc>
      </w:tr>
      <w:tr>
        <w:trPr>
          <w:trHeight w:val="196"/>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Residential construction</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314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Consumer</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ind w:left="70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9"/>
        </w:trPr>
        <w:tc>
          <w:tcPr>
            <w:tcW w:w="314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Total loans</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1,934</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513"/>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3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Six Months Ended June 30, 2021</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140" w:type="dxa"/>
            <w:vAlign w:val="bottom"/>
            <w:gridSpan w:val="2"/>
          </w:tcPr>
          <w:p>
            <w:pPr>
              <w:ind w:left="20"/>
              <w:spacing w:after="0"/>
              <w:rPr>
                <w:sz w:val="20"/>
                <w:szCs w:val="20"/>
                <w:color w:val="auto"/>
              </w:rPr>
            </w:pPr>
            <w:r>
              <w:rPr>
                <w:rFonts w:ascii="Arial" w:cs="Arial" w:eastAsia="Arial" w:hAnsi="Arial"/>
                <w:sz w:val="13"/>
                <w:szCs w:val="13"/>
                <w:color w:val="auto"/>
              </w:rPr>
              <w:t>Owner occupied commercial real estate</w:t>
            </w:r>
          </w:p>
        </w:tc>
        <w:tc>
          <w:tcPr>
            <w:tcW w:w="106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5"/>
                <w:szCs w:val="15"/>
                <w:color w:val="auto"/>
              </w:rPr>
            </w:pP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543</w:t>
            </w:r>
          </w:p>
        </w:tc>
        <w:tc>
          <w:tcPr>
            <w:tcW w:w="100" w:type="dxa"/>
            <w:vAlign w:val="bottom"/>
          </w:tcPr>
          <w:p>
            <w:pPr>
              <w:spacing w:after="0"/>
              <w:rPr>
                <w:sz w:val="15"/>
                <w:szCs w:val="15"/>
                <w:color w:val="auto"/>
              </w:rPr>
            </w:pP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543</w:t>
            </w:r>
          </w:p>
        </w:tc>
        <w:tc>
          <w:tcPr>
            <w:tcW w:w="10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513"/>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Income producing commercial real estate</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1,697</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3140" w:type="dxa"/>
            <w:vAlign w:val="bottom"/>
            <w:gridSpan w:val="2"/>
          </w:tcPr>
          <w:p>
            <w:pPr>
              <w:ind w:left="20"/>
              <w:spacing w:after="0"/>
              <w:rPr>
                <w:sz w:val="20"/>
                <w:szCs w:val="20"/>
                <w:color w:val="auto"/>
              </w:rPr>
            </w:pPr>
            <w:r>
              <w:rPr>
                <w:rFonts w:ascii="Arial" w:cs="Arial" w:eastAsia="Arial" w:hAnsi="Arial"/>
                <w:sz w:val="13"/>
                <w:szCs w:val="13"/>
                <w:color w:val="auto"/>
              </w:rPr>
              <w:t>Commercial &amp; industrial</w:t>
            </w:r>
          </w:p>
        </w:tc>
        <w:tc>
          <w:tcPr>
            <w:tcW w:w="1060" w:type="dxa"/>
            <w:vAlign w:val="bottom"/>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365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103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468</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96"/>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Commercial construction</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309</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314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Equipment financing</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ind w:left="70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2,462</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2,462</w:t>
            </w: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w:t>
            </w: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w:t>
            </w:r>
          </w:p>
        </w:tc>
        <w:tc>
          <w:tcPr>
            <w:tcW w:w="0" w:type="dxa"/>
            <w:vAlign w:val="bottom"/>
          </w:tcPr>
          <w:p>
            <w:pPr>
              <w:spacing w:after="0"/>
              <w:rPr>
                <w:sz w:val="1"/>
                <w:szCs w:val="1"/>
                <w:color w:val="auto"/>
              </w:rPr>
            </w:pPr>
          </w:p>
        </w:tc>
      </w:tr>
      <w:tr>
        <w:trPr>
          <w:trHeight w:val="189"/>
        </w:trPr>
        <w:tc>
          <w:tcPr>
            <w:tcW w:w="314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Total commercial</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3,679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5,479</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w:t>
            </w:r>
          </w:p>
        </w:tc>
        <w:tc>
          <w:tcPr>
            <w:tcW w:w="0" w:type="dxa"/>
            <w:vAlign w:val="bottom"/>
          </w:tcPr>
          <w:p>
            <w:pPr>
              <w:spacing w:after="0"/>
              <w:rPr>
                <w:sz w:val="1"/>
                <w:szCs w:val="1"/>
                <w:color w:val="auto"/>
              </w:rPr>
            </w:pPr>
          </w:p>
        </w:tc>
      </w:tr>
      <w:tr>
        <w:trPr>
          <w:trHeight w:val="182"/>
        </w:trPr>
        <w:tc>
          <w:tcPr>
            <w:tcW w:w="3140" w:type="dxa"/>
            <w:vAlign w:val="bottom"/>
            <w:gridSpan w:val="2"/>
          </w:tcPr>
          <w:p>
            <w:pPr>
              <w:ind w:left="20"/>
              <w:spacing w:after="0"/>
              <w:rPr>
                <w:sz w:val="20"/>
                <w:szCs w:val="20"/>
                <w:color w:val="auto"/>
              </w:rPr>
            </w:pPr>
            <w:r>
              <w:rPr>
                <w:rFonts w:ascii="Arial" w:cs="Arial" w:eastAsia="Arial" w:hAnsi="Arial"/>
                <w:sz w:val="13"/>
                <w:szCs w:val="13"/>
                <w:color w:val="auto"/>
              </w:rPr>
              <w:t>Residential mortgage</w:t>
            </w:r>
          </w:p>
        </w:tc>
        <w:tc>
          <w:tcPr>
            <w:tcW w:w="1060" w:type="dxa"/>
            <w:vAlign w:val="bottom"/>
          </w:tcPr>
          <w:p>
            <w:pPr>
              <w:jc w:val="right"/>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391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391</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413</w:t>
            </w:r>
          </w:p>
        </w:tc>
        <w:tc>
          <w:tcPr>
            <w:tcW w:w="0" w:type="dxa"/>
            <w:vAlign w:val="bottom"/>
          </w:tcPr>
          <w:p>
            <w:pPr>
              <w:spacing w:after="0"/>
              <w:rPr>
                <w:sz w:val="1"/>
                <w:szCs w:val="1"/>
                <w:color w:val="auto"/>
              </w:rPr>
            </w:pPr>
          </w:p>
        </w:tc>
      </w:tr>
      <w:tr>
        <w:trPr>
          <w:trHeight w:val="196"/>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HELOC</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0" w:type="dxa"/>
            <w:vAlign w:val="bottom"/>
          </w:tcPr>
          <w:p>
            <w:pPr>
              <w:spacing w:after="0"/>
              <w:rPr>
                <w:sz w:val="1"/>
                <w:szCs w:val="1"/>
                <w:color w:val="auto"/>
              </w:rPr>
            </w:pPr>
          </w:p>
        </w:tc>
      </w:tr>
      <w:tr>
        <w:trPr>
          <w:trHeight w:val="182"/>
        </w:trPr>
        <w:tc>
          <w:tcPr>
            <w:tcW w:w="3140" w:type="dxa"/>
            <w:vAlign w:val="bottom"/>
            <w:gridSpan w:val="2"/>
          </w:tcPr>
          <w:p>
            <w:pPr>
              <w:ind w:left="20"/>
              <w:spacing w:after="0"/>
              <w:rPr>
                <w:sz w:val="20"/>
                <w:szCs w:val="20"/>
                <w:color w:val="auto"/>
              </w:rPr>
            </w:pPr>
            <w:r>
              <w:rPr>
                <w:rFonts w:ascii="Arial" w:cs="Arial" w:eastAsia="Arial" w:hAnsi="Arial"/>
                <w:sz w:val="13"/>
                <w:szCs w:val="13"/>
                <w:color w:val="auto"/>
              </w:rPr>
              <w:t>Residential construction</w:t>
            </w: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00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0"/>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Consumer</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3140" w:type="dxa"/>
            <w:vAlign w:val="bottom"/>
            <w:gridSpan w:val="2"/>
          </w:tcPr>
          <w:p>
            <w:pPr>
              <w:ind w:left="220"/>
              <w:spacing w:after="0"/>
              <w:rPr>
                <w:sz w:val="20"/>
                <w:szCs w:val="20"/>
                <w:color w:val="auto"/>
              </w:rPr>
            </w:pPr>
            <w:r>
              <w:rPr>
                <w:rFonts w:ascii="Arial" w:cs="Arial" w:eastAsia="Arial" w:hAnsi="Arial"/>
                <w:sz w:val="13"/>
                <w:szCs w:val="13"/>
                <w:color w:val="auto"/>
              </w:rPr>
              <w:t>Total loans</w:t>
            </w:r>
          </w:p>
        </w:tc>
        <w:tc>
          <w:tcPr>
            <w:tcW w:w="1060" w:type="dxa"/>
            <w:vAlign w:val="bottom"/>
          </w:tcPr>
          <w:p>
            <w:pPr>
              <w:jc w:val="right"/>
              <w:spacing w:after="0"/>
              <w:rPr>
                <w:sz w:val="20"/>
                <w:szCs w:val="20"/>
                <w:color w:val="auto"/>
              </w:rPr>
            </w:pPr>
            <w:r>
              <w:rPr>
                <w:rFonts w:ascii="Arial" w:cs="Arial" w:eastAsia="Arial" w:hAnsi="Arial"/>
                <w:sz w:val="13"/>
                <w:szCs w:val="13"/>
                <w:color w:val="auto"/>
              </w:rPr>
              <w:t>51</w:t>
            </w:r>
          </w:p>
        </w:tc>
        <w:tc>
          <w:tcPr>
            <w:tcW w:w="120" w:type="dxa"/>
            <w:vAlign w:val="bottom"/>
          </w:tcPr>
          <w:p>
            <w:pPr>
              <w:spacing w:after="0"/>
              <w:rPr>
                <w:sz w:val="16"/>
                <w:szCs w:val="16"/>
                <w:color w:val="auto"/>
              </w:rPr>
            </w:pP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4,070</w:t>
            </w:r>
          </w:p>
        </w:tc>
        <w:tc>
          <w:tcPr>
            <w:tcW w:w="100" w:type="dxa"/>
            <w:vAlign w:val="bottom"/>
          </w:tcPr>
          <w:p>
            <w:pPr>
              <w:spacing w:after="0"/>
              <w:rPr>
                <w:sz w:val="16"/>
                <w:szCs w:val="16"/>
                <w:color w:val="auto"/>
              </w:rPr>
            </w:pP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1,800</w:t>
            </w:r>
          </w:p>
        </w:tc>
        <w:tc>
          <w:tcPr>
            <w:tcW w:w="100" w:type="dxa"/>
            <w:vAlign w:val="bottom"/>
          </w:tcPr>
          <w:p>
            <w:pPr>
              <w:spacing w:after="0"/>
              <w:rPr>
                <w:sz w:val="16"/>
                <w:szCs w:val="16"/>
                <w:color w:val="auto"/>
              </w:rPr>
            </w:pPr>
          </w:p>
        </w:tc>
        <w:tc>
          <w:tcPr>
            <w:tcW w:w="2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5,870</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13</w:t>
            </w:r>
          </w:p>
        </w:tc>
        <w:tc>
          <w:tcPr>
            <w:tcW w:w="120" w:type="dxa"/>
            <w:vAlign w:val="bottom"/>
          </w:tcPr>
          <w:p>
            <w:pPr>
              <w:spacing w:after="0"/>
              <w:rPr>
                <w:sz w:val="16"/>
                <w:szCs w:val="16"/>
                <w:color w:val="auto"/>
              </w:rPr>
            </w:pPr>
          </w:p>
        </w:tc>
        <w:tc>
          <w:tcPr>
            <w:tcW w:w="660" w:type="dxa"/>
            <w:vAlign w:val="bottom"/>
          </w:tcPr>
          <w:p>
            <w:pPr>
              <w:jc w:val="right"/>
              <w:ind w:right="513"/>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673</w:t>
            </w:r>
          </w:p>
        </w:tc>
        <w:tc>
          <w:tcPr>
            <w:tcW w:w="0" w:type="dxa"/>
            <w:vAlign w:val="bottom"/>
          </w:tcPr>
          <w:p>
            <w:pPr>
              <w:spacing w:after="0"/>
              <w:rPr>
                <w:sz w:val="1"/>
                <w:szCs w:val="1"/>
                <w:color w:val="auto"/>
              </w:rPr>
            </w:pP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Three Months Ended June 30, 2020</w:t>
            </w: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Owner occupied commercial real estate</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546</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513"/>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3140" w:type="dxa"/>
            <w:vAlign w:val="bottom"/>
            <w:gridSpan w:val="2"/>
          </w:tcPr>
          <w:p>
            <w:pPr>
              <w:ind w:left="20"/>
              <w:spacing w:after="0"/>
              <w:rPr>
                <w:sz w:val="20"/>
                <w:szCs w:val="20"/>
                <w:color w:val="auto"/>
              </w:rPr>
            </w:pPr>
            <w:r>
              <w:rPr>
                <w:rFonts w:ascii="Arial" w:cs="Arial" w:eastAsia="Arial" w:hAnsi="Arial"/>
                <w:sz w:val="13"/>
                <w:szCs w:val="13"/>
                <w:color w:val="auto"/>
              </w:rPr>
              <w:t>Income producing commercial real estate</w:t>
            </w: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00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w w:val="98"/>
              </w:rPr>
              <w:t>5,998</w:t>
            </w:r>
          </w:p>
        </w:tc>
        <w:tc>
          <w:tcPr>
            <w:tcW w:w="0" w:type="dxa"/>
            <w:vAlign w:val="bottom"/>
          </w:tcPr>
          <w:p>
            <w:pPr>
              <w:spacing w:after="0"/>
              <w:rPr>
                <w:sz w:val="1"/>
                <w:szCs w:val="1"/>
                <w:color w:val="auto"/>
              </w:rPr>
            </w:pPr>
          </w:p>
        </w:tc>
      </w:tr>
      <w:tr>
        <w:trPr>
          <w:trHeight w:val="196"/>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Commercial &amp; industrial</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627</w:t>
            </w:r>
          </w:p>
        </w:tc>
        <w:tc>
          <w:tcPr>
            <w:tcW w:w="0" w:type="dxa"/>
            <w:vAlign w:val="bottom"/>
          </w:tcPr>
          <w:p>
            <w:pPr>
              <w:spacing w:after="0"/>
              <w:rPr>
                <w:sz w:val="1"/>
                <w:szCs w:val="1"/>
                <w:color w:val="auto"/>
              </w:rPr>
            </w:pPr>
          </w:p>
        </w:tc>
      </w:tr>
      <w:tr>
        <w:trPr>
          <w:trHeight w:val="182"/>
        </w:trPr>
        <w:tc>
          <w:tcPr>
            <w:tcW w:w="3140" w:type="dxa"/>
            <w:vAlign w:val="bottom"/>
            <w:gridSpan w:val="2"/>
          </w:tcPr>
          <w:p>
            <w:pPr>
              <w:ind w:left="20"/>
              <w:spacing w:after="0"/>
              <w:rPr>
                <w:sz w:val="20"/>
                <w:szCs w:val="20"/>
                <w:color w:val="auto"/>
              </w:rPr>
            </w:pPr>
            <w:r>
              <w:rPr>
                <w:rFonts w:ascii="Arial" w:cs="Arial" w:eastAsia="Arial" w:hAnsi="Arial"/>
                <w:sz w:val="13"/>
                <w:szCs w:val="13"/>
                <w:color w:val="auto"/>
              </w:rPr>
              <w:t>Commercial construction</w:t>
            </w:r>
          </w:p>
        </w:tc>
        <w:tc>
          <w:tcPr>
            <w:tcW w:w="106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255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255</w:t>
            </w:r>
          </w:p>
        </w:tc>
        <w:tc>
          <w:tcPr>
            <w:tcW w:w="10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Equipment financing</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129</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3,471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3,471</w:t>
            </w:r>
          </w:p>
        </w:tc>
        <w:tc>
          <w:tcPr>
            <w:tcW w:w="10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310</w:t>
            </w:r>
          </w:p>
        </w:tc>
        <w:tc>
          <w:tcPr>
            <w:tcW w:w="0" w:type="dxa"/>
            <w:vAlign w:val="bottom"/>
          </w:tcPr>
          <w:p>
            <w:pPr>
              <w:spacing w:after="0"/>
              <w:rPr>
                <w:sz w:val="1"/>
                <w:szCs w:val="1"/>
                <w:color w:val="auto"/>
              </w:rPr>
            </w:pPr>
          </w:p>
        </w:tc>
      </w:tr>
      <w:tr>
        <w:trPr>
          <w:trHeight w:val="175"/>
        </w:trPr>
        <w:tc>
          <w:tcPr>
            <w:tcW w:w="3140" w:type="dxa"/>
            <w:vAlign w:val="bottom"/>
            <w:gridSpan w:val="2"/>
          </w:tcPr>
          <w:p>
            <w:pPr>
              <w:ind w:left="220"/>
              <w:spacing w:after="0"/>
              <w:rPr>
                <w:sz w:val="20"/>
                <w:szCs w:val="20"/>
                <w:color w:val="auto"/>
              </w:rPr>
            </w:pPr>
            <w:r>
              <w:rPr>
                <w:rFonts w:ascii="Arial" w:cs="Arial" w:eastAsia="Arial" w:hAnsi="Arial"/>
                <w:sz w:val="13"/>
                <w:szCs w:val="13"/>
                <w:color w:val="auto"/>
              </w:rPr>
              <w:t>Total commercial</w:t>
            </w:r>
          </w:p>
        </w:tc>
        <w:tc>
          <w:tcPr>
            <w:tcW w:w="1060" w:type="dxa"/>
            <w:vAlign w:val="bottom"/>
          </w:tcPr>
          <w:p>
            <w:pPr>
              <w:jc w:val="right"/>
              <w:spacing w:after="0"/>
              <w:rPr>
                <w:sz w:val="20"/>
                <w:szCs w:val="20"/>
                <w:color w:val="auto"/>
              </w:rPr>
            </w:pPr>
            <w:r>
              <w:rPr>
                <w:rFonts w:ascii="Arial" w:cs="Arial" w:eastAsia="Arial" w:hAnsi="Arial"/>
                <w:sz w:val="13"/>
                <w:szCs w:val="13"/>
                <w:color w:val="auto"/>
              </w:rPr>
              <w:t>133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3,726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561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4,287</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w w:val="98"/>
              </w:rPr>
              <w:t>6,935</w:t>
            </w:r>
          </w:p>
        </w:tc>
        <w:tc>
          <w:tcPr>
            <w:tcW w:w="0" w:type="dxa"/>
            <w:vAlign w:val="bottom"/>
          </w:tcPr>
          <w:p>
            <w:pPr>
              <w:spacing w:after="0"/>
              <w:rPr>
                <w:sz w:val="1"/>
                <w:szCs w:val="1"/>
                <w:color w:val="auto"/>
              </w:rPr>
            </w:pPr>
          </w:p>
        </w:tc>
      </w:tr>
      <w:tr>
        <w:trPr>
          <w:trHeight w:val="196"/>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Residential mortgage</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644</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3140" w:type="dxa"/>
            <w:vAlign w:val="bottom"/>
            <w:gridSpan w:val="2"/>
          </w:tcPr>
          <w:p>
            <w:pPr>
              <w:ind w:left="20"/>
              <w:spacing w:after="0"/>
              <w:rPr>
                <w:sz w:val="20"/>
                <w:szCs w:val="20"/>
                <w:color w:val="auto"/>
              </w:rPr>
            </w:pPr>
            <w:r>
              <w:rPr>
                <w:rFonts w:ascii="Arial" w:cs="Arial" w:eastAsia="Arial" w:hAnsi="Arial"/>
                <w:sz w:val="13"/>
                <w:szCs w:val="13"/>
                <w:color w:val="auto"/>
              </w:rPr>
              <w:t>HELOC</w:t>
            </w: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00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Residential construction</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314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Consumer</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ind w:left="70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w:t>
            </w: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9"/>
        </w:trPr>
        <w:tc>
          <w:tcPr>
            <w:tcW w:w="314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Total loans</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4,370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4,938</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513"/>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6,935</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3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Six Months Ended June 30, 2020</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140" w:type="dxa"/>
            <w:vAlign w:val="bottom"/>
            <w:gridSpan w:val="2"/>
          </w:tcPr>
          <w:p>
            <w:pPr>
              <w:ind w:left="20"/>
              <w:spacing w:after="0"/>
              <w:rPr>
                <w:sz w:val="20"/>
                <w:szCs w:val="20"/>
                <w:color w:val="auto"/>
              </w:rPr>
            </w:pPr>
            <w:r>
              <w:rPr>
                <w:rFonts w:ascii="Arial" w:cs="Arial" w:eastAsia="Arial" w:hAnsi="Arial"/>
                <w:sz w:val="13"/>
                <w:szCs w:val="13"/>
                <w:color w:val="auto"/>
              </w:rPr>
              <w:t>Owner occupied commercial real estate</w:t>
            </w:r>
          </w:p>
        </w:tc>
        <w:tc>
          <w:tcPr>
            <w:tcW w:w="106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5"/>
                <w:szCs w:val="15"/>
                <w:color w:val="auto"/>
              </w:rPr>
            </w:pP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1,536</w:t>
            </w:r>
          </w:p>
        </w:tc>
        <w:tc>
          <w:tcPr>
            <w:tcW w:w="100" w:type="dxa"/>
            <w:vAlign w:val="bottom"/>
          </w:tcPr>
          <w:p>
            <w:pPr>
              <w:spacing w:after="0"/>
              <w:rPr>
                <w:sz w:val="15"/>
                <w:szCs w:val="15"/>
                <w:color w:val="auto"/>
              </w:rPr>
            </w:pPr>
          </w:p>
        </w:tc>
        <w:tc>
          <w:tcPr>
            <w:tcW w:w="2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1,536</w:t>
            </w:r>
          </w:p>
        </w:tc>
        <w:tc>
          <w:tcPr>
            <w:tcW w:w="10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513"/>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Income producing commercial real estate</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232</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5,998</w:t>
            </w:r>
          </w:p>
        </w:tc>
        <w:tc>
          <w:tcPr>
            <w:tcW w:w="0" w:type="dxa"/>
            <w:vAlign w:val="bottom"/>
          </w:tcPr>
          <w:p>
            <w:pPr>
              <w:spacing w:after="0"/>
              <w:rPr>
                <w:sz w:val="1"/>
                <w:szCs w:val="1"/>
                <w:color w:val="auto"/>
              </w:rPr>
            </w:pPr>
          </w:p>
        </w:tc>
      </w:tr>
      <w:tr>
        <w:trPr>
          <w:trHeight w:val="182"/>
        </w:trPr>
        <w:tc>
          <w:tcPr>
            <w:tcW w:w="3140" w:type="dxa"/>
            <w:vAlign w:val="bottom"/>
            <w:gridSpan w:val="2"/>
          </w:tcPr>
          <w:p>
            <w:pPr>
              <w:ind w:left="20"/>
              <w:spacing w:after="0"/>
              <w:rPr>
                <w:sz w:val="20"/>
                <w:szCs w:val="20"/>
                <w:color w:val="auto"/>
              </w:rPr>
            </w:pPr>
            <w:r>
              <w:rPr>
                <w:rFonts w:ascii="Arial" w:cs="Arial" w:eastAsia="Arial" w:hAnsi="Arial"/>
                <w:sz w:val="13"/>
                <w:szCs w:val="13"/>
                <w:color w:val="auto"/>
              </w:rPr>
              <w:t>Commercial &amp; industrial</w:t>
            </w:r>
          </w:p>
        </w:tc>
        <w:tc>
          <w:tcPr>
            <w:tcW w:w="106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633</w:t>
            </w:r>
          </w:p>
        </w:tc>
        <w:tc>
          <w:tcPr>
            <w:tcW w:w="0" w:type="dxa"/>
            <w:vAlign w:val="bottom"/>
          </w:tcPr>
          <w:p>
            <w:pPr>
              <w:spacing w:after="0"/>
              <w:rPr>
                <w:sz w:val="1"/>
                <w:szCs w:val="1"/>
                <w:color w:val="auto"/>
              </w:rPr>
            </w:pPr>
          </w:p>
        </w:tc>
      </w:tr>
      <w:tr>
        <w:trPr>
          <w:trHeight w:val="196"/>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Commercial construction</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314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Equipment financing</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136</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ind w:left="70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3,905</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3,905</w:t>
            </w: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310</w:t>
            </w:r>
          </w:p>
        </w:tc>
        <w:tc>
          <w:tcPr>
            <w:tcW w:w="0" w:type="dxa"/>
            <w:vAlign w:val="bottom"/>
          </w:tcPr>
          <w:p>
            <w:pPr>
              <w:spacing w:after="0"/>
              <w:rPr>
                <w:sz w:val="1"/>
                <w:szCs w:val="1"/>
                <w:color w:val="auto"/>
              </w:rPr>
            </w:pPr>
          </w:p>
        </w:tc>
      </w:tr>
      <w:tr>
        <w:trPr>
          <w:trHeight w:val="189"/>
        </w:trPr>
        <w:tc>
          <w:tcPr>
            <w:tcW w:w="314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Total commercial</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4,227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5,943</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6,941</w:t>
            </w:r>
          </w:p>
        </w:tc>
        <w:tc>
          <w:tcPr>
            <w:tcW w:w="0" w:type="dxa"/>
            <w:vAlign w:val="bottom"/>
          </w:tcPr>
          <w:p>
            <w:pPr>
              <w:spacing w:after="0"/>
              <w:rPr>
                <w:sz w:val="1"/>
                <w:szCs w:val="1"/>
                <w:color w:val="auto"/>
              </w:rPr>
            </w:pPr>
          </w:p>
        </w:tc>
      </w:tr>
      <w:tr>
        <w:trPr>
          <w:trHeight w:val="182"/>
        </w:trPr>
        <w:tc>
          <w:tcPr>
            <w:tcW w:w="3140" w:type="dxa"/>
            <w:vAlign w:val="bottom"/>
            <w:gridSpan w:val="2"/>
          </w:tcPr>
          <w:p>
            <w:pPr>
              <w:ind w:left="20"/>
              <w:spacing w:after="0"/>
              <w:rPr>
                <w:sz w:val="20"/>
                <w:szCs w:val="20"/>
                <w:color w:val="auto"/>
              </w:rPr>
            </w:pPr>
            <w:r>
              <w:rPr>
                <w:rFonts w:ascii="Arial" w:cs="Arial" w:eastAsia="Arial" w:hAnsi="Arial"/>
                <w:sz w:val="13"/>
                <w:szCs w:val="13"/>
                <w:color w:val="auto"/>
              </w:rPr>
              <w:t>Residential mortgage</w:t>
            </w:r>
          </w:p>
        </w:tc>
        <w:tc>
          <w:tcPr>
            <w:tcW w:w="1060" w:type="dxa"/>
            <w:vAlign w:val="bottom"/>
          </w:tcPr>
          <w:p>
            <w:pPr>
              <w:jc w:val="right"/>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922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922</w:t>
            </w:r>
          </w:p>
        </w:tc>
        <w:tc>
          <w:tcPr>
            <w:tcW w:w="10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HELOC</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3140" w:type="dxa"/>
            <w:vAlign w:val="bottom"/>
            <w:gridSpan w:val="2"/>
          </w:tcPr>
          <w:p>
            <w:pPr>
              <w:ind w:left="20"/>
              <w:spacing w:after="0"/>
              <w:rPr>
                <w:sz w:val="20"/>
                <w:szCs w:val="20"/>
                <w:color w:val="auto"/>
              </w:rPr>
            </w:pPr>
            <w:r>
              <w:rPr>
                <w:rFonts w:ascii="Arial" w:cs="Arial" w:eastAsia="Arial" w:hAnsi="Arial"/>
                <w:sz w:val="13"/>
                <w:szCs w:val="13"/>
                <w:color w:val="auto"/>
              </w:rPr>
              <w:t>Residential construction</w:t>
            </w: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00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0"/>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Consumer</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89"/>
        </w:trPr>
        <w:tc>
          <w:tcPr>
            <w:tcW w:w="3140" w:type="dxa"/>
            <w:vAlign w:val="bottom"/>
            <w:gridSpan w:val="2"/>
          </w:tcPr>
          <w:p>
            <w:pPr>
              <w:ind w:left="220"/>
              <w:spacing w:after="0"/>
              <w:rPr>
                <w:sz w:val="20"/>
                <w:szCs w:val="20"/>
                <w:color w:val="auto"/>
              </w:rPr>
            </w:pPr>
            <w:r>
              <w:rPr>
                <w:rFonts w:ascii="Arial" w:cs="Arial" w:eastAsia="Arial" w:hAnsi="Arial"/>
                <w:sz w:val="13"/>
                <w:szCs w:val="13"/>
                <w:color w:val="auto"/>
              </w:rPr>
              <w:t>Total loans</w:t>
            </w:r>
          </w:p>
        </w:tc>
        <w:tc>
          <w:tcPr>
            <w:tcW w:w="1060" w:type="dxa"/>
            <w:vAlign w:val="bottom"/>
          </w:tcPr>
          <w:p>
            <w:pPr>
              <w:jc w:val="right"/>
              <w:spacing w:after="0"/>
              <w:rPr>
                <w:sz w:val="20"/>
                <w:szCs w:val="20"/>
                <w:color w:val="auto"/>
              </w:rPr>
            </w:pPr>
            <w:r>
              <w:rPr>
                <w:rFonts w:ascii="Arial" w:cs="Arial" w:eastAsia="Arial" w:hAnsi="Arial"/>
                <w:sz w:val="13"/>
                <w:szCs w:val="13"/>
                <w:color w:val="auto"/>
              </w:rPr>
              <w:t>158</w:t>
            </w:r>
          </w:p>
        </w:tc>
        <w:tc>
          <w:tcPr>
            <w:tcW w:w="120" w:type="dxa"/>
            <w:vAlign w:val="bottom"/>
          </w:tcPr>
          <w:p>
            <w:pPr>
              <w:spacing w:after="0"/>
              <w:rPr>
                <w:sz w:val="16"/>
                <w:szCs w:val="16"/>
                <w:color w:val="auto"/>
              </w:rPr>
            </w:pP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5,149</w:t>
            </w:r>
          </w:p>
        </w:tc>
        <w:tc>
          <w:tcPr>
            <w:tcW w:w="100" w:type="dxa"/>
            <w:vAlign w:val="bottom"/>
          </w:tcPr>
          <w:p>
            <w:pPr>
              <w:spacing w:after="0"/>
              <w:rPr>
                <w:sz w:val="16"/>
                <w:szCs w:val="16"/>
                <w:color w:val="auto"/>
              </w:rPr>
            </w:pP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1,734</w:t>
            </w:r>
          </w:p>
        </w:tc>
        <w:tc>
          <w:tcPr>
            <w:tcW w:w="100" w:type="dxa"/>
            <w:vAlign w:val="bottom"/>
          </w:tcPr>
          <w:p>
            <w:pPr>
              <w:spacing w:after="0"/>
              <w:rPr>
                <w:sz w:val="16"/>
                <w:szCs w:val="16"/>
                <w:color w:val="auto"/>
              </w:rPr>
            </w:pPr>
          </w:p>
        </w:tc>
        <w:tc>
          <w:tcPr>
            <w:tcW w:w="2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6,883</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6"/>
                <w:szCs w:val="16"/>
                <w:color w:val="auto"/>
              </w:rPr>
            </w:pPr>
          </w:p>
        </w:tc>
        <w:tc>
          <w:tcPr>
            <w:tcW w:w="660" w:type="dxa"/>
            <w:vAlign w:val="bottom"/>
          </w:tcPr>
          <w:p>
            <w:pPr>
              <w:jc w:val="right"/>
              <w:ind w:right="513"/>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w w:val="98"/>
              </w:rPr>
              <w:t>6,944</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Allowance for Credit Losses</w:t>
      </w:r>
    </w:p>
    <w:p>
      <w:pPr>
        <w:spacing w:after="0" w:line="2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ACL for loans represents management’s estimate of life of loan credit losses in the portfolio as of the end of the period. The ACL related to unfunded commitments is included in other liabilities in the consolidated balance sheet.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the balance and activity in the ACL by portfolio segment for the periods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21" w:lineRule="exact"/>
        <w:rPr>
          <w:sz w:val="20"/>
          <w:szCs w:val="20"/>
          <w:color w:val="auto"/>
        </w:rPr>
      </w:pPr>
    </w:p>
    <w:p>
      <w:pPr>
        <w:ind w:left="5480"/>
        <w:spacing w:after="0"/>
        <w:rPr>
          <w:sz w:val="20"/>
          <w:szCs w:val="20"/>
          <w:color w:val="auto"/>
        </w:rPr>
      </w:pPr>
      <w:r>
        <w:rPr>
          <w:rFonts w:ascii="Arial" w:cs="Arial" w:eastAsia="Arial" w:hAnsi="Arial"/>
          <w:sz w:val="14"/>
          <w:szCs w:val="14"/>
          <w:b w:val="1"/>
          <w:bCs w:val="1"/>
          <w:color w:val="auto"/>
        </w:rPr>
        <w:t>Three Months Ended June 30,</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62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center"/>
              <w:ind w:right="220"/>
              <w:spacing w:after="0" w:line="121" w:lineRule="exact"/>
              <w:rPr>
                <w:sz w:val="20"/>
                <w:szCs w:val="20"/>
                <w:color w:val="auto"/>
              </w:rPr>
            </w:pPr>
            <w:r>
              <w:rPr>
                <w:rFonts w:ascii="Arial" w:cs="Arial" w:eastAsia="Arial" w:hAnsi="Arial"/>
                <w:sz w:val="13"/>
                <w:szCs w:val="13"/>
                <w:b w:val="1"/>
                <w:bCs w:val="1"/>
                <w:color w:val="auto"/>
                <w:w w:val="84"/>
              </w:rPr>
              <w:t>Beginning</w:t>
            </w:r>
          </w:p>
        </w:tc>
        <w:tc>
          <w:tcPr>
            <w:tcW w:w="100" w:type="dxa"/>
            <w:vAlign w:val="bottom"/>
          </w:tcPr>
          <w:p>
            <w:pPr>
              <w:spacing w:after="0"/>
              <w:rPr>
                <w:sz w:val="10"/>
                <w:szCs w:val="10"/>
                <w:color w:val="auto"/>
              </w:rPr>
            </w:pPr>
          </w:p>
        </w:tc>
        <w:tc>
          <w:tcPr>
            <w:tcW w:w="78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w w:val="87"/>
              </w:rPr>
              <w:t>Charge-Offs</w:t>
            </w:r>
          </w:p>
        </w:tc>
        <w:tc>
          <w:tcPr>
            <w:tcW w:w="10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auto"/>
                <w:w w:val="83"/>
              </w:rPr>
              <w:t>Recoveries</w:t>
            </w:r>
          </w:p>
        </w:tc>
        <w:tc>
          <w:tcPr>
            <w:tcW w:w="10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ind w:left="60"/>
              <w:spacing w:after="0" w:line="121" w:lineRule="exact"/>
              <w:rPr>
                <w:sz w:val="20"/>
                <w:szCs w:val="20"/>
                <w:color w:val="auto"/>
              </w:rPr>
            </w:pPr>
            <w:r>
              <w:rPr>
                <w:rFonts w:ascii="Arial" w:cs="Arial" w:eastAsia="Arial" w:hAnsi="Arial"/>
                <w:sz w:val="13"/>
                <w:szCs w:val="13"/>
                <w:b w:val="1"/>
                <w:bCs w:val="1"/>
                <w:color w:val="auto"/>
              </w:rPr>
              <w:t>(Release)</w:t>
            </w:r>
          </w:p>
        </w:tc>
        <w:tc>
          <w:tcPr>
            <w:tcW w:w="160" w:type="dxa"/>
            <w:vAlign w:val="bottom"/>
          </w:tcPr>
          <w:p>
            <w:pPr>
              <w:spacing w:after="0"/>
              <w:rPr>
                <w:sz w:val="10"/>
                <w:szCs w:val="10"/>
                <w:color w:val="auto"/>
              </w:rPr>
            </w:pPr>
          </w:p>
        </w:tc>
        <w:tc>
          <w:tcPr>
            <w:tcW w:w="720" w:type="dxa"/>
            <w:vAlign w:val="bottom"/>
          </w:tcPr>
          <w:p>
            <w:pPr>
              <w:jc w:val="right"/>
              <w:ind w:right="177"/>
              <w:spacing w:after="0" w:line="121" w:lineRule="exact"/>
              <w:rPr>
                <w:sz w:val="20"/>
                <w:szCs w:val="20"/>
                <w:color w:val="auto"/>
              </w:rPr>
            </w:pPr>
            <w:r>
              <w:rPr>
                <w:rFonts w:ascii="Arial" w:cs="Arial" w:eastAsia="Arial" w:hAnsi="Arial"/>
                <w:sz w:val="13"/>
                <w:szCs w:val="13"/>
                <w:b w:val="1"/>
                <w:bCs w:val="1"/>
                <w:color w:val="auto"/>
              </w:rPr>
              <w:t>Ending</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ind w:left="40"/>
              <w:spacing w:after="0" w:line="121" w:lineRule="exact"/>
              <w:rPr>
                <w:sz w:val="20"/>
                <w:szCs w:val="20"/>
                <w:color w:val="auto"/>
              </w:rPr>
            </w:pPr>
            <w:r>
              <w:rPr>
                <w:rFonts w:ascii="Arial" w:cs="Arial" w:eastAsia="Arial" w:hAnsi="Arial"/>
                <w:sz w:val="13"/>
                <w:szCs w:val="13"/>
                <w:b w:val="1"/>
                <w:bCs w:val="1"/>
                <w:color w:val="auto"/>
              </w:rPr>
              <w:t>Beginning</w:t>
            </w:r>
          </w:p>
        </w:tc>
        <w:tc>
          <w:tcPr>
            <w:tcW w:w="80" w:type="dxa"/>
            <w:vAlign w:val="bottom"/>
          </w:tcPr>
          <w:p>
            <w:pPr>
              <w:spacing w:after="0"/>
              <w:rPr>
                <w:sz w:val="10"/>
                <w:szCs w:val="10"/>
                <w:color w:val="auto"/>
              </w:rPr>
            </w:pPr>
          </w:p>
        </w:tc>
        <w:tc>
          <w:tcPr>
            <w:tcW w:w="78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w w:val="87"/>
              </w:rPr>
              <w:t>Charge-Offs</w:t>
            </w:r>
          </w:p>
        </w:tc>
        <w:tc>
          <w:tcPr>
            <w:tcW w:w="8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auto"/>
                <w:w w:val="86"/>
              </w:rPr>
              <w:t>Recoveries</w:t>
            </w:r>
          </w:p>
        </w:tc>
        <w:tc>
          <w:tcPr>
            <w:tcW w:w="8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tcPr>
          <w:p>
            <w:pPr>
              <w:ind w:left="60"/>
              <w:spacing w:after="0" w:line="121" w:lineRule="exact"/>
              <w:rPr>
                <w:sz w:val="20"/>
                <w:szCs w:val="20"/>
                <w:color w:val="auto"/>
              </w:rPr>
            </w:pPr>
            <w:r>
              <w:rPr>
                <w:rFonts w:ascii="Arial" w:cs="Arial" w:eastAsia="Arial" w:hAnsi="Arial"/>
                <w:sz w:val="13"/>
                <w:szCs w:val="13"/>
                <w:b w:val="1"/>
                <w:bCs w:val="1"/>
                <w:color w:val="auto"/>
              </w:rPr>
              <w:t>(Release)</w:t>
            </w:r>
          </w:p>
        </w:tc>
        <w:tc>
          <w:tcPr>
            <w:tcW w:w="160" w:type="dxa"/>
            <w:vAlign w:val="bottom"/>
          </w:tcPr>
          <w:p>
            <w:pPr>
              <w:spacing w:after="0"/>
              <w:rPr>
                <w:sz w:val="10"/>
                <w:szCs w:val="10"/>
                <w:color w:val="auto"/>
              </w:rPr>
            </w:pPr>
          </w:p>
        </w:tc>
        <w:tc>
          <w:tcPr>
            <w:tcW w:w="720" w:type="dxa"/>
            <w:vAlign w:val="bottom"/>
          </w:tcPr>
          <w:p>
            <w:pPr>
              <w:jc w:val="right"/>
              <w:ind w:right="177"/>
              <w:spacing w:after="0" w:line="121" w:lineRule="exact"/>
              <w:rPr>
                <w:sz w:val="20"/>
                <w:szCs w:val="20"/>
                <w:color w:val="auto"/>
              </w:rPr>
            </w:pPr>
            <w:r>
              <w:rPr>
                <w:rFonts w:ascii="Arial" w:cs="Arial" w:eastAsia="Arial" w:hAnsi="Arial"/>
                <w:sz w:val="13"/>
                <w:szCs w:val="13"/>
                <w:b w:val="1"/>
                <w:bCs w:val="1"/>
                <w:color w:val="auto"/>
              </w:rPr>
              <w:t>Ending</w:t>
            </w:r>
          </w:p>
        </w:tc>
        <w:tc>
          <w:tcPr>
            <w:tcW w:w="0" w:type="dxa"/>
            <w:vAlign w:val="bottom"/>
          </w:tcPr>
          <w:p>
            <w:pPr>
              <w:spacing w:after="0"/>
              <w:rPr>
                <w:sz w:val="1"/>
                <w:szCs w:val="1"/>
                <w:color w:val="auto"/>
              </w:rPr>
            </w:pPr>
          </w:p>
        </w:tc>
      </w:tr>
      <w:tr>
        <w:trPr>
          <w:trHeight w:val="170"/>
        </w:trPr>
        <w:tc>
          <w:tcPr>
            <w:tcW w:w="16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4"/>
              </w:rPr>
              <w:t>Balance</w:t>
            </w: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w w:val="91"/>
              </w:rPr>
              <w:t>Provision</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w w:val="96"/>
              </w:rPr>
              <w:t>Balance</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Balance</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w w:val="87"/>
              </w:rPr>
              <w:t>Provision</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w w:val="96"/>
              </w:rPr>
              <w:t>Balance</w:t>
            </w:r>
          </w:p>
        </w:tc>
        <w:tc>
          <w:tcPr>
            <w:tcW w:w="0" w:type="dxa"/>
            <w:vAlign w:val="bottom"/>
          </w:tcPr>
          <w:p>
            <w:pPr>
              <w:spacing w:after="0"/>
              <w:rPr>
                <w:sz w:val="1"/>
                <w:szCs w:val="1"/>
                <w:color w:val="auto"/>
              </w:rPr>
            </w:pPr>
          </w:p>
        </w:tc>
      </w:tr>
      <w:tr>
        <w:trPr>
          <w:trHeight w:val="107"/>
        </w:trPr>
        <w:tc>
          <w:tcPr>
            <w:tcW w:w="1620" w:type="dxa"/>
            <w:vAlign w:val="bottom"/>
            <w:shd w:val="clear" w:color="auto" w:fill="CCEEFF"/>
          </w:tcPr>
          <w:p>
            <w:pPr>
              <w:ind w:left="20"/>
              <w:spacing w:after="0" w:line="107" w:lineRule="exact"/>
              <w:rPr>
                <w:sz w:val="20"/>
                <w:szCs w:val="20"/>
                <w:color w:val="auto"/>
              </w:rPr>
            </w:pPr>
            <w:r>
              <w:rPr>
                <w:rFonts w:ascii="Arial" w:cs="Arial" w:eastAsia="Arial" w:hAnsi="Arial"/>
                <w:sz w:val="12"/>
                <w:szCs w:val="12"/>
                <w:color w:val="auto"/>
              </w:rPr>
              <w:t>Owner occupied commercial</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19,282</w:t>
            </w:r>
          </w:p>
        </w:tc>
        <w:tc>
          <w:tcPr>
            <w:tcW w:w="10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9"/>
                <w:szCs w:val="9"/>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156</w:t>
            </w:r>
          </w:p>
        </w:tc>
        <w:tc>
          <w:tcPr>
            <w:tcW w:w="100" w:type="dxa"/>
            <w:vAlign w:val="bottom"/>
            <w:shd w:val="clear" w:color="auto" w:fill="CCEEFF"/>
          </w:tcPr>
          <w:p>
            <w:pPr>
              <w:spacing w:after="0"/>
              <w:rPr>
                <w:sz w:val="9"/>
                <w:szCs w:val="9"/>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(2,145)</w:t>
            </w:r>
          </w:p>
        </w:tc>
        <w:tc>
          <w:tcPr>
            <w:tcW w:w="100" w:type="dxa"/>
            <w:vAlign w:val="bottom"/>
            <w:shd w:val="clear" w:color="auto" w:fill="CCEEFF"/>
          </w:tcPr>
          <w:p>
            <w:pPr>
              <w:spacing w:after="0"/>
              <w:rPr>
                <w:sz w:val="9"/>
                <w:szCs w:val="9"/>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17,292</w:t>
            </w:r>
          </w:p>
        </w:tc>
        <w:tc>
          <w:tcPr>
            <w:tcW w:w="120" w:type="dxa"/>
            <w:vAlign w:val="bottom"/>
            <w:shd w:val="clear" w:color="auto" w:fill="CCEEFF"/>
          </w:tcPr>
          <w:p>
            <w:pPr>
              <w:spacing w:after="0"/>
              <w:rPr>
                <w:sz w:val="9"/>
                <w:szCs w:val="9"/>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11,000</w:t>
            </w:r>
          </w:p>
        </w:tc>
        <w:tc>
          <w:tcPr>
            <w:tcW w:w="80" w:type="dxa"/>
            <w:vAlign w:val="bottom"/>
            <w:shd w:val="clear" w:color="auto" w:fill="CCEEFF"/>
          </w:tcPr>
          <w:p>
            <w:pPr>
              <w:spacing w:after="0"/>
              <w:rPr>
                <w:sz w:val="9"/>
                <w:szCs w:val="9"/>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vMerge w:val="restart"/>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466</w:t>
            </w:r>
          </w:p>
        </w:tc>
        <w:tc>
          <w:tcPr>
            <w:tcW w:w="80" w:type="dxa"/>
            <w:vAlign w:val="bottom"/>
            <w:shd w:val="clear" w:color="auto" w:fill="CCEEFF"/>
          </w:tcPr>
          <w:p>
            <w:pPr>
              <w:spacing w:after="0"/>
              <w:rPr>
                <w:sz w:val="9"/>
                <w:szCs w:val="9"/>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3,126</w:t>
            </w:r>
          </w:p>
        </w:tc>
        <w:tc>
          <w:tcPr>
            <w:tcW w:w="80" w:type="dxa"/>
            <w:vAlign w:val="bottom"/>
            <w:shd w:val="clear" w:color="auto" w:fill="CCEEFF"/>
          </w:tcPr>
          <w:p>
            <w:pPr>
              <w:spacing w:after="0"/>
              <w:rPr>
                <w:sz w:val="9"/>
                <w:szCs w:val="9"/>
                <w:color w:val="auto"/>
              </w:rPr>
            </w:pPr>
          </w:p>
        </w:tc>
        <w:tc>
          <w:tcPr>
            <w:tcW w:w="1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14,592</w:t>
            </w:r>
          </w:p>
        </w:tc>
        <w:tc>
          <w:tcPr>
            <w:tcW w:w="0" w:type="dxa"/>
            <w:vAlign w:val="bottom"/>
          </w:tcPr>
          <w:p>
            <w:pPr>
              <w:spacing w:after="0"/>
              <w:rPr>
                <w:sz w:val="1"/>
                <w:szCs w:val="1"/>
                <w:color w:val="auto"/>
              </w:rPr>
            </w:pPr>
          </w:p>
        </w:tc>
      </w:tr>
      <w:tr>
        <w:trPr>
          <w:trHeight w:val="175"/>
        </w:trPr>
        <w:tc>
          <w:tcPr>
            <w:tcW w:w="1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real estate</w:t>
            </w:r>
          </w:p>
        </w:tc>
        <w:tc>
          <w:tcPr>
            <w:tcW w:w="120" w:type="dxa"/>
            <w:vAlign w:val="bottom"/>
            <w:vMerge w:val="continue"/>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620" w:type="dxa"/>
            <w:vAlign w:val="bottom"/>
          </w:tcPr>
          <w:p>
            <w:pPr>
              <w:ind w:left="20"/>
              <w:spacing w:after="0" w:line="122" w:lineRule="exact"/>
              <w:rPr>
                <w:sz w:val="20"/>
                <w:szCs w:val="20"/>
                <w:color w:val="auto"/>
              </w:rPr>
            </w:pPr>
            <w:r>
              <w:rPr>
                <w:rFonts w:ascii="Arial" w:cs="Arial" w:eastAsia="Arial" w:hAnsi="Arial"/>
                <w:sz w:val="13"/>
                <w:szCs w:val="13"/>
                <w:color w:val="auto"/>
              </w:rPr>
              <w:t>Income producing</w:t>
            </w:r>
          </w:p>
        </w:tc>
        <w:tc>
          <w:tcPr>
            <w:tcW w:w="1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34,911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(52)</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213</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(4,105)</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30,967</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16,584</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(4,589)</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41</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9,663</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21,699</w:t>
            </w:r>
          </w:p>
        </w:tc>
        <w:tc>
          <w:tcPr>
            <w:tcW w:w="0" w:type="dxa"/>
            <w:vAlign w:val="bottom"/>
          </w:tcPr>
          <w:p>
            <w:pPr>
              <w:spacing w:after="0"/>
              <w:rPr>
                <w:sz w:val="1"/>
                <w:szCs w:val="1"/>
                <w:color w:val="auto"/>
              </w:rPr>
            </w:pPr>
          </w:p>
        </w:tc>
      </w:tr>
      <w:tr>
        <w:trPr>
          <w:trHeight w:val="168"/>
        </w:trPr>
        <w:tc>
          <w:tcPr>
            <w:tcW w:w="1620" w:type="dxa"/>
            <w:vAlign w:val="bottom"/>
          </w:tcPr>
          <w:p>
            <w:pPr>
              <w:ind w:left="20"/>
              <w:spacing w:after="0"/>
              <w:rPr>
                <w:sz w:val="20"/>
                <w:szCs w:val="20"/>
                <w:color w:val="auto"/>
              </w:rPr>
            </w:pPr>
            <w:r>
              <w:rPr>
                <w:rFonts w:ascii="Arial" w:cs="Arial" w:eastAsia="Arial" w:hAnsi="Arial"/>
                <w:sz w:val="13"/>
                <w:szCs w:val="13"/>
                <w:color w:val="auto"/>
              </w:rPr>
              <w:t>commercial real estate</w:t>
            </w: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Commercial &amp; industrial</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21,750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(5,276)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16,414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10,831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(2,279)</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8,589</w:t>
            </w:r>
          </w:p>
        </w:tc>
        <w:tc>
          <w:tcPr>
            <w:tcW w:w="0" w:type="dxa"/>
            <w:vAlign w:val="bottom"/>
          </w:tcPr>
          <w:p>
            <w:pPr>
              <w:spacing w:after="0"/>
              <w:rPr>
                <w:sz w:val="1"/>
                <w:szCs w:val="1"/>
                <w:color w:val="auto"/>
              </w:rPr>
            </w:pPr>
          </w:p>
        </w:tc>
      </w:tr>
      <w:tr>
        <w:trPr>
          <w:trHeight w:val="168"/>
        </w:trPr>
        <w:tc>
          <w:tcPr>
            <w:tcW w:w="1620" w:type="dxa"/>
            <w:vAlign w:val="bottom"/>
          </w:tcPr>
          <w:p>
            <w:pPr>
              <w:ind w:left="20"/>
              <w:spacing w:after="0"/>
              <w:rPr>
                <w:sz w:val="20"/>
                <w:szCs w:val="20"/>
                <w:color w:val="auto"/>
              </w:rPr>
            </w:pPr>
            <w:r>
              <w:rPr>
                <w:rFonts w:ascii="Arial" w:cs="Arial" w:eastAsia="Arial" w:hAnsi="Arial"/>
                <w:sz w:val="13"/>
                <w:szCs w:val="13"/>
                <w:color w:val="auto"/>
              </w:rPr>
              <w:t>Commercial construction</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10,572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339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(1,685)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9,180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9,556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(239)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117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5,080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14,514</w:t>
            </w:r>
          </w:p>
        </w:tc>
        <w:tc>
          <w:tcPr>
            <w:tcW w:w="0" w:type="dxa"/>
            <w:vAlign w:val="bottom"/>
          </w:tcPr>
          <w:p>
            <w:pPr>
              <w:spacing w:after="0"/>
              <w:rPr>
                <w:sz w:val="1"/>
                <w:szCs w:val="1"/>
                <w:color w:val="auto"/>
              </w:rPr>
            </w:pPr>
          </w:p>
        </w:tc>
      </w:tr>
      <w:tr>
        <w:trPr>
          <w:trHeight w:val="183"/>
        </w:trPr>
        <w:tc>
          <w:tcPr>
            <w:tcW w:w="1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Equipment financing</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17,200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18,100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14,738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7,232</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20,305</w:t>
            </w:r>
          </w:p>
        </w:tc>
        <w:tc>
          <w:tcPr>
            <w:tcW w:w="0" w:type="dxa"/>
            <w:vAlign w:val="bottom"/>
          </w:tcPr>
          <w:p>
            <w:pPr>
              <w:spacing w:after="0"/>
              <w:rPr>
                <w:sz w:val="1"/>
                <w:szCs w:val="1"/>
                <w:color w:val="auto"/>
              </w:rPr>
            </w:pPr>
          </w:p>
        </w:tc>
      </w:tr>
      <w:tr>
        <w:trPr>
          <w:trHeight w:val="168"/>
        </w:trPr>
        <w:tc>
          <w:tcPr>
            <w:tcW w:w="1620" w:type="dxa"/>
            <w:vAlign w:val="bottom"/>
          </w:tcPr>
          <w:p>
            <w:pPr>
              <w:ind w:left="20"/>
              <w:spacing w:after="0"/>
              <w:rPr>
                <w:sz w:val="20"/>
                <w:szCs w:val="20"/>
                <w:color w:val="auto"/>
              </w:rPr>
            </w:pPr>
            <w:r>
              <w:rPr>
                <w:rFonts w:ascii="Arial" w:cs="Arial" w:eastAsia="Arial" w:hAnsi="Arial"/>
                <w:sz w:val="13"/>
                <w:szCs w:val="13"/>
                <w:color w:val="auto"/>
              </w:rPr>
              <w:t>Residential mortgage</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14,580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194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(3,809)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10,965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11,063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1,757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12,826</w:t>
            </w:r>
          </w:p>
        </w:tc>
        <w:tc>
          <w:tcPr>
            <w:tcW w:w="0" w:type="dxa"/>
            <w:vAlign w:val="bottom"/>
          </w:tcPr>
          <w:p>
            <w:pPr>
              <w:spacing w:after="0"/>
              <w:rPr>
                <w:sz w:val="1"/>
                <w:szCs w:val="1"/>
                <w:color w:val="auto"/>
              </w:rPr>
            </w:pPr>
          </w:p>
        </w:tc>
      </w:tr>
      <w:tr>
        <w:trPr>
          <w:trHeight w:val="183"/>
        </w:trPr>
        <w:tc>
          <w:tcPr>
            <w:tcW w:w="1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HELOC</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6,880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6,357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6,887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1,702</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8,687</w:t>
            </w:r>
          </w:p>
        </w:tc>
        <w:tc>
          <w:tcPr>
            <w:tcW w:w="0" w:type="dxa"/>
            <w:vAlign w:val="bottom"/>
          </w:tcPr>
          <w:p>
            <w:pPr>
              <w:spacing w:after="0"/>
              <w:rPr>
                <w:sz w:val="1"/>
                <w:szCs w:val="1"/>
                <w:color w:val="auto"/>
              </w:rPr>
            </w:pPr>
          </w:p>
        </w:tc>
      </w:tr>
      <w:tr>
        <w:trPr>
          <w:trHeight w:val="168"/>
        </w:trPr>
        <w:tc>
          <w:tcPr>
            <w:tcW w:w="1620" w:type="dxa"/>
            <w:vAlign w:val="bottom"/>
          </w:tcPr>
          <w:p>
            <w:pPr>
              <w:ind w:left="20"/>
              <w:spacing w:after="0"/>
              <w:rPr>
                <w:sz w:val="20"/>
                <w:szCs w:val="20"/>
                <w:color w:val="auto"/>
              </w:rPr>
            </w:pPr>
            <w:r>
              <w:rPr>
                <w:rFonts w:ascii="Arial" w:cs="Arial" w:eastAsia="Arial" w:hAnsi="Arial"/>
                <w:sz w:val="13"/>
                <w:szCs w:val="13"/>
                <w:color w:val="auto"/>
              </w:rPr>
              <w:t>Residential construction</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1,362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523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1,918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816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1,176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1,997</w:t>
            </w:r>
          </w:p>
        </w:tc>
        <w:tc>
          <w:tcPr>
            <w:tcW w:w="0" w:type="dxa"/>
            <w:vAlign w:val="bottom"/>
          </w:tcPr>
          <w:p>
            <w:pPr>
              <w:spacing w:after="0"/>
              <w:rPr>
                <w:sz w:val="1"/>
                <w:szCs w:val="1"/>
                <w:color w:val="auto"/>
              </w:rPr>
            </w:pPr>
          </w:p>
        </w:tc>
      </w:tr>
      <w:tr>
        <w:trPr>
          <w:trHeight w:val="183"/>
        </w:trPr>
        <w:tc>
          <w:tcPr>
            <w:tcW w:w="1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Consumer</w:t>
            </w:r>
          </w:p>
        </w:tc>
        <w:tc>
          <w:tcPr>
            <w:tcW w:w="1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329</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(353)</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222</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225</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423</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430</w:t>
            </w:r>
          </w:p>
        </w:tc>
        <w:tc>
          <w:tcPr>
            <w:tcW w:w="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(712)</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286</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456</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460</w:t>
            </w:r>
          </w:p>
        </w:tc>
        <w:tc>
          <w:tcPr>
            <w:tcW w:w="0" w:type="dxa"/>
            <w:vAlign w:val="bottom"/>
          </w:tcPr>
          <w:p>
            <w:pPr>
              <w:spacing w:after="0"/>
              <w:rPr>
                <w:sz w:val="1"/>
                <w:szCs w:val="1"/>
                <w:color w:val="auto"/>
              </w:rPr>
            </w:pPr>
          </w:p>
        </w:tc>
      </w:tr>
      <w:tr>
        <w:trPr>
          <w:trHeight w:val="161"/>
        </w:trPr>
        <w:tc>
          <w:tcPr>
            <w:tcW w:w="1620" w:type="dxa"/>
            <w:vAlign w:val="bottom"/>
          </w:tcPr>
          <w:p>
            <w:pPr>
              <w:ind w:left="220"/>
              <w:spacing w:after="0"/>
              <w:rPr>
                <w:sz w:val="20"/>
                <w:szCs w:val="20"/>
                <w:color w:val="auto"/>
              </w:rPr>
            </w:pPr>
            <w:r>
              <w:rPr>
                <w:rFonts w:ascii="Arial" w:cs="Arial" w:eastAsia="Arial" w:hAnsi="Arial"/>
                <w:sz w:val="13"/>
                <w:szCs w:val="13"/>
                <w:color w:val="auto"/>
              </w:rPr>
              <w:t>ACL - loans</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126,866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(2,531)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2,987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(15,706)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111,616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81,905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(8,059)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1,910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27,913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103,669</w:t>
            </w:r>
          </w:p>
        </w:tc>
        <w:tc>
          <w:tcPr>
            <w:tcW w:w="0" w:type="dxa"/>
            <w:vAlign w:val="bottom"/>
          </w:tcPr>
          <w:p>
            <w:pPr>
              <w:spacing w:after="0"/>
              <w:rPr>
                <w:sz w:val="1"/>
                <w:szCs w:val="1"/>
                <w:color w:val="auto"/>
              </w:rPr>
            </w:pPr>
          </w:p>
        </w:tc>
      </w:tr>
      <w:tr>
        <w:trPr>
          <w:trHeight w:val="129"/>
        </w:trPr>
        <w:tc>
          <w:tcPr>
            <w:tcW w:w="16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ACL - unfunded</w:t>
            </w:r>
          </w:p>
        </w:tc>
        <w:tc>
          <w:tcPr>
            <w:tcW w:w="1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8,726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2,118</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10,844</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6,470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5,630</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12,100</w:t>
            </w:r>
          </w:p>
        </w:tc>
        <w:tc>
          <w:tcPr>
            <w:tcW w:w="0" w:type="dxa"/>
            <w:vAlign w:val="bottom"/>
          </w:tcPr>
          <w:p>
            <w:pPr>
              <w:spacing w:after="0"/>
              <w:rPr>
                <w:sz w:val="1"/>
                <w:szCs w:val="1"/>
                <w:color w:val="auto"/>
              </w:rPr>
            </w:pPr>
          </w:p>
        </w:tc>
      </w:tr>
      <w:tr>
        <w:trPr>
          <w:trHeight w:val="169"/>
        </w:trPr>
        <w:tc>
          <w:tcPr>
            <w:tcW w:w="1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commitments</w:t>
            </w:r>
          </w:p>
        </w:tc>
        <w:tc>
          <w:tcPr>
            <w:tcW w:w="12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620" w:type="dxa"/>
            <w:vAlign w:val="bottom"/>
          </w:tcPr>
          <w:p>
            <w:pPr>
              <w:ind w:left="220"/>
              <w:spacing w:after="0"/>
              <w:rPr>
                <w:sz w:val="20"/>
                <w:szCs w:val="20"/>
                <w:color w:val="auto"/>
              </w:rPr>
            </w:pPr>
            <w:r>
              <w:rPr>
                <w:rFonts w:ascii="Arial" w:cs="Arial" w:eastAsia="Arial" w:hAnsi="Arial"/>
                <w:sz w:val="13"/>
                <w:szCs w:val="13"/>
                <w:color w:val="auto"/>
              </w:rPr>
              <w:t>Total ACL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135,592</w:t>
            </w:r>
          </w:p>
        </w:tc>
        <w:tc>
          <w:tcPr>
            <w:tcW w:w="1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(2,531)</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2,987</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(13,588)</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122,460</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88,375</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(8,059)</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1,910</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33,543</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115,769</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5560"/>
        <w:spacing w:after="0"/>
        <w:rPr>
          <w:sz w:val="20"/>
          <w:szCs w:val="20"/>
          <w:color w:val="auto"/>
        </w:rPr>
      </w:pPr>
      <w:r>
        <w:rPr>
          <w:rFonts w:ascii="Arial" w:cs="Arial" w:eastAsia="Arial" w:hAnsi="Arial"/>
          <w:sz w:val="14"/>
          <w:szCs w:val="14"/>
          <w:b w:val="1"/>
          <w:bCs w:val="1"/>
          <w:color w:val="auto"/>
        </w:rPr>
        <w:t>Six Months Ended June 30,</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54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4"/>
              </w:rPr>
              <w:t>Beginning</w:t>
            </w:r>
          </w:p>
        </w:tc>
        <w:tc>
          <w:tcPr>
            <w:tcW w:w="100" w:type="dxa"/>
            <w:vAlign w:val="bottom"/>
          </w:tcPr>
          <w:p>
            <w:pPr>
              <w:spacing w:after="0"/>
              <w:rPr>
                <w:sz w:val="10"/>
                <w:szCs w:val="10"/>
                <w:color w:val="auto"/>
              </w:rPr>
            </w:pPr>
          </w:p>
        </w:tc>
        <w:tc>
          <w:tcPr>
            <w:tcW w:w="64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9"/>
              </w:rPr>
              <w:t>Charge-</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(Release)</w:t>
            </w:r>
          </w:p>
        </w:tc>
        <w:tc>
          <w:tcPr>
            <w:tcW w:w="120" w:type="dxa"/>
            <w:vAlign w:val="bottom"/>
          </w:tcPr>
          <w:p>
            <w:pPr>
              <w:spacing w:after="0"/>
              <w:rPr>
                <w:sz w:val="10"/>
                <w:szCs w:val="10"/>
                <w:color w:val="auto"/>
              </w:rPr>
            </w:pPr>
          </w:p>
        </w:tc>
        <w:tc>
          <w:tcPr>
            <w:tcW w:w="72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0"/>
              </w:rPr>
              <w:t>Ending</w:t>
            </w:r>
          </w:p>
        </w:tc>
        <w:tc>
          <w:tcPr>
            <w:tcW w:w="100" w:type="dxa"/>
            <w:vAlign w:val="bottom"/>
          </w:tcPr>
          <w:p>
            <w:pPr>
              <w:spacing w:after="0"/>
              <w:rPr>
                <w:sz w:val="10"/>
                <w:szCs w:val="10"/>
                <w:color w:val="auto"/>
              </w:rPr>
            </w:pPr>
          </w:p>
        </w:tc>
        <w:tc>
          <w:tcPr>
            <w:tcW w:w="680" w:type="dxa"/>
            <w:vAlign w:val="bottom"/>
            <w:gridSpan w:val="2"/>
          </w:tcPr>
          <w:p>
            <w:pPr>
              <w:jc w:val="center"/>
              <w:ind w:right="220"/>
              <w:spacing w:after="0" w:line="121" w:lineRule="exact"/>
              <w:rPr>
                <w:sz w:val="20"/>
                <w:szCs w:val="20"/>
                <w:color w:val="auto"/>
              </w:rPr>
            </w:pPr>
            <w:r>
              <w:rPr>
                <w:rFonts w:ascii="Arial" w:cs="Arial" w:eastAsia="Arial" w:hAnsi="Arial"/>
                <w:sz w:val="13"/>
                <w:szCs w:val="13"/>
                <w:b w:val="1"/>
                <w:bCs w:val="1"/>
                <w:color w:val="auto"/>
                <w:w w:val="85"/>
              </w:rPr>
              <w:t>Dec. 31,</w:t>
            </w:r>
          </w:p>
        </w:tc>
        <w:tc>
          <w:tcPr>
            <w:tcW w:w="82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Adoption of</w:t>
            </w:r>
          </w:p>
        </w:tc>
        <w:tc>
          <w:tcPr>
            <w:tcW w:w="80" w:type="dxa"/>
            <w:vAlign w:val="bottom"/>
          </w:tcPr>
          <w:p>
            <w:pPr>
              <w:spacing w:after="0"/>
              <w:rPr>
                <w:sz w:val="10"/>
                <w:szCs w:val="10"/>
                <w:color w:val="auto"/>
              </w:rPr>
            </w:pPr>
          </w:p>
        </w:tc>
        <w:tc>
          <w:tcPr>
            <w:tcW w:w="74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88"/>
              </w:rPr>
              <w:t>Beginning</w:t>
            </w:r>
          </w:p>
        </w:tc>
        <w:tc>
          <w:tcPr>
            <w:tcW w:w="100" w:type="dxa"/>
            <w:vAlign w:val="bottom"/>
          </w:tcPr>
          <w:p>
            <w:pPr>
              <w:spacing w:after="0"/>
              <w:rPr>
                <w:sz w:val="10"/>
                <w:szCs w:val="10"/>
                <w:color w:val="auto"/>
              </w:rPr>
            </w:pPr>
          </w:p>
        </w:tc>
        <w:tc>
          <w:tcPr>
            <w:tcW w:w="64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9"/>
              </w:rPr>
              <w:t>Charge-</w:t>
            </w: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(Release)</w:t>
            </w:r>
          </w:p>
        </w:tc>
        <w:tc>
          <w:tcPr>
            <w:tcW w:w="100" w:type="dxa"/>
            <w:vAlign w:val="bottom"/>
          </w:tcPr>
          <w:p>
            <w:pPr>
              <w:spacing w:after="0"/>
              <w:rPr>
                <w:sz w:val="10"/>
                <w:szCs w:val="10"/>
                <w:color w:val="auto"/>
              </w:rPr>
            </w:pPr>
          </w:p>
        </w:tc>
        <w:tc>
          <w:tcPr>
            <w:tcW w:w="62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auto"/>
                <w:w w:val="99"/>
              </w:rPr>
              <w:t>Ending</w:t>
            </w:r>
          </w:p>
        </w:tc>
        <w:tc>
          <w:tcPr>
            <w:tcW w:w="0" w:type="dxa"/>
            <w:vAlign w:val="bottom"/>
          </w:tcPr>
          <w:p>
            <w:pPr>
              <w:spacing w:after="0"/>
              <w:rPr>
                <w:sz w:val="1"/>
                <w:szCs w:val="1"/>
                <w:color w:val="auto"/>
              </w:rPr>
            </w:pPr>
          </w:p>
        </w:tc>
      </w:tr>
      <w:tr>
        <w:trPr>
          <w:trHeight w:val="121"/>
        </w:trPr>
        <w:tc>
          <w:tcPr>
            <w:tcW w:w="1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Recoveries</w:t>
            </w:r>
          </w:p>
        </w:tc>
        <w:tc>
          <w:tcPr>
            <w:tcW w:w="10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center"/>
              <w:ind w:right="57"/>
              <w:spacing w:after="0" w:line="122" w:lineRule="exact"/>
              <w:rPr>
                <w:sz w:val="20"/>
                <w:szCs w:val="20"/>
                <w:color w:val="auto"/>
              </w:rPr>
            </w:pPr>
            <w:r>
              <w:rPr>
                <w:rFonts w:ascii="Arial" w:cs="Arial" w:eastAsia="Arial" w:hAnsi="Arial"/>
                <w:sz w:val="13"/>
                <w:szCs w:val="13"/>
                <w:b w:val="1"/>
                <w:bCs w:val="1"/>
                <w:color w:val="auto"/>
                <w:w w:val="89"/>
              </w:rPr>
              <w:t>2019</w:t>
            </w:r>
          </w:p>
        </w:tc>
        <w:tc>
          <w:tcPr>
            <w:tcW w:w="100" w:type="dxa"/>
            <w:vAlign w:val="bottom"/>
          </w:tcPr>
          <w:p>
            <w:pPr>
              <w:spacing w:after="0"/>
              <w:rPr>
                <w:sz w:val="10"/>
                <w:szCs w:val="10"/>
                <w:color w:val="auto"/>
              </w:rPr>
            </w:pPr>
          </w:p>
        </w:tc>
        <w:tc>
          <w:tcPr>
            <w:tcW w:w="82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Recoveries</w:t>
            </w: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4"/>
              </w:rPr>
              <w:t>Balance</w:t>
            </w:r>
          </w:p>
        </w:tc>
        <w:tc>
          <w:tcPr>
            <w:tcW w:w="100" w:type="dxa"/>
            <w:vAlign w:val="bottom"/>
          </w:tcPr>
          <w:p>
            <w:pPr>
              <w:spacing w:after="0"/>
              <w:rPr>
                <w:sz w:val="14"/>
                <w:szCs w:val="14"/>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Offs</w:t>
            </w: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3"/>
                <w:szCs w:val="13"/>
                <w:b w:val="1"/>
                <w:bCs w:val="1"/>
                <w:color w:val="auto"/>
              </w:rPr>
              <w:t>Provision</w:t>
            </w:r>
          </w:p>
        </w:tc>
        <w:tc>
          <w:tcPr>
            <w:tcW w:w="120" w:type="dxa"/>
            <w:vAlign w:val="bottom"/>
          </w:tcPr>
          <w:p>
            <w:pPr>
              <w:spacing w:after="0"/>
              <w:rPr>
                <w:sz w:val="14"/>
                <w:szCs w:val="1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4"/>
              </w:rPr>
              <w:t>Balance</w:t>
            </w:r>
          </w:p>
        </w:tc>
        <w:tc>
          <w:tcPr>
            <w:tcW w:w="100" w:type="dxa"/>
            <w:vAlign w:val="bottom"/>
          </w:tcPr>
          <w:p>
            <w:pPr>
              <w:spacing w:after="0"/>
              <w:rPr>
                <w:sz w:val="14"/>
                <w:szCs w:val="14"/>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4"/>
              </w:rPr>
              <w:t>Balance</w:t>
            </w:r>
          </w:p>
        </w:tc>
        <w:tc>
          <w:tcPr>
            <w:tcW w:w="1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b w:val="1"/>
                <w:bCs w:val="1"/>
                <w:color w:val="auto"/>
              </w:rPr>
              <w:t>CECL</w:t>
            </w:r>
          </w:p>
        </w:tc>
        <w:tc>
          <w:tcPr>
            <w:tcW w:w="80" w:type="dxa"/>
            <w:vAlign w:val="bottom"/>
          </w:tcPr>
          <w:p>
            <w:pPr>
              <w:spacing w:after="0"/>
              <w:rPr>
                <w:sz w:val="14"/>
                <w:szCs w:val="14"/>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Balance</w:t>
            </w:r>
          </w:p>
        </w:tc>
        <w:tc>
          <w:tcPr>
            <w:tcW w:w="100" w:type="dxa"/>
            <w:vAlign w:val="bottom"/>
          </w:tcPr>
          <w:p>
            <w:pPr>
              <w:spacing w:after="0"/>
              <w:rPr>
                <w:sz w:val="14"/>
                <w:szCs w:val="14"/>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Offs</w:t>
            </w: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3"/>
                <w:szCs w:val="13"/>
                <w:b w:val="1"/>
                <w:bCs w:val="1"/>
                <w:color w:val="auto"/>
              </w:rPr>
              <w:t>Provision</w:t>
            </w:r>
          </w:p>
        </w:tc>
        <w:tc>
          <w:tcPr>
            <w:tcW w:w="100" w:type="dxa"/>
            <w:vAlign w:val="bottom"/>
          </w:tcPr>
          <w:p>
            <w:pPr>
              <w:spacing w:after="0"/>
              <w:rPr>
                <w:sz w:val="14"/>
                <w:szCs w:val="14"/>
                <w:color w:val="auto"/>
              </w:rPr>
            </w:pPr>
          </w:p>
        </w:tc>
        <w:tc>
          <w:tcPr>
            <w:tcW w:w="620" w:type="dxa"/>
            <w:vAlign w:val="bottom"/>
          </w:tcPr>
          <w:p>
            <w:pPr>
              <w:jc w:val="right"/>
              <w:ind w:right="97"/>
              <w:spacing w:after="0"/>
              <w:rPr>
                <w:sz w:val="20"/>
                <w:szCs w:val="20"/>
                <w:color w:val="auto"/>
              </w:rPr>
            </w:pPr>
            <w:r>
              <w:rPr>
                <w:rFonts w:ascii="Arial" w:cs="Arial" w:eastAsia="Arial" w:hAnsi="Arial"/>
                <w:sz w:val="13"/>
                <w:szCs w:val="13"/>
                <w:b w:val="1"/>
                <w:bCs w:val="1"/>
                <w:color w:val="auto"/>
                <w:w w:val="88"/>
              </w:rPr>
              <w:t>Balance</w:t>
            </w:r>
          </w:p>
        </w:tc>
        <w:tc>
          <w:tcPr>
            <w:tcW w:w="0" w:type="dxa"/>
            <w:vAlign w:val="bottom"/>
          </w:tcPr>
          <w:p>
            <w:pPr>
              <w:spacing w:after="0"/>
              <w:rPr>
                <w:sz w:val="1"/>
                <w:szCs w:val="1"/>
                <w:color w:val="auto"/>
              </w:rPr>
            </w:pPr>
          </w:p>
        </w:tc>
      </w:tr>
      <w:tr>
        <w:trPr>
          <w:trHeight w:val="107"/>
        </w:trPr>
        <w:tc>
          <w:tcPr>
            <w:tcW w:w="1540" w:type="dxa"/>
            <w:vAlign w:val="bottom"/>
            <w:tcBorders>
              <w:top w:val="single" w:sz="8" w:color="CCEEFF"/>
            </w:tcBorders>
            <w:shd w:val="clear" w:color="auto" w:fill="CCEEFF"/>
          </w:tcPr>
          <w:p>
            <w:pPr>
              <w:ind w:left="20"/>
              <w:spacing w:after="0" w:line="107" w:lineRule="exact"/>
              <w:rPr>
                <w:sz w:val="20"/>
                <w:szCs w:val="20"/>
                <w:color w:val="auto"/>
              </w:rPr>
            </w:pPr>
            <w:r>
              <w:rPr>
                <w:rFonts w:ascii="Arial" w:cs="Arial" w:eastAsia="Arial" w:hAnsi="Arial"/>
                <w:sz w:val="12"/>
                <w:szCs w:val="12"/>
                <w:color w:val="auto"/>
              </w:rPr>
              <w:t>Owner occupied</w:t>
            </w: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20,673</w:t>
            </w: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396</w:t>
            </w: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(3,776)</w:t>
            </w: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17,292</w:t>
            </w: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11,404</w:t>
            </w: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(1,616)</w:t>
            </w: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9,788</w:t>
            </w: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1,500</w:t>
            </w: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3,310</w:t>
            </w: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14,592</w:t>
            </w:r>
          </w:p>
        </w:tc>
        <w:tc>
          <w:tcPr>
            <w:tcW w:w="0" w:type="dxa"/>
            <w:vAlign w:val="bottom"/>
          </w:tcPr>
          <w:p>
            <w:pPr>
              <w:spacing w:after="0"/>
              <w:rPr>
                <w:sz w:val="1"/>
                <w:szCs w:val="1"/>
                <w:color w:val="auto"/>
              </w:rPr>
            </w:pPr>
          </w:p>
        </w:tc>
      </w:tr>
      <w:tr>
        <w:trPr>
          <w:trHeight w:val="175"/>
        </w:trPr>
        <w:tc>
          <w:tcPr>
            <w:tcW w:w="1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commercial real estate</w:t>
            </w:r>
          </w:p>
        </w:tc>
        <w:tc>
          <w:tcPr>
            <w:tcW w:w="100" w:type="dxa"/>
            <w:vAlign w:val="bottom"/>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540" w:type="dxa"/>
            <w:vAlign w:val="bottom"/>
          </w:tcPr>
          <w:p>
            <w:pPr>
              <w:ind w:left="20"/>
              <w:spacing w:after="0" w:line="122" w:lineRule="exact"/>
              <w:rPr>
                <w:sz w:val="20"/>
                <w:szCs w:val="20"/>
                <w:color w:val="auto"/>
              </w:rPr>
            </w:pPr>
            <w:r>
              <w:rPr>
                <w:rFonts w:ascii="Arial" w:cs="Arial" w:eastAsia="Arial" w:hAnsi="Arial"/>
                <w:sz w:val="13"/>
                <w:szCs w:val="13"/>
                <w:color w:val="auto"/>
              </w:rPr>
              <w:t>Income producing</w:t>
            </w: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41,737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(1,059)</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229</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(9,940)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30,967</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12,306</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(30)</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12,276</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(5,000)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182</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14,241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21,699</w:t>
            </w:r>
          </w:p>
        </w:tc>
        <w:tc>
          <w:tcPr>
            <w:tcW w:w="0" w:type="dxa"/>
            <w:vAlign w:val="bottom"/>
          </w:tcPr>
          <w:p>
            <w:pPr>
              <w:spacing w:after="0"/>
              <w:rPr>
                <w:sz w:val="1"/>
                <w:szCs w:val="1"/>
                <w:color w:val="auto"/>
              </w:rPr>
            </w:pPr>
          </w:p>
        </w:tc>
      </w:tr>
      <w:tr>
        <w:trPr>
          <w:trHeight w:val="168"/>
        </w:trPr>
        <w:tc>
          <w:tcPr>
            <w:tcW w:w="1540" w:type="dxa"/>
            <w:vAlign w:val="bottom"/>
          </w:tcPr>
          <w:p>
            <w:pPr>
              <w:ind w:left="20"/>
              <w:spacing w:after="0"/>
              <w:rPr>
                <w:sz w:val="20"/>
                <w:szCs w:val="20"/>
                <w:color w:val="auto"/>
              </w:rPr>
            </w:pPr>
            <w:r>
              <w:rPr>
                <w:rFonts w:ascii="Arial" w:cs="Arial" w:eastAsia="Arial" w:hAnsi="Arial"/>
                <w:sz w:val="13"/>
                <w:szCs w:val="13"/>
                <w:color w:val="auto"/>
              </w:rPr>
              <w:t>commercial real estate</w:t>
            </w: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Commercial &amp; industrial</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22,019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(3,751)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6,444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(8,298)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16,414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5,266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4,012</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9,278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(7,815)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6,459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8,589</w:t>
            </w:r>
          </w:p>
        </w:tc>
        <w:tc>
          <w:tcPr>
            <w:tcW w:w="0" w:type="dxa"/>
            <w:vAlign w:val="bottom"/>
          </w:tcPr>
          <w:p>
            <w:pPr>
              <w:spacing w:after="0"/>
              <w:rPr>
                <w:sz w:val="1"/>
                <w:szCs w:val="1"/>
                <w:color w:val="auto"/>
              </w:rPr>
            </w:pPr>
          </w:p>
        </w:tc>
      </w:tr>
      <w:tr>
        <w:trPr>
          <w:trHeight w:val="168"/>
        </w:trPr>
        <w:tc>
          <w:tcPr>
            <w:tcW w:w="1540" w:type="dxa"/>
            <w:vAlign w:val="bottom"/>
          </w:tcPr>
          <w:p>
            <w:pPr>
              <w:ind w:left="20"/>
              <w:spacing w:after="0"/>
              <w:rPr>
                <w:sz w:val="20"/>
                <w:szCs w:val="20"/>
                <w:color w:val="auto"/>
              </w:rPr>
            </w:pPr>
            <w:r>
              <w:rPr>
                <w:rFonts w:ascii="Arial" w:cs="Arial" w:eastAsia="Arial" w:hAnsi="Arial"/>
                <w:sz w:val="13"/>
                <w:szCs w:val="13"/>
                <w:color w:val="auto"/>
              </w:rPr>
              <w:t>Commercial construction</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10,952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(224)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495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(2,043)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9,180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9,668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(2,583)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7,085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(239)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258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7,410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14,514</w:t>
            </w:r>
          </w:p>
        </w:tc>
        <w:tc>
          <w:tcPr>
            <w:tcW w:w="0" w:type="dxa"/>
            <w:vAlign w:val="bottom"/>
          </w:tcPr>
          <w:p>
            <w:pPr>
              <w:spacing w:after="0"/>
              <w:rPr>
                <w:sz w:val="1"/>
                <w:szCs w:val="1"/>
                <w:color w:val="auto"/>
              </w:rPr>
            </w:pPr>
          </w:p>
        </w:tc>
      </w:tr>
      <w:tr>
        <w:trPr>
          <w:trHeight w:val="183"/>
        </w:trPr>
        <w:tc>
          <w:tcPr>
            <w:tcW w:w="1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Equipment financing</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16,820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(3,246)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3,092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18,100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7,384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5,871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13,255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(3,948)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10,222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20,305</w:t>
            </w:r>
          </w:p>
        </w:tc>
        <w:tc>
          <w:tcPr>
            <w:tcW w:w="0" w:type="dxa"/>
            <w:vAlign w:val="bottom"/>
          </w:tcPr>
          <w:p>
            <w:pPr>
              <w:spacing w:after="0"/>
              <w:rPr>
                <w:sz w:val="1"/>
                <w:szCs w:val="1"/>
                <w:color w:val="auto"/>
              </w:rPr>
            </w:pPr>
          </w:p>
        </w:tc>
      </w:tr>
      <w:tr>
        <w:trPr>
          <w:trHeight w:val="168"/>
        </w:trPr>
        <w:tc>
          <w:tcPr>
            <w:tcW w:w="1540" w:type="dxa"/>
            <w:vAlign w:val="bottom"/>
          </w:tcPr>
          <w:p>
            <w:pPr>
              <w:ind w:left="20"/>
              <w:spacing w:after="0"/>
              <w:rPr>
                <w:sz w:val="20"/>
                <w:szCs w:val="20"/>
                <w:color w:val="auto"/>
              </w:rPr>
            </w:pPr>
            <w:r>
              <w:rPr>
                <w:rFonts w:ascii="Arial" w:cs="Arial" w:eastAsia="Arial" w:hAnsi="Arial"/>
                <w:sz w:val="13"/>
                <w:szCs w:val="13"/>
                <w:color w:val="auto"/>
              </w:rPr>
              <w:t>Residential mortgage</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15,341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(215)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317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(4,478)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10,965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8,081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1,569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9,650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(334)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331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3,179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12,826</w:t>
            </w:r>
          </w:p>
        </w:tc>
        <w:tc>
          <w:tcPr>
            <w:tcW w:w="0" w:type="dxa"/>
            <w:vAlign w:val="bottom"/>
          </w:tcPr>
          <w:p>
            <w:pPr>
              <w:spacing w:after="0"/>
              <w:rPr>
                <w:sz w:val="1"/>
                <w:szCs w:val="1"/>
                <w:color w:val="auto"/>
              </w:rPr>
            </w:pPr>
          </w:p>
        </w:tc>
      </w:tr>
      <w:tr>
        <w:trPr>
          <w:trHeight w:val="183"/>
        </w:trPr>
        <w:tc>
          <w:tcPr>
            <w:tcW w:w="1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HELOC</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8,417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(2,245)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6,357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4,575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1,919</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6,494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8,687</w:t>
            </w:r>
          </w:p>
        </w:tc>
        <w:tc>
          <w:tcPr>
            <w:tcW w:w="0" w:type="dxa"/>
            <w:vAlign w:val="bottom"/>
          </w:tcPr>
          <w:p>
            <w:pPr>
              <w:spacing w:after="0"/>
              <w:rPr>
                <w:sz w:val="1"/>
                <w:szCs w:val="1"/>
                <w:color w:val="auto"/>
              </w:rPr>
            </w:pPr>
          </w:p>
        </w:tc>
      </w:tr>
      <w:tr>
        <w:trPr>
          <w:trHeight w:val="168"/>
        </w:trPr>
        <w:tc>
          <w:tcPr>
            <w:tcW w:w="1540" w:type="dxa"/>
            <w:vAlign w:val="bottom"/>
          </w:tcPr>
          <w:p>
            <w:pPr>
              <w:ind w:left="20"/>
              <w:spacing w:after="0"/>
              <w:rPr>
                <w:sz w:val="20"/>
                <w:szCs w:val="20"/>
                <w:color w:val="auto"/>
              </w:rPr>
            </w:pPr>
            <w:r>
              <w:rPr>
                <w:rFonts w:ascii="Arial" w:cs="Arial" w:eastAsia="Arial" w:hAnsi="Arial"/>
                <w:sz w:val="13"/>
                <w:szCs w:val="13"/>
                <w:color w:val="auto"/>
              </w:rPr>
              <w:t>Residential construction</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764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1,061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1,918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2,504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(1,771)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733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1,247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1,997</w:t>
            </w:r>
          </w:p>
        </w:tc>
        <w:tc>
          <w:tcPr>
            <w:tcW w:w="0" w:type="dxa"/>
            <w:vAlign w:val="bottom"/>
          </w:tcPr>
          <w:p>
            <w:pPr>
              <w:spacing w:after="0"/>
              <w:rPr>
                <w:sz w:val="1"/>
                <w:szCs w:val="1"/>
                <w:color w:val="auto"/>
              </w:rPr>
            </w:pPr>
          </w:p>
        </w:tc>
      </w:tr>
      <w:tr>
        <w:trPr>
          <w:trHeight w:val="183"/>
        </w:trPr>
        <w:tc>
          <w:tcPr>
            <w:tcW w:w="1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Consumer</w:t>
            </w:r>
          </w:p>
        </w:tc>
        <w:tc>
          <w:tcPr>
            <w:tcW w:w="1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287</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(824)</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488</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472</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423</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901</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(491)</w:t>
            </w:r>
          </w:p>
        </w:tc>
        <w:tc>
          <w:tcPr>
            <w:tcW w:w="1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410</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(1,350)</w:t>
            </w:r>
          </w:p>
        </w:tc>
        <w:tc>
          <w:tcPr>
            <w:tcW w:w="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517</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883</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460</w:t>
            </w:r>
          </w:p>
        </w:tc>
        <w:tc>
          <w:tcPr>
            <w:tcW w:w="0" w:type="dxa"/>
            <w:vAlign w:val="bottom"/>
          </w:tcPr>
          <w:p>
            <w:pPr>
              <w:spacing w:after="0"/>
              <w:rPr>
                <w:sz w:val="1"/>
                <w:szCs w:val="1"/>
                <w:color w:val="auto"/>
              </w:rPr>
            </w:pPr>
          </w:p>
        </w:tc>
      </w:tr>
      <w:tr>
        <w:trPr>
          <w:trHeight w:val="161"/>
        </w:trPr>
        <w:tc>
          <w:tcPr>
            <w:tcW w:w="1540" w:type="dxa"/>
            <w:vAlign w:val="bottom"/>
          </w:tcPr>
          <w:p>
            <w:pPr>
              <w:ind w:left="140"/>
              <w:spacing w:after="0"/>
              <w:rPr>
                <w:sz w:val="20"/>
                <w:szCs w:val="20"/>
                <w:color w:val="auto"/>
              </w:rPr>
            </w:pPr>
            <w:r>
              <w:rPr>
                <w:rFonts w:ascii="Arial" w:cs="Arial" w:eastAsia="Arial" w:hAnsi="Arial"/>
                <w:sz w:val="13"/>
                <w:szCs w:val="13"/>
                <w:color w:val="auto"/>
              </w:rPr>
              <w:t>ACL - loans</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137,010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(9,364)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10,125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(26,155)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111,616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62,089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6,880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68,969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(18,864)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4,601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48,963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103,669</w:t>
            </w:r>
          </w:p>
        </w:tc>
        <w:tc>
          <w:tcPr>
            <w:tcW w:w="0" w:type="dxa"/>
            <w:vAlign w:val="bottom"/>
          </w:tcPr>
          <w:p>
            <w:pPr>
              <w:spacing w:after="0"/>
              <w:rPr>
                <w:sz w:val="1"/>
                <w:szCs w:val="1"/>
                <w:color w:val="auto"/>
              </w:rPr>
            </w:pPr>
          </w:p>
        </w:tc>
      </w:tr>
      <w:tr>
        <w:trPr>
          <w:trHeight w:val="129"/>
        </w:trPr>
        <w:tc>
          <w:tcPr>
            <w:tcW w:w="154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ACL - unfunded</w:t>
            </w:r>
          </w:p>
        </w:tc>
        <w:tc>
          <w:tcPr>
            <w:tcW w:w="10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10,558</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286</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10,844</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3,458</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1,871</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5,329</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6,771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12,100</w:t>
            </w:r>
          </w:p>
        </w:tc>
        <w:tc>
          <w:tcPr>
            <w:tcW w:w="0" w:type="dxa"/>
            <w:vAlign w:val="bottom"/>
          </w:tcPr>
          <w:p>
            <w:pPr>
              <w:spacing w:after="0"/>
              <w:rPr>
                <w:sz w:val="1"/>
                <w:szCs w:val="1"/>
                <w:color w:val="auto"/>
              </w:rPr>
            </w:pPr>
          </w:p>
        </w:tc>
      </w:tr>
      <w:tr>
        <w:trPr>
          <w:trHeight w:val="169"/>
        </w:trPr>
        <w:tc>
          <w:tcPr>
            <w:tcW w:w="15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commitments</w:t>
            </w:r>
          </w:p>
        </w:tc>
        <w:tc>
          <w:tcPr>
            <w:tcW w:w="10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540" w:type="dxa"/>
            <w:vAlign w:val="bottom"/>
          </w:tcPr>
          <w:p>
            <w:pPr>
              <w:ind w:left="220"/>
              <w:spacing w:after="0"/>
              <w:rPr>
                <w:sz w:val="20"/>
                <w:szCs w:val="20"/>
                <w:color w:val="auto"/>
              </w:rPr>
            </w:pPr>
            <w:r>
              <w:rPr>
                <w:rFonts w:ascii="Arial" w:cs="Arial" w:eastAsia="Arial" w:hAnsi="Arial"/>
                <w:sz w:val="13"/>
                <w:szCs w:val="13"/>
                <w:color w:val="auto"/>
              </w:rPr>
              <w:t>Total ACL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147,568</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(9,364)</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10,125</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(25,869)</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122,460</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65,547</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8,751</w:t>
            </w:r>
          </w:p>
        </w:tc>
        <w:tc>
          <w:tcPr>
            <w:tcW w:w="1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74,298</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(18,864)</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4,601</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55,734</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115,769</w:t>
            </w:r>
          </w:p>
        </w:tc>
        <w:tc>
          <w:tcPr>
            <w:tcW w:w="0" w:type="dxa"/>
            <w:vAlign w:val="bottom"/>
          </w:tcPr>
          <w:p>
            <w:pPr>
              <w:spacing w:after="0"/>
              <w:rPr>
                <w:sz w:val="1"/>
                <w:szCs w:val="1"/>
                <w:color w:val="auto"/>
              </w:rPr>
            </w:pPr>
          </w:p>
        </w:tc>
      </w:tr>
      <w:tr>
        <w:trPr>
          <w:trHeight w:val="21"/>
        </w:trPr>
        <w:tc>
          <w:tcPr>
            <w:tcW w:w="1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At both June 30, 2021 and December 31, 2020, United used a one-year reasonable and supportable forecast period. Expected credit losses were estimated using a regression model for each segment based on historical data from peer banks combined with a third party vendor’s economic forecast to predict the change in credit losses. These results were then combined with a starting value that was based on United’s recent default experience, which was adjusted for select portfolios based on expectations of future performance. At June 30, 2021, the third party vendor’s forecast, which was representative of a baseline scenario, improved significantly from December 31, 2020, including the unemployment rate which has a significant impact on our models and led to the negative provision for loan losses in the second quarter and year-to-date. United adjusted the economic forecast by eliminating the initial spike in unemployment to account for the impact of government stimulus programs, which mitigated some of the negative impact on forecasted losses as the unemployment rate was rising and had the opposite effect as the unemployment rate was improving. In addition, United applied qualitative factors to income producing commercial real estate, owner occupied commercial real estate, equipment finance and commercial construction portfolios to compensate for elevated special mention and substandard loan levels.</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periods beyond the reasonable and supportable forecast period of one year, United reverted to historical credit loss information on a straight line basis over two years. For all collateral types excluding residential mortgage, United reverted to through-the-cycle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average default rates using peer data from 2000 to 2017. For loans secured by residential mortgages, the peer data was adjusted for changes in lending practices designed to prevent the magnitude of losses observed during the mortgage crisis.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PPP loans were considered low risk assets due to the related 100% guarantee by the SBA and were therefore excluded from the calculation.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Derivatives and Hedging Activities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table below presents the fair value of derivative financial instruments as of the dates indicated as well as their classification on the consolidated balance sheets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w w:val="90"/>
              </w:rPr>
              <w:t>June 30, 2021</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w w:val="90"/>
              </w:rPr>
              <w:t>December 31, 2020</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37"/>
        </w:trPr>
        <w:tc>
          <w:tcPr>
            <w:tcW w:w="4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6"/>
                <w:szCs w:val="16"/>
                <w:b w:val="1"/>
                <w:bCs w:val="1"/>
                <w:color w:val="auto"/>
              </w:rPr>
              <w:t>Fair Value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6"/>
                <w:szCs w:val="16"/>
                <w:b w:val="1"/>
                <w:bCs w:val="1"/>
                <w:color w:val="auto"/>
              </w:rPr>
              <w:t>Fair Value</w:t>
            </w:r>
          </w:p>
        </w:tc>
      </w:tr>
      <w:tr>
        <w:trPr>
          <w:trHeight w:val="185"/>
        </w:trPr>
        <w:tc>
          <w:tcPr>
            <w:tcW w:w="4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Arial" w:cs="Arial" w:eastAsia="Arial" w:hAnsi="Arial"/>
                <w:sz w:val="16"/>
                <w:szCs w:val="16"/>
                <w:b w:val="1"/>
                <w:bCs w:val="1"/>
                <w:color w:val="auto"/>
              </w:rPr>
              <w:t>Notional</w:t>
            </w: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Derivative</w:t>
            </w:r>
          </w:p>
        </w:tc>
        <w:tc>
          <w:tcPr>
            <w:tcW w:w="140" w:type="dxa"/>
            <w:vAlign w:val="bottom"/>
          </w:tcPr>
          <w:p>
            <w:pPr>
              <w:spacing w:after="0"/>
              <w:rPr>
                <w:sz w:val="16"/>
                <w:szCs w:val="16"/>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b w:val="1"/>
                <w:bCs w:val="1"/>
                <w:color w:val="auto"/>
                <w:w w:val="96"/>
              </w:rPr>
              <w:t>Derivative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b w:val="1"/>
                <w:bCs w:val="1"/>
                <w:color w:val="auto"/>
              </w:rPr>
              <w:t>Notional</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Derivative</w:t>
            </w:r>
          </w:p>
        </w:tc>
        <w:tc>
          <w:tcPr>
            <w:tcW w:w="140" w:type="dxa"/>
            <w:vAlign w:val="bottom"/>
          </w:tcPr>
          <w:p>
            <w:pPr>
              <w:spacing w:after="0"/>
              <w:rPr>
                <w:sz w:val="16"/>
                <w:szCs w:val="16"/>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b w:val="1"/>
                <w:bCs w:val="1"/>
                <w:color w:val="auto"/>
                <w:w w:val="96"/>
              </w:rPr>
              <w:t>Derivative</w:t>
            </w:r>
          </w:p>
        </w:tc>
      </w:tr>
      <w:tr>
        <w:trPr>
          <w:trHeight w:val="213"/>
        </w:trPr>
        <w:tc>
          <w:tcPr>
            <w:tcW w:w="4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Asset</w:t>
            </w:r>
          </w:p>
        </w:tc>
        <w:tc>
          <w:tcPr>
            <w:tcW w:w="140" w:type="dxa"/>
            <w:vAlign w:val="bottom"/>
          </w:tcPr>
          <w:p>
            <w:pPr>
              <w:spacing w:after="0"/>
              <w:rPr>
                <w:sz w:val="18"/>
                <w:szCs w:val="18"/>
                <w:color w:val="auto"/>
              </w:rPr>
            </w:pPr>
          </w:p>
        </w:tc>
        <w:tc>
          <w:tcPr>
            <w:tcW w:w="960" w:type="dxa"/>
            <w:vAlign w:val="bottom"/>
          </w:tcPr>
          <w:p>
            <w:pPr>
              <w:jc w:val="right"/>
              <w:ind w:right="179"/>
              <w:spacing w:after="0"/>
              <w:rPr>
                <w:sz w:val="20"/>
                <w:szCs w:val="20"/>
                <w:color w:val="auto"/>
              </w:rPr>
            </w:pPr>
            <w:r>
              <w:rPr>
                <w:rFonts w:ascii="Arial" w:cs="Arial" w:eastAsia="Arial" w:hAnsi="Arial"/>
                <w:sz w:val="16"/>
                <w:szCs w:val="16"/>
                <w:b w:val="1"/>
                <w:bCs w:val="1"/>
                <w:color w:val="auto"/>
              </w:rPr>
              <w:t>Liability</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59"/>
              <w:spacing w:after="0"/>
              <w:rPr>
                <w:sz w:val="20"/>
                <w:szCs w:val="20"/>
                <w:color w:val="auto"/>
              </w:rPr>
            </w:pPr>
            <w:r>
              <w:rPr>
                <w:rFonts w:ascii="Arial" w:cs="Arial" w:eastAsia="Arial" w:hAnsi="Arial"/>
                <w:sz w:val="16"/>
                <w:szCs w:val="16"/>
                <w:b w:val="1"/>
                <w:bCs w:val="1"/>
                <w:color w:val="auto"/>
              </w:rPr>
              <w:t>Amount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Asset</w:t>
            </w:r>
          </w:p>
        </w:tc>
        <w:tc>
          <w:tcPr>
            <w:tcW w:w="140" w:type="dxa"/>
            <w:vAlign w:val="bottom"/>
          </w:tcPr>
          <w:p>
            <w:pPr>
              <w:spacing w:after="0"/>
              <w:rPr>
                <w:sz w:val="18"/>
                <w:szCs w:val="18"/>
                <w:color w:val="auto"/>
              </w:rPr>
            </w:pPr>
          </w:p>
        </w:tc>
        <w:tc>
          <w:tcPr>
            <w:tcW w:w="960" w:type="dxa"/>
            <w:vAlign w:val="bottom"/>
          </w:tcPr>
          <w:p>
            <w:pPr>
              <w:jc w:val="right"/>
              <w:ind w:right="179"/>
              <w:spacing w:after="0"/>
              <w:rPr>
                <w:sz w:val="20"/>
                <w:szCs w:val="20"/>
                <w:color w:val="auto"/>
              </w:rPr>
            </w:pPr>
            <w:r>
              <w:rPr>
                <w:rFonts w:ascii="Arial" w:cs="Arial" w:eastAsia="Arial" w:hAnsi="Arial"/>
                <w:sz w:val="16"/>
                <w:szCs w:val="16"/>
                <w:b w:val="1"/>
                <w:bCs w:val="1"/>
                <w:color w:val="auto"/>
              </w:rPr>
              <w:t>Liability</w:t>
            </w:r>
          </w:p>
        </w:tc>
      </w:tr>
      <w:tr>
        <w:trPr>
          <w:trHeight w:val="199"/>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Derivatives designated as hedging instruments:</w:t>
            </w: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r>
      <w:tr>
        <w:trPr>
          <w:trHeight w:val="213"/>
        </w:trPr>
        <w:tc>
          <w:tcPr>
            <w:tcW w:w="4080" w:type="dxa"/>
            <w:vAlign w:val="bottom"/>
          </w:tcPr>
          <w:p>
            <w:pPr>
              <w:ind w:left="240"/>
              <w:spacing w:after="0"/>
              <w:rPr>
                <w:sz w:val="20"/>
                <w:szCs w:val="20"/>
                <w:color w:val="auto"/>
              </w:rPr>
            </w:pPr>
            <w:r>
              <w:rPr>
                <w:rFonts w:ascii="Arial" w:cs="Arial" w:eastAsia="Arial" w:hAnsi="Arial"/>
                <w:sz w:val="16"/>
                <w:szCs w:val="16"/>
                <w:color w:val="auto"/>
              </w:rPr>
              <w:t>Cash flow hedge of subordinated debt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100,000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5,682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100,000</w:t>
            </w:r>
          </w:p>
        </w:tc>
        <w:tc>
          <w:tcPr>
            <w:tcW w:w="26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3,378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flow hedge of trust preferred securities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080" w:type="dxa"/>
            <w:vAlign w:val="bottom"/>
          </w:tcPr>
          <w:p>
            <w:pPr>
              <w:ind w:left="240"/>
              <w:spacing w:after="0"/>
              <w:rPr>
                <w:sz w:val="20"/>
                <w:szCs w:val="20"/>
                <w:color w:val="auto"/>
              </w:rPr>
            </w:pPr>
            <w:r>
              <w:rPr>
                <w:rFonts w:ascii="Arial" w:cs="Arial" w:eastAsia="Arial" w:hAnsi="Arial"/>
                <w:sz w:val="16"/>
                <w:szCs w:val="16"/>
                <w:color w:val="auto"/>
              </w:rPr>
              <w:t>Fair value hedge of brokered time deposits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20,000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408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5,682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140,000</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Derivatives not designated as hedging instruments: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3"/>
        </w:trPr>
        <w:tc>
          <w:tcPr>
            <w:tcW w:w="4080" w:type="dxa"/>
            <w:vAlign w:val="bottom"/>
          </w:tcPr>
          <w:p>
            <w:pPr>
              <w:ind w:left="220"/>
              <w:spacing w:after="0"/>
              <w:rPr>
                <w:sz w:val="20"/>
                <w:szCs w:val="20"/>
                <w:color w:val="auto"/>
              </w:rPr>
            </w:pPr>
            <w:r>
              <w:rPr>
                <w:rFonts w:ascii="Arial" w:cs="Arial" w:eastAsia="Arial" w:hAnsi="Arial"/>
                <w:sz w:val="16"/>
                <w:szCs w:val="16"/>
                <w:color w:val="auto"/>
              </w:rPr>
              <w:t>Customer derivative positions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1,276,926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45,358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6,758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1,329,271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72,508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19"/>
        </w:trPr>
        <w:tc>
          <w:tcPr>
            <w:tcW w:w="4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Dealer offsets to customer derivative positions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1,276,926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1,329,271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24,614</w:t>
            </w:r>
          </w:p>
        </w:tc>
      </w:tr>
      <w:tr>
        <w:trPr>
          <w:trHeight w:val="213"/>
        </w:trPr>
        <w:tc>
          <w:tcPr>
            <w:tcW w:w="4080" w:type="dxa"/>
            <w:vAlign w:val="bottom"/>
          </w:tcPr>
          <w:p>
            <w:pPr>
              <w:ind w:left="220"/>
              <w:spacing w:after="0"/>
              <w:rPr>
                <w:sz w:val="20"/>
                <w:szCs w:val="20"/>
                <w:color w:val="auto"/>
              </w:rPr>
            </w:pPr>
            <w:r>
              <w:rPr>
                <w:rFonts w:ascii="Arial" w:cs="Arial" w:eastAsia="Arial" w:hAnsi="Arial"/>
                <w:sz w:val="16"/>
                <w:szCs w:val="16"/>
                <w:color w:val="auto"/>
              </w:rPr>
              <w:t>Risk participations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61,673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48,843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9"/>
        </w:trPr>
        <w:tc>
          <w:tcPr>
            <w:tcW w:w="4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Mortgage banking - loan commitment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160,535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253,243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10,751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080" w:type="dxa"/>
            <w:vAlign w:val="bottom"/>
          </w:tcPr>
          <w:p>
            <w:pPr>
              <w:ind w:left="220"/>
              <w:spacing w:after="0"/>
              <w:rPr>
                <w:sz w:val="20"/>
                <w:szCs w:val="20"/>
                <w:color w:val="auto"/>
              </w:rPr>
            </w:pPr>
            <w:r>
              <w:rPr>
                <w:rFonts w:ascii="Arial" w:cs="Arial" w:eastAsia="Arial" w:hAnsi="Arial"/>
                <w:sz w:val="16"/>
                <w:szCs w:val="16"/>
                <w:color w:val="auto"/>
              </w:rPr>
              <w:t>Mortgage banking - forward sales commitment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324,474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325,145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1,964</w:t>
            </w:r>
          </w:p>
        </w:tc>
      </w:tr>
      <w:tr>
        <w:trPr>
          <w:trHeight w:val="219"/>
        </w:trPr>
        <w:tc>
          <w:tcPr>
            <w:tcW w:w="4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Bifurcated embedded derivatives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51,935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1,449</w:t>
            </w:r>
          </w:p>
        </w:tc>
      </w:tr>
      <w:tr>
        <w:trPr>
          <w:trHeight w:val="213"/>
        </w:trPr>
        <w:tc>
          <w:tcPr>
            <w:tcW w:w="4080" w:type="dxa"/>
            <w:vAlign w:val="bottom"/>
          </w:tcPr>
          <w:p>
            <w:pPr>
              <w:ind w:left="220"/>
              <w:spacing w:after="0"/>
              <w:rPr>
                <w:sz w:val="20"/>
                <w:szCs w:val="20"/>
                <w:color w:val="auto"/>
              </w:rPr>
            </w:pPr>
            <w:r>
              <w:rPr>
                <w:rFonts w:ascii="Arial" w:cs="Arial" w:eastAsia="Arial" w:hAnsi="Arial"/>
                <w:sz w:val="16"/>
                <w:szCs w:val="16"/>
                <w:color w:val="auto"/>
              </w:rPr>
              <w:t>Dealer offsets to bifurcated embedded derivatives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51,935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3,922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51,935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947</w:t>
            </w:r>
          </w:p>
        </w:tc>
      </w:tr>
      <w:tr>
        <w:trPr>
          <w:trHeight w:val="210"/>
        </w:trPr>
        <w:tc>
          <w:tcPr>
            <w:tcW w:w="408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3,204,404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52,807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27,089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3,389,643</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83,288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29,003</w:t>
            </w:r>
          </w:p>
        </w:tc>
      </w:tr>
      <w:tr>
        <w:trPr>
          <w:trHeight w:val="199"/>
        </w:trPr>
        <w:tc>
          <w:tcPr>
            <w:tcW w:w="4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6"/>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derivatives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3,334,404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58,489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27,089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3,529,643</w:t>
            </w: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86,666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29,003</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4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gross derivative instruments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58,489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27,089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86,666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29,003</w:t>
            </w:r>
          </w:p>
        </w:tc>
      </w:tr>
      <w:tr>
        <w:trPr>
          <w:trHeight w:val="213"/>
        </w:trPr>
        <w:tc>
          <w:tcPr>
            <w:tcW w:w="4080" w:type="dxa"/>
            <w:vAlign w:val="bottom"/>
          </w:tcPr>
          <w:p>
            <w:pPr>
              <w:ind w:left="20"/>
              <w:spacing w:after="0"/>
              <w:rPr>
                <w:sz w:val="20"/>
                <w:szCs w:val="20"/>
                <w:color w:val="auto"/>
              </w:rPr>
            </w:pPr>
            <w:r>
              <w:rPr>
                <w:rFonts w:ascii="Arial" w:cs="Arial" w:eastAsia="Arial" w:hAnsi="Arial"/>
                <w:sz w:val="16"/>
                <w:szCs w:val="16"/>
                <w:color w:val="auto"/>
              </w:rPr>
              <w:t>Less: Amounts subject to master netting agreements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(480)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(114)</w:t>
            </w:r>
          </w:p>
        </w:tc>
      </w:tr>
      <w:tr>
        <w:trPr>
          <w:trHeight w:val="216"/>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Cash collateral received/pledged</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(5,827)</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(20,295)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(3,200)</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(27,092)</w:t>
            </w:r>
          </w:p>
        </w:tc>
      </w:tr>
      <w:tr>
        <w:trPr>
          <w:trHeight w:val="213"/>
        </w:trPr>
        <w:tc>
          <w:tcPr>
            <w:tcW w:w="4080" w:type="dxa"/>
            <w:vAlign w:val="bottom"/>
          </w:tcPr>
          <w:p>
            <w:pPr>
              <w:ind w:left="20"/>
              <w:spacing w:after="0"/>
              <w:rPr>
                <w:sz w:val="20"/>
                <w:szCs w:val="20"/>
                <w:color w:val="auto"/>
              </w:rPr>
            </w:pPr>
            <w:r>
              <w:rPr>
                <w:rFonts w:ascii="Arial" w:cs="Arial" w:eastAsia="Arial" w:hAnsi="Arial"/>
                <w:sz w:val="16"/>
                <w:szCs w:val="16"/>
                <w:color w:val="auto"/>
              </w:rPr>
              <w:t>Net amount</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52,182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6,314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83,352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1,797</w:t>
            </w:r>
          </w:p>
        </w:tc>
      </w:tr>
      <w:tr>
        <w:trPr>
          <w:trHeight w:val="20"/>
        </w:trPr>
        <w:tc>
          <w:tcPr>
            <w:tcW w:w="4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 clears certain derivatives centrally through the CME. CME rules legally characterize variation margin payments for centrally cleared derivatives as settlements of the derivatives’ exposure rather than as collateral. As a result, the variation margin payment and the related derivative instruments are considered a single unit of account for accounting purposes. Variation margin, as determined by the CME, is settled daily. As a result, derivative contracts that clear through the CME have an estimated fair value of zero.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Hedging Derivatives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Flow Hedges of Interest Rate Risk</w:t>
      </w:r>
    </w:p>
    <w:p>
      <w:pPr>
        <w:spacing w:after="0" w:line="9"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United enters into cash flow hedges to mitigate exposure to the variability of future cash flows or other forecasted transactions. As of June 30, 2021 and December 31, 2020 United utilized interest rate caps and swaps to hedge the variability of cash flows due to changes in interest rates on certain of its variable-rate subordinated debt and trust preferred securities. United considers these derivatives to be highly effective at achieving offsetting changes in cash flows attributable to changes in interest rates. Therefore, changes in the fair value of these derivative instruments are recognized in OCI. Gains and losses related to changes in fair value are reclassified into earnings in the periods the hedged forecasted transactions occur. Losses representing amortization of the premium recorded on cash flow hedges, which is a component excluded from the assessment of effectiveness, are recognized in earnings on a straight-line basis in the same caption as the hedged item over the term of the hedge. Over the next twelve months, United expects to reclassify $595,000 of losses from AOCI into earnings related to these agreements.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Hedges of Interest Rate Risk</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United is exposed to changes in the fair value of certain of its fixed-rate obligations due to changes in interest rates. United uses interest rate derivatives to manage its exposure to changes in fair value on these instruments attributable to changes in interest rates. For derivatives designated and that qualify as fair value hedges, the gain or loss on the derivative as well as the offsetting loss or gain on the hedged item attributable to the hedged risk are recognized in earnings. United includes the gain or loss on the hedged items in the same income statement line item as the offsetting loss or gain on the related derivatives.</w:t>
      </w:r>
    </w:p>
    <w:p>
      <w:pPr>
        <w:spacing w:after="0" w:line="21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June 30, 2021 and December 31, 2020, United had interest rate swaps that were designated as fair value hedges of fixed-rate brokered time deposits. The swaps involved the receipt of fixed-rate amounts from a counterparty in exchange for United making variable rate payments over the life of the agreements.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certain cases, the estate of deceased brokered certificate of deposit holders may put the certificate of deposit back to United at par upon the death of the holder. When these events (estate puts) occur, a gain or loss is recognized for the difference between the fair value and the par amount of the deposits put back. The change in the fair value of brokered time deposits that are being hedged in fair value hedging relationships reported in the table above includes gains and losses from estate puts.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table below presents the effect of derivatives in hedging relationships, all of which are interest rate contracts, on the consolidated statement of income for the periods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0"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5380" w:type="dxa"/>
            <w:vAlign w:val="bottom"/>
          </w:tcPr>
          <w:p>
            <w:pPr>
              <w:spacing w:after="0"/>
              <w:rPr>
                <w:sz w:val="18"/>
                <w:szCs w:val="18"/>
                <w:color w:val="auto"/>
              </w:rPr>
            </w:pPr>
          </w:p>
        </w:tc>
        <w:tc>
          <w:tcPr>
            <w:tcW w:w="2940" w:type="dxa"/>
            <w:vAlign w:val="bottom"/>
            <w:gridSpan w:val="6"/>
          </w:tcPr>
          <w:p>
            <w:pPr>
              <w:ind w:left="380"/>
              <w:spacing w:after="0"/>
              <w:rPr>
                <w:sz w:val="20"/>
                <w:szCs w:val="20"/>
                <w:color w:val="auto"/>
              </w:rPr>
            </w:pPr>
            <w:r>
              <w:rPr>
                <w:rFonts w:ascii="Arial" w:cs="Arial" w:eastAsia="Arial" w:hAnsi="Arial"/>
                <w:sz w:val="16"/>
                <w:szCs w:val="16"/>
                <w:b w:val="1"/>
                <w:bCs w:val="1"/>
                <w:color w:val="auto"/>
              </w:rPr>
              <w:t>Three Months Ended June 30,</w:t>
            </w:r>
          </w:p>
        </w:tc>
        <w:tc>
          <w:tcPr>
            <w:tcW w:w="280" w:type="dxa"/>
            <w:vAlign w:val="bottom"/>
          </w:tcPr>
          <w:p>
            <w:pPr>
              <w:spacing w:after="0"/>
              <w:rPr>
                <w:sz w:val="18"/>
                <w:szCs w:val="18"/>
                <w:color w:val="auto"/>
              </w:rPr>
            </w:pPr>
          </w:p>
        </w:tc>
        <w:tc>
          <w:tcPr>
            <w:tcW w:w="2560" w:type="dxa"/>
            <w:vAlign w:val="bottom"/>
            <w:gridSpan w:val="4"/>
          </w:tcPr>
          <w:p>
            <w:pPr>
              <w:jc w:val="right"/>
              <w:ind w:right="399"/>
              <w:spacing w:after="0"/>
              <w:rPr>
                <w:sz w:val="20"/>
                <w:szCs w:val="20"/>
                <w:color w:val="auto"/>
              </w:rPr>
            </w:pPr>
            <w:r>
              <w:rPr>
                <w:rFonts w:ascii="Arial" w:cs="Arial" w:eastAsia="Arial" w:hAnsi="Arial"/>
                <w:sz w:val="16"/>
                <w:szCs w:val="16"/>
                <w:b w:val="1"/>
                <w:bCs w:val="1"/>
                <w:color w:val="auto"/>
                <w:w w:val="99"/>
              </w:rPr>
              <w:t>Six Months Ended June 30,</w:t>
            </w:r>
          </w:p>
        </w:tc>
      </w:tr>
      <w:tr>
        <w:trPr>
          <w:trHeight w:val="207"/>
        </w:trPr>
        <w:tc>
          <w:tcPr>
            <w:tcW w:w="538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r>
      <w:tr>
        <w:trPr>
          <w:trHeight w:val="212"/>
        </w:trPr>
        <w:tc>
          <w:tcPr>
            <w:tcW w:w="5380" w:type="dxa"/>
            <w:vAlign w:val="bottom"/>
          </w:tcPr>
          <w:p>
            <w:pPr>
              <w:ind w:left="20"/>
              <w:spacing w:after="0"/>
              <w:rPr>
                <w:sz w:val="20"/>
                <w:szCs w:val="20"/>
                <w:color w:val="auto"/>
              </w:rPr>
            </w:pPr>
            <w:r>
              <w:rPr>
                <w:rFonts w:ascii="Arial" w:cs="Arial" w:eastAsia="Arial" w:hAnsi="Arial"/>
                <w:sz w:val="16"/>
                <w:szCs w:val="16"/>
                <w:color w:val="auto"/>
              </w:rPr>
              <w:t>Total interest expense presented in the consolidated statements of income</w:t>
            </w:r>
          </w:p>
        </w:tc>
        <w:tc>
          <w:tcPr>
            <w:tcW w:w="860" w:type="dxa"/>
            <w:vAlign w:val="bottom"/>
          </w:tcPr>
          <w:p>
            <w:pPr>
              <w:jc w:val="right"/>
              <w:ind w:right="67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0"/>
              </w:rPr>
              <w:t>(7,433)</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(14,301)</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(16,911)</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(32,242)</w:t>
            </w:r>
          </w:p>
        </w:tc>
      </w:tr>
      <w:tr>
        <w:trPr>
          <w:trHeight w:val="219"/>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hedging relationships on interest expense:</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5380" w:type="dxa"/>
            <w:vAlign w:val="bottom"/>
          </w:tcPr>
          <w:p>
            <w:pPr>
              <w:ind w:left="20"/>
              <w:spacing w:after="0"/>
              <w:rPr>
                <w:sz w:val="20"/>
                <w:szCs w:val="20"/>
                <w:color w:val="auto"/>
              </w:rPr>
            </w:pPr>
            <w:r>
              <w:rPr>
                <w:rFonts w:ascii="Arial" w:cs="Arial" w:eastAsia="Arial" w:hAnsi="Arial"/>
                <w:sz w:val="16"/>
                <w:szCs w:val="16"/>
                <w:color w:val="auto"/>
              </w:rPr>
              <w:t>Net income recognized on fair value hedges</w:t>
            </w: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218</w:t>
            </w:r>
          </w:p>
        </w:tc>
      </w:tr>
      <w:tr>
        <w:trPr>
          <w:trHeight w:val="219"/>
        </w:trPr>
        <w:tc>
          <w:tcPr>
            <w:tcW w:w="538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Net expense recognized on cash flow hedges </w:t>
            </w:r>
            <w:r>
              <w:rPr>
                <w:rFonts w:ascii="Arial" w:cs="Arial" w:eastAsia="Arial" w:hAnsi="Arial"/>
                <w:sz w:val="21"/>
                <w:szCs w:val="21"/>
                <w:color w:val="auto"/>
                <w:vertAlign w:val="superscript"/>
              </w:rPr>
              <w:t>(1)</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r>
    </w:tbl>
    <w:p>
      <w:pPr>
        <w:spacing w:after="0" w:line="71" w:lineRule="exact"/>
        <w:rPr>
          <w:sz w:val="20"/>
          <w:szCs w:val="20"/>
          <w:color w:val="auto"/>
        </w:rPr>
      </w:pPr>
    </w:p>
    <w:p>
      <w:pPr>
        <w:jc w:val="both"/>
        <w:ind w:right="20" w:firstLine="51"/>
        <w:spacing w:after="0" w:line="245" w:lineRule="auto"/>
        <w:tabs>
          <w:tab w:leader="none" w:pos="220" w:val="left"/>
        </w:tabs>
        <w:numPr>
          <w:ilvl w:val="0"/>
          <w:numId w:val="5"/>
        </w:numPr>
        <w:rPr>
          <w:rFonts w:ascii="Arial" w:cs="Arial" w:eastAsia="Arial" w:hAnsi="Arial"/>
          <w:sz w:val="20"/>
          <w:szCs w:val="20"/>
          <w:color w:val="auto"/>
          <w:vertAlign w:val="superscript"/>
        </w:rPr>
      </w:pPr>
      <w:r>
        <w:rPr>
          <w:rFonts w:ascii="Arial" w:cs="Arial" w:eastAsia="Arial" w:hAnsi="Arial"/>
          <w:sz w:val="15"/>
          <w:szCs w:val="15"/>
          <w:color w:val="auto"/>
        </w:rPr>
        <w:t>Includes $118,000 and $234,000 of premium amortization expense excluded from the assessment of hedge effectiveness for the three and six months ended June 30, 2021, respectively. Includes $92,000 of premium amortization expense excluded from the assessment of hedge effectiveness for the three and six months ended June 30, 2020.</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table below presents the carrying amount of hedged fixed-rate brokered time deposits and cumulative fair value hedging adjustments included in the carrying amount of the hedged liability for the periods presented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80" w:type="dxa"/>
            <w:vAlign w:val="bottom"/>
            <w:gridSpan w:val="5"/>
          </w:tcPr>
          <w:p>
            <w:pPr>
              <w:ind w:left="1560"/>
              <w:spacing w:after="0"/>
              <w:rPr>
                <w:sz w:val="20"/>
                <w:szCs w:val="20"/>
                <w:color w:val="auto"/>
              </w:rPr>
            </w:pPr>
            <w:r>
              <w:rPr>
                <w:rFonts w:ascii="Arial" w:cs="Arial" w:eastAsia="Arial" w:hAnsi="Arial"/>
                <w:sz w:val="16"/>
                <w:szCs w:val="16"/>
                <w:b w:val="1"/>
                <w:bCs w:val="1"/>
                <w:color w:val="auto"/>
              </w:rPr>
              <w:t>June 30, 2021</w:t>
            </w:r>
          </w:p>
        </w:tc>
        <w:tc>
          <w:tcPr>
            <w:tcW w:w="120" w:type="dxa"/>
            <w:vAlign w:val="bottom"/>
          </w:tcPr>
          <w:p>
            <w:pPr>
              <w:spacing w:after="0"/>
              <w:rPr>
                <w:sz w:val="18"/>
                <w:szCs w:val="18"/>
                <w:color w:val="auto"/>
              </w:rPr>
            </w:pPr>
          </w:p>
        </w:tc>
        <w:tc>
          <w:tcPr>
            <w:tcW w:w="4180" w:type="dxa"/>
            <w:vAlign w:val="bottom"/>
            <w:gridSpan w:val="4"/>
          </w:tcPr>
          <w:p>
            <w:pPr>
              <w:ind w:left="1380"/>
              <w:spacing w:after="0"/>
              <w:rPr>
                <w:sz w:val="20"/>
                <w:szCs w:val="20"/>
                <w:color w:val="auto"/>
              </w:rPr>
            </w:pPr>
            <w:r>
              <w:rPr>
                <w:rFonts w:ascii="Arial" w:cs="Arial" w:eastAsia="Arial" w:hAnsi="Arial"/>
                <w:sz w:val="16"/>
                <w:szCs w:val="16"/>
                <w:b w:val="1"/>
                <w:bCs w:val="1"/>
                <w:color w:val="auto"/>
              </w:rPr>
              <w:t>December 31, 2020</w:t>
            </w:r>
          </w:p>
        </w:tc>
        <w:tc>
          <w:tcPr>
            <w:tcW w:w="0" w:type="dxa"/>
            <w:vAlign w:val="bottom"/>
          </w:tcPr>
          <w:p>
            <w:pPr>
              <w:spacing w:after="0"/>
              <w:rPr>
                <w:sz w:val="1"/>
                <w:szCs w:val="1"/>
                <w:color w:val="auto"/>
              </w:rPr>
            </w:pPr>
          </w:p>
        </w:tc>
      </w:tr>
      <w:tr>
        <w:trPr>
          <w:trHeight w:val="159"/>
        </w:trPr>
        <w:tc>
          <w:tcPr>
            <w:tcW w:w="2460" w:type="dxa"/>
            <w:vAlign w:val="bottom"/>
            <w:vMerge w:val="restart"/>
          </w:tcPr>
          <w:p>
            <w:pPr>
              <w:ind w:left="420"/>
              <w:spacing w:after="0"/>
              <w:rPr>
                <w:sz w:val="20"/>
                <w:szCs w:val="20"/>
                <w:color w:val="auto"/>
              </w:rPr>
            </w:pPr>
            <w:r>
              <w:rPr>
                <w:rFonts w:ascii="Arial" w:cs="Arial" w:eastAsia="Arial" w:hAnsi="Arial"/>
                <w:sz w:val="16"/>
                <w:szCs w:val="16"/>
                <w:b w:val="1"/>
                <w:bCs w:val="1"/>
                <w:color w:val="auto"/>
              </w:rPr>
              <w:t>Balance Sheet Location</w:t>
            </w:r>
          </w:p>
        </w:tc>
        <w:tc>
          <w:tcPr>
            <w:tcW w:w="100" w:type="dxa"/>
            <w:vAlign w:val="bottom"/>
            <w:vMerge w:val="restart"/>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80" w:type="dxa"/>
            <w:vAlign w:val="bottom"/>
            <w:tcBorders>
              <w:top w:val="single" w:sz="8" w:color="auto"/>
            </w:tcBorders>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0"/>
              </w:rPr>
              <w:t>Carrying amount of Assets</w:t>
            </w:r>
          </w:p>
        </w:tc>
        <w:tc>
          <w:tcPr>
            <w:tcW w:w="160" w:type="dxa"/>
            <w:vAlign w:val="bottom"/>
            <w:tcBorders>
              <w:top w:val="single" w:sz="8" w:color="auto"/>
            </w:tcBorders>
          </w:tcPr>
          <w:p>
            <w:pPr>
              <w:spacing w:after="0"/>
              <w:rPr>
                <w:sz w:val="13"/>
                <w:szCs w:val="13"/>
                <w:color w:val="auto"/>
              </w:rPr>
            </w:pPr>
          </w:p>
        </w:tc>
        <w:tc>
          <w:tcPr>
            <w:tcW w:w="1940" w:type="dxa"/>
            <w:vAlign w:val="bottom"/>
            <w:tcBorders>
              <w:top w:val="single" w:sz="8" w:color="auto"/>
            </w:tcBorders>
          </w:tcPr>
          <w:p>
            <w:pPr>
              <w:jc w:val="center"/>
              <w:ind w:right="79"/>
              <w:spacing w:after="0" w:line="158" w:lineRule="exact"/>
              <w:rPr>
                <w:sz w:val="20"/>
                <w:szCs w:val="20"/>
                <w:color w:val="auto"/>
              </w:rPr>
            </w:pPr>
            <w:r>
              <w:rPr>
                <w:rFonts w:ascii="Arial" w:cs="Arial" w:eastAsia="Arial" w:hAnsi="Arial"/>
                <w:sz w:val="16"/>
                <w:szCs w:val="16"/>
                <w:b w:val="1"/>
                <w:bCs w:val="1"/>
                <w:color w:val="auto"/>
                <w:w w:val="88"/>
              </w:rPr>
              <w:t>Hedge Accounting Basis</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80" w:type="dxa"/>
            <w:vAlign w:val="bottom"/>
            <w:tcBorders>
              <w:top w:val="single" w:sz="8" w:color="auto"/>
            </w:tcBorders>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0"/>
              </w:rPr>
              <w:t>Carrying amount of Assets</w:t>
            </w:r>
          </w:p>
        </w:tc>
        <w:tc>
          <w:tcPr>
            <w:tcW w:w="160" w:type="dxa"/>
            <w:vAlign w:val="bottom"/>
            <w:tcBorders>
              <w:top w:val="single" w:sz="8" w:color="auto"/>
            </w:tcBorders>
          </w:tcPr>
          <w:p>
            <w:pPr>
              <w:spacing w:after="0"/>
              <w:rPr>
                <w:sz w:val="13"/>
                <w:szCs w:val="13"/>
                <w:color w:val="auto"/>
              </w:rPr>
            </w:pPr>
          </w:p>
        </w:tc>
        <w:tc>
          <w:tcPr>
            <w:tcW w:w="1940" w:type="dxa"/>
            <w:vAlign w:val="bottom"/>
            <w:tcBorders>
              <w:top w:val="single" w:sz="8" w:color="auto"/>
            </w:tcBorders>
          </w:tcPr>
          <w:p>
            <w:pPr>
              <w:jc w:val="center"/>
              <w:ind w:right="59"/>
              <w:spacing w:after="0" w:line="158" w:lineRule="exact"/>
              <w:rPr>
                <w:sz w:val="20"/>
                <w:szCs w:val="20"/>
                <w:color w:val="auto"/>
              </w:rPr>
            </w:pPr>
            <w:r>
              <w:rPr>
                <w:rFonts w:ascii="Arial" w:cs="Arial" w:eastAsia="Arial" w:hAnsi="Arial"/>
                <w:sz w:val="16"/>
                <w:szCs w:val="16"/>
                <w:b w:val="1"/>
                <w:bCs w:val="1"/>
                <w:color w:val="auto"/>
                <w:w w:val="89"/>
              </w:rPr>
              <w:t>Hedge Accounting Basis</w:t>
            </w:r>
          </w:p>
        </w:tc>
        <w:tc>
          <w:tcPr>
            <w:tcW w:w="0" w:type="dxa"/>
            <w:vAlign w:val="bottom"/>
          </w:tcPr>
          <w:p>
            <w:pPr>
              <w:spacing w:after="0"/>
              <w:rPr>
                <w:sz w:val="1"/>
                <w:szCs w:val="1"/>
                <w:color w:val="auto"/>
              </w:rPr>
            </w:pPr>
          </w:p>
        </w:tc>
      </w:tr>
      <w:tr>
        <w:trPr>
          <w:trHeight w:val="213"/>
        </w:trPr>
        <w:tc>
          <w:tcPr>
            <w:tcW w:w="24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4"/>
              </w:rPr>
              <w:t>(Liabilities)</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3"/>
              </w:rPr>
              <w:t>Adjustment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4"/>
              </w:rPr>
              <w:t>(Liabilities)</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3"/>
              </w:rPr>
              <w:t>Adjustment</w:t>
            </w:r>
          </w:p>
        </w:tc>
        <w:tc>
          <w:tcPr>
            <w:tcW w:w="0" w:type="dxa"/>
            <w:vAlign w:val="bottom"/>
          </w:tcPr>
          <w:p>
            <w:pPr>
              <w:spacing w:after="0"/>
              <w:rPr>
                <w:sz w:val="1"/>
                <w:szCs w:val="1"/>
                <w:color w:val="auto"/>
              </w:rPr>
            </w:pPr>
          </w:p>
        </w:tc>
      </w:tr>
      <w:tr>
        <w:trPr>
          <w:trHeight w:val="212"/>
        </w:trPr>
        <w:tc>
          <w:tcPr>
            <w:tcW w:w="2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Deposits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80" w:type="dxa"/>
            <w:vAlign w:val="bottom"/>
            <w:shd w:val="clear" w:color="auto" w:fill="CCEEFF"/>
          </w:tcPr>
          <w:p>
            <w:pPr>
              <w:ind w:left="1400"/>
              <w:spacing w:after="0"/>
              <w:rPr>
                <w:sz w:val="20"/>
                <w:szCs w:val="20"/>
                <w:color w:val="auto"/>
              </w:rPr>
            </w:pPr>
            <w:r>
              <w:rPr>
                <w:rFonts w:ascii="Arial" w:cs="Arial" w:eastAsia="Arial" w:hAnsi="Arial"/>
                <w:sz w:val="16"/>
                <w:szCs w:val="16"/>
                <w:color w:val="auto"/>
                <w:w w:val="93"/>
              </w:rPr>
              <w:t>(20,216)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Derivatives Not Designated as Hedging Instruments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Customer derivative positions include swaps, caps, and collars between United and certain commercial loan customers with offsetting positions to dealers under a back-to-back program. In addition, United occasionally enters into credit risk participation agreements with counterparty banks to accept or transfer a portion of the credit risk related to interest rate swaps. The agreements, which are typically executed in conjunction with a participation in a loan with the same customer, allow customers to execute an interest rate swap with one bank while allowing for the distribution of the credit risk among participating members.</w:t>
      </w: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United also has three interest rate swap contracts that are not designated as hedging instruments but are economic hedges of market-linked brokered certificates of deposit. The market-linked brokered certificates of deposit contain embedded derivatives that are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bifurcated from the host instruments and are marked to market through earnings. The fair value marks on the market-linked swaps and the bifurcated embedded derivatives tend to move in opposite directions with changes in 90-day LIBOR and therefore provide an economic hedge.</w:t>
      </w:r>
    </w:p>
    <w:p>
      <w:pPr>
        <w:spacing w:after="0" w:line="1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United originates certain residential mortgage loans with the intention of selling these loans. Between the time United enters into an interest-rate lock commitment to originate a residential mortgage loan that is to be held for sale and the time the loan is funded and eventually sold, United is subject to the risk of variability in market prices. United enters into forward sale agreements to mitigate risk and to protect the expected gain on the eventual loan sale. The commitments to originate residential mortgage loans and forward loan sales commitments are freestanding derivative instruments. Fair value adjustments on these derivative instruments are recorded within mortgage loan gains and other related fee income in the consolidated statements of income.</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table below presents the gains and losses recognized in income on derivatives not designated as hedging instruments for the periods indicated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720" w:type="dxa"/>
            <w:vAlign w:val="bottom"/>
            <w:tcBorders>
              <w:bottom w:val="single" w:sz="8" w:color="auto"/>
            </w:tcBorders>
            <w:gridSpan w:val="10"/>
          </w:tcPr>
          <w:p>
            <w:pPr>
              <w:jc w:val="right"/>
              <w:ind w:right="299"/>
              <w:spacing w:after="0"/>
              <w:rPr>
                <w:sz w:val="20"/>
                <w:szCs w:val="20"/>
                <w:color w:val="auto"/>
              </w:rPr>
            </w:pPr>
            <w:r>
              <w:rPr>
                <w:rFonts w:ascii="Arial" w:cs="Arial" w:eastAsia="Arial" w:hAnsi="Arial"/>
                <w:sz w:val="16"/>
                <w:szCs w:val="16"/>
                <w:b w:val="1"/>
                <w:bCs w:val="1"/>
                <w:color w:val="auto"/>
                <w:w w:val="93"/>
              </w:rPr>
              <w:t>Amount of Gain (Loss) Recognized in Income on Derivatives</w:t>
            </w:r>
          </w:p>
        </w:tc>
        <w:tc>
          <w:tcPr>
            <w:tcW w:w="0" w:type="dxa"/>
            <w:vAlign w:val="bottom"/>
          </w:tcPr>
          <w:p>
            <w:pPr>
              <w:spacing w:after="0"/>
              <w:rPr>
                <w:sz w:val="1"/>
                <w:szCs w:val="1"/>
                <w:color w:val="auto"/>
              </w:rPr>
            </w:pPr>
          </w:p>
        </w:tc>
      </w:tr>
      <w:tr>
        <w:trPr>
          <w:trHeight w:val="186"/>
        </w:trPr>
        <w:tc>
          <w:tcPr>
            <w:tcW w:w="4100" w:type="dxa"/>
            <w:vAlign w:val="bottom"/>
          </w:tcPr>
          <w:p>
            <w:pPr>
              <w:spacing w:after="0"/>
              <w:rPr>
                <w:sz w:val="16"/>
                <w:szCs w:val="16"/>
                <w:color w:val="auto"/>
              </w:rPr>
            </w:pPr>
          </w:p>
        </w:tc>
        <w:tc>
          <w:tcPr>
            <w:tcW w:w="218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1"/>
              </w:rPr>
              <w:t>Location of Gain (Loss)</w:t>
            </w:r>
          </w:p>
        </w:tc>
        <w:tc>
          <w:tcPr>
            <w:tcW w:w="240" w:type="dxa"/>
            <w:vAlign w:val="bottom"/>
          </w:tcPr>
          <w:p>
            <w:pPr>
              <w:spacing w:after="0"/>
              <w:rPr>
                <w:sz w:val="16"/>
                <w:szCs w:val="16"/>
                <w:color w:val="auto"/>
              </w:rPr>
            </w:pPr>
          </w:p>
        </w:tc>
        <w:tc>
          <w:tcPr>
            <w:tcW w:w="2320" w:type="dxa"/>
            <w:vAlign w:val="bottom"/>
            <w:gridSpan w:val="5"/>
          </w:tcPr>
          <w:p>
            <w:pPr>
              <w:ind w:left="24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6"/>
                <w:szCs w:val="16"/>
                <w:color w:val="auto"/>
              </w:rPr>
            </w:pPr>
          </w:p>
        </w:tc>
        <w:tc>
          <w:tcPr>
            <w:tcW w:w="2140" w:type="dxa"/>
            <w:vAlign w:val="bottom"/>
            <w:gridSpan w:val="4"/>
          </w:tcPr>
          <w:p>
            <w:pPr>
              <w:jc w:val="right"/>
              <w:ind w:right="47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94"/>
        </w:trPr>
        <w:tc>
          <w:tcPr>
            <w:tcW w:w="4100" w:type="dxa"/>
            <w:vAlign w:val="bottom"/>
          </w:tcPr>
          <w:p>
            <w:pPr>
              <w:spacing w:after="0"/>
              <w:rPr>
                <w:sz w:val="8"/>
                <w:szCs w:val="8"/>
                <w:color w:val="auto"/>
              </w:rPr>
            </w:pPr>
          </w:p>
        </w:tc>
        <w:tc>
          <w:tcPr>
            <w:tcW w:w="21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34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June 30,</w:t>
            </w: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20" w:type="dxa"/>
            <w:vAlign w:val="bottom"/>
            <w:gridSpan w:val="3"/>
            <w:vMerge w:val="restart"/>
          </w:tcPr>
          <w:p>
            <w:pPr>
              <w:jc w:val="right"/>
              <w:ind w:right="19"/>
              <w:spacing w:after="0"/>
              <w:rPr>
                <w:sz w:val="20"/>
                <w:szCs w:val="20"/>
                <w:color w:val="auto"/>
              </w:rPr>
            </w:pPr>
            <w:r>
              <w:rPr>
                <w:rFonts w:ascii="Arial" w:cs="Arial" w:eastAsia="Arial" w:hAnsi="Arial"/>
                <w:sz w:val="16"/>
                <w:szCs w:val="16"/>
                <w:b w:val="1"/>
                <w:bCs w:val="1"/>
                <w:color w:val="auto"/>
              </w:rPr>
              <w:t>June 30,</w:t>
            </w: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4100" w:type="dxa"/>
            <w:vAlign w:val="bottom"/>
          </w:tcPr>
          <w:p>
            <w:pPr>
              <w:spacing w:after="0"/>
              <w:rPr>
                <w:sz w:val="10"/>
                <w:szCs w:val="10"/>
                <w:color w:val="auto"/>
              </w:rPr>
            </w:pPr>
          </w:p>
        </w:tc>
        <w:tc>
          <w:tcPr>
            <w:tcW w:w="2180" w:type="dxa"/>
            <w:vAlign w:val="bottom"/>
            <w:gridSpan w:val="2"/>
            <w:vMerge w:val="restart"/>
          </w:tcPr>
          <w:p>
            <w:pPr>
              <w:jc w:val="center"/>
              <w:ind w:right="100"/>
              <w:spacing w:after="0" w:line="162" w:lineRule="exact"/>
              <w:rPr>
                <w:sz w:val="20"/>
                <w:szCs w:val="20"/>
                <w:color w:val="auto"/>
              </w:rPr>
            </w:pPr>
            <w:r>
              <w:rPr>
                <w:rFonts w:ascii="Arial" w:cs="Arial" w:eastAsia="Arial" w:hAnsi="Arial"/>
                <w:sz w:val="16"/>
                <w:szCs w:val="16"/>
                <w:b w:val="1"/>
                <w:bCs w:val="1"/>
                <w:color w:val="auto"/>
                <w:w w:val="89"/>
              </w:rPr>
              <w:t>Recognized in Income on</w:t>
            </w:r>
          </w:p>
        </w:tc>
        <w:tc>
          <w:tcPr>
            <w:tcW w:w="2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gridSpan w:val="3"/>
            <w:vMerge w:val="continue"/>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3"/>
            <w:vMerge w:val="continue"/>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4100" w:type="dxa"/>
            <w:vAlign w:val="bottom"/>
          </w:tcPr>
          <w:p>
            <w:pPr>
              <w:spacing w:after="0"/>
              <w:rPr>
                <w:sz w:val="2"/>
                <w:szCs w:val="2"/>
                <w:color w:val="auto"/>
              </w:rPr>
            </w:pPr>
          </w:p>
        </w:tc>
        <w:tc>
          <w:tcPr>
            <w:tcW w:w="218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line="20" w:lineRule="exact"/>
              <w:rPr>
                <w:sz w:val="1"/>
                <w:szCs w:val="1"/>
                <w:color w:val="auto"/>
              </w:rPr>
            </w:pPr>
          </w:p>
        </w:tc>
      </w:tr>
      <w:tr>
        <w:trPr>
          <w:trHeight w:val="210"/>
        </w:trPr>
        <w:tc>
          <w:tcPr>
            <w:tcW w:w="4100" w:type="dxa"/>
            <w:vAlign w:val="bottom"/>
          </w:tcPr>
          <w:p>
            <w:pPr>
              <w:spacing w:after="0"/>
              <w:rPr>
                <w:sz w:val="18"/>
                <w:szCs w:val="18"/>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Derivatives</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00" w:type="dxa"/>
            <w:vAlign w:val="bottom"/>
          </w:tcPr>
          <w:p>
            <w:pPr>
              <w:ind w:left="20"/>
              <w:spacing w:after="0"/>
              <w:rPr>
                <w:sz w:val="20"/>
                <w:szCs w:val="20"/>
                <w:color w:val="auto"/>
              </w:rPr>
            </w:pPr>
            <w:r>
              <w:rPr>
                <w:rFonts w:ascii="Arial" w:cs="Arial" w:eastAsia="Arial" w:hAnsi="Arial"/>
                <w:sz w:val="16"/>
                <w:szCs w:val="16"/>
                <w:color w:val="auto"/>
              </w:rPr>
              <w:t>Customer derivatives and dealer offsets</w:t>
            </w:r>
          </w:p>
        </w:tc>
        <w:tc>
          <w:tcPr>
            <w:tcW w:w="2180" w:type="dxa"/>
            <w:vAlign w:val="bottom"/>
            <w:gridSpan w:val="2"/>
          </w:tcPr>
          <w:p>
            <w:pPr>
              <w:ind w:left="20"/>
              <w:spacing w:after="0"/>
              <w:rPr>
                <w:sz w:val="20"/>
                <w:szCs w:val="20"/>
                <w:color w:val="auto"/>
              </w:rPr>
            </w:pPr>
            <w:r>
              <w:rPr>
                <w:rFonts w:ascii="Arial" w:cs="Arial" w:eastAsia="Arial" w:hAnsi="Arial"/>
                <w:sz w:val="16"/>
                <w:szCs w:val="16"/>
                <w:color w:val="auto"/>
              </w:rPr>
              <w:t>Other noninterest income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1,168</w:t>
            </w:r>
          </w:p>
        </w:tc>
        <w:tc>
          <w:tcPr>
            <w:tcW w:w="16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2,059</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2,592</w:t>
            </w:r>
          </w:p>
        </w:tc>
        <w:tc>
          <w:tcPr>
            <w:tcW w:w="0" w:type="dxa"/>
            <w:vAlign w:val="bottom"/>
          </w:tcPr>
          <w:p>
            <w:pPr>
              <w:spacing w:after="0"/>
              <w:rPr>
                <w:sz w:val="1"/>
                <w:szCs w:val="1"/>
                <w:color w:val="auto"/>
              </w:rPr>
            </w:pPr>
          </w:p>
        </w:tc>
      </w:tr>
      <w:tr>
        <w:trPr>
          <w:trHeight w:val="219"/>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Bifurcated embedded derivatives and dealer offsets</w:t>
            </w:r>
          </w:p>
        </w:tc>
        <w:tc>
          <w:tcPr>
            <w:tcW w:w="2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noninterest income</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213"/>
        </w:trPr>
        <w:tc>
          <w:tcPr>
            <w:tcW w:w="4100" w:type="dxa"/>
            <w:vAlign w:val="bottom"/>
          </w:tcPr>
          <w:p>
            <w:pPr>
              <w:ind w:left="20"/>
              <w:spacing w:after="0"/>
              <w:rPr>
                <w:sz w:val="20"/>
                <w:szCs w:val="20"/>
                <w:color w:val="auto"/>
              </w:rPr>
            </w:pPr>
            <w:r>
              <w:rPr>
                <w:rFonts w:ascii="Arial" w:cs="Arial" w:eastAsia="Arial" w:hAnsi="Arial"/>
                <w:sz w:val="16"/>
                <w:szCs w:val="16"/>
                <w:color w:val="auto"/>
              </w:rPr>
              <w:t>Mortgage banking derivatives</w:t>
            </w:r>
          </w:p>
        </w:tc>
        <w:tc>
          <w:tcPr>
            <w:tcW w:w="2180" w:type="dxa"/>
            <w:vAlign w:val="bottom"/>
            <w:gridSpan w:val="2"/>
          </w:tcPr>
          <w:p>
            <w:pPr>
              <w:ind w:left="20"/>
              <w:spacing w:after="0"/>
              <w:rPr>
                <w:sz w:val="20"/>
                <w:szCs w:val="20"/>
                <w:color w:val="auto"/>
              </w:rPr>
            </w:pPr>
            <w:r>
              <w:rPr>
                <w:rFonts w:ascii="Arial" w:cs="Arial" w:eastAsia="Arial" w:hAnsi="Arial"/>
                <w:sz w:val="16"/>
                <w:szCs w:val="16"/>
                <w:color w:val="auto"/>
              </w:rPr>
              <w:t>Mortgage loan revenue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(3,494)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929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Risk participations</w:t>
            </w:r>
          </w:p>
        </w:tc>
        <w:tc>
          <w:tcPr>
            <w:tcW w:w="2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noninterest income</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9"/>
        </w:trPr>
        <w:tc>
          <w:tcPr>
            <w:tcW w:w="41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(3,276)</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2,083</w:t>
            </w:r>
          </w:p>
        </w:tc>
        <w:tc>
          <w:tcPr>
            <w:tcW w:w="16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2,711</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2,466</w:t>
            </w:r>
          </w:p>
        </w:tc>
        <w:tc>
          <w:tcPr>
            <w:tcW w:w="0" w:type="dxa"/>
            <w:vAlign w:val="bottom"/>
          </w:tcPr>
          <w:p>
            <w:pPr>
              <w:spacing w:after="0"/>
              <w:rPr>
                <w:sz w:val="1"/>
                <w:szCs w:val="1"/>
                <w:color w:val="auto"/>
              </w:rPr>
            </w:pPr>
          </w:p>
        </w:tc>
      </w:tr>
      <w:tr>
        <w:trPr>
          <w:trHeight w:val="24"/>
        </w:trPr>
        <w:tc>
          <w:tcPr>
            <w:tcW w:w="41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Credit-Risk-Related Contingent Features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United manages its credit exposure on derivatives transactions by entering into a bilateral credit support agreement with each non-customer counterparty. The credit support agreements require collateralization of exposures beyond specified minimum threshold amounts. The details of these agreements, including the minimum thresholds, vary by counterparty.</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United’s agreements with each of its derivative counterparties provide that if either party defaults on any of its indebtedness, then it could also be declared in default on its derivative obligations. The agreements with derivative counterparties also include provisions that if not met, could result in United being declared in default. United has agreements with certain of its derivative counterparties that provide that if United fails to maintain its status as a well-capitalized institution or is subject to a prompt corrective action directive, the counterparty could terminate the derivative positions and United would be required to settle its obligations under the agreements. Derivatives that are centrally cleared do not have credit-risk-related features that would require additional collateral if United’s credit rating were downgraded.</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Assets and Liabilities Measured at Fair Value</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Fair value measurements are determined based on the assumptions that market participants would use in pricing the asset or liability. As a basis for considering market participant assumptions in fair value measurements, United uses a fair value hierarchy that distinguishes between market participant assumptions based on market data obtained from sources independent of the reporting entity (observable inputs that are classified within Levels 1 and 2 of the hierarchy) and the reporting entity’s own assumptions about market participant assumptions (unobservable inputs classified within Level 3 of the hierarchy). United has processes in place to review the significant valuation inputs and to reassess how the instruments are classified in the valuation framework.</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Fair Value Hierarchy</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Level 1 </w:t>
      </w:r>
      <w:r>
        <w:rPr>
          <w:rFonts w:ascii="Arial" w:cs="Arial" w:eastAsia="Arial" w:hAnsi="Arial"/>
          <w:sz w:val="16"/>
          <w:szCs w:val="16"/>
          <w:color w:val="auto"/>
        </w:rPr>
        <w:t>Valuation is based upon quoted prices (unadjusted) in active markets for identical assets or liabilities that United has the ability to access.</w:t>
      </w:r>
    </w:p>
    <w:p>
      <w:pPr>
        <w:spacing w:after="0" w:line="14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Valuation is based upon quoted prices for similar assets and liabilities in active markets, as well as inputs that are observable for the asset</w:t>
      </w:r>
      <w:r>
        <w:rPr>
          <w:rFonts w:ascii="Arial" w:cs="Arial" w:eastAsia="Arial" w:hAnsi="Arial"/>
          <w:sz w:val="16"/>
          <w:szCs w:val="16"/>
          <w:i w:val="1"/>
          <w:iCs w:val="1"/>
          <w:color w:val="auto"/>
        </w:rPr>
        <w:t xml:space="preserve"> </w:t>
      </w:r>
      <w:r>
        <w:rPr>
          <w:rFonts w:ascii="Arial" w:cs="Arial" w:eastAsia="Arial" w:hAnsi="Arial"/>
          <w:sz w:val="16"/>
          <w:szCs w:val="16"/>
          <w:color w:val="auto"/>
        </w:rPr>
        <w:t>or liability (other than quoted prices), such as interest rates, foreign exchange rates, and yield curves that are observable at commonly quoted intervals.</w:t>
      </w:r>
    </w:p>
    <w:p>
      <w:pPr>
        <w:spacing w:after="0" w:line="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Valuation is generated from model-based techniques that use at least one significant assumption based on unobservable inputs for the asset</w:t>
      </w:r>
      <w:r>
        <w:rPr>
          <w:rFonts w:ascii="Arial" w:cs="Arial" w:eastAsia="Arial" w:hAnsi="Arial"/>
          <w:sz w:val="18"/>
          <w:szCs w:val="18"/>
          <w:i w:val="1"/>
          <w:iCs w:val="1"/>
          <w:color w:val="auto"/>
        </w:rPr>
        <w:t xml:space="preserve"> </w:t>
      </w:r>
      <w:r>
        <w:rPr>
          <w:rFonts w:ascii="Arial" w:cs="Arial" w:eastAsia="Arial" w:hAnsi="Arial"/>
          <w:sz w:val="18"/>
          <w:szCs w:val="18"/>
          <w:color w:val="auto"/>
        </w:rPr>
        <w:t>or liability, which are typically based on an entity’s own assumptions, as there is little, if any, related market activity.</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instances when the determination of the fair value measurement is based on inputs from different levels of the fair value hierarchy, the level in the fair value hierarchy within which the entire fair value measurement falls is based on the lowest level input that is significant to the fair value measurement in its entirety. The assessment of the significance of a particular input to the fair value measurement in its entirety requires judgment and considers factors specific to the asset or liability.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the valuation methodologies used for assets and liabilities recorded at fair value.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Securities</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AFS debt securities and equity securities with readily determinable fair values are recorded at fair value on a recurring basis. Fair value measurement is based upon quoted prices, if available. If quoted prices are not available, fair values are measured using independent pricing models or other model-based valuation techniques such as the present value of future cash flows, adjusted for the security’s credit rating, prepayment assumptions and other factors such as credit loss assumptions. Level 1 securities include those traded on an active exchange, such as the New York Stock Exchange, U.S. Treasury securities that are traded by dealers or brokers in active over-the-counter markets and money market funds. Level 2 securities include MBS issued by GSEs, municipal bonds, corporate debt securities, asset-backed securities and supranational entity securities and are valued based on observable inputs that include: quoted market prices for similar assets, quoted market prices that are not in an active market, or other inputs that are observable in the market and can be corroborated by observable market data for substantially the full term of the securities. Securities classified as Level 3 include those traded in less liquid markets and are valued based on estimates obtained from broker-dealers that are not directly observable or models which incorporate unobservable inputs.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Compensation Plan Assets and Liabilities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Included in other assets in the consolidated balance sheet are assets related to employee deferred compensation plans. The assets associated with these plans are invested in mutual funds and classified as Level 1. Deferred compensation liabilities, also classified as Level 1, are carried at the fair value of the obligation to the employee, which mirrors the fair value of the invested assets and is included in other liabilities in the consolidated balance sheet.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Mortgage Loans Held for Sale</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United has elected the fair value option for most of its newly originated mortgage loans held for sale in order to reduce certain timing differences and better match changes in fair values of the loans with changes in the value of derivative instruments used to economically hedge them. The fair value of mortgage loans held for sale is determined using quoted prices for a similar asset, adjusted for specific attributes of that loan, and are classified as Level 2.</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 Financial Instruments</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United uses derivatives to manage interest rate risk. The valuation of these instruments is typically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volatilities. The fair values of interest rate swaps are determined using the market standard methodology of netting the discounted future fixed cash receipts and the discounted expected variable cash payments. The variable cash payments are based on an expectation of future interest rates (forward curves) derived from observable market interest rate curves. United also uses best effort and mandatory delivery forward loan sale commitments to hedge risk in its mortgage lending business.</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United incorporates CVAs as necessary to appropriately reflect the respective counterparty’s nonperformance risk in the fair value measurements. In adjusting the fair value of its derivative contracts for the effect of nonperformance risk, United has considered the effect of netting and any applicable credit enhancements, such as collateral postings, thresholds and guarantees.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has determined that the majority of the inputs used to value its derivatives fall within Level 2 of the fair value hierarchy. However, the CVAs associated with these derivatives utilize Level 3 inputs, such as estimates of current credit spreads, to evaluate the likelihood of default by itself and its counterparties. Generally, management’s assessment of the significance of the CVAs has indicated that they are not a significant input to the overall valuation of the derivatives. In cases where management’s assessment indicates that the CVA is a significant input, the related derivative is disclosed as a Level 3 value.</w:t>
      </w:r>
    </w:p>
    <w:p>
      <w:pPr>
        <w:spacing w:after="0" w:line="21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Other derivatives classified as Level 3 include structured derivatives for which broker quotes, used as a key valuation input, were not observable. Risk participation agreements are classified as Level 3 instruments due to the incorporation of significant Level 3 inputs used to evaluate the probability of funding and the likelihood of customer default. Interest rate lock commitments, which relate to mortgage loan commitments, are categorized as Level 3 instruments as the fair value of these instruments is based on unobservable inputs for commitments that United does not expect to fund.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Servicing Rights for Residential and SBA/USDA Loans</w:t>
      </w:r>
    </w:p>
    <w:p>
      <w:pPr>
        <w:spacing w:after="0" w:line="23"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United recognizes servicing rights upon the sale of residential and SBA/USDA loans sold with servicing retained. Management has elected to carry these assets at fair value. Given the nature of these assets, the key valuation inputs are unobservable and management classifies these assets as Level 3.</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Assets and Liabilities Measured at Fair Value on a Recurring Basis</w:t>
      </w:r>
    </w:p>
    <w:p>
      <w:pPr>
        <w:spacing w:after="0" w:line="27"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 xml:space="preserve">The table below presents United’s assets and liabilities measured at fair value on a recurring basis as of the dates indicated, aggregated by the level in the fair value hierarchy within which those measurements fall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 2021</w:t>
            </w:r>
          </w:p>
        </w:tc>
        <w:tc>
          <w:tcPr>
            <w:tcW w:w="30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488"/>
              <w:spacing w:after="0"/>
              <w:rPr>
                <w:sz w:val="20"/>
                <w:szCs w:val="20"/>
                <w:color w:val="auto"/>
              </w:rPr>
            </w:pPr>
            <w:r>
              <w:rPr>
                <w:rFonts w:ascii="Arial" w:cs="Arial" w:eastAsia="Arial" w:hAnsi="Arial"/>
                <w:sz w:val="14"/>
                <w:szCs w:val="14"/>
                <w:b w:val="1"/>
                <w:bCs w:val="1"/>
                <w:color w:val="auto"/>
              </w:rPr>
              <w:t>Total</w:t>
            </w:r>
          </w:p>
        </w:tc>
      </w:tr>
      <w:tr>
        <w:trPr>
          <w:trHeight w:val="189"/>
        </w:trPr>
        <w:tc>
          <w:tcPr>
            <w:tcW w:w="4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r>
      <w:tr>
        <w:trPr>
          <w:trHeight w:val="186"/>
        </w:trPr>
        <w:tc>
          <w:tcPr>
            <w:tcW w:w="5080" w:type="dxa"/>
            <w:vAlign w:val="bottom"/>
            <w:gridSpan w:val="2"/>
          </w:tcPr>
          <w:p>
            <w:pPr>
              <w:ind w:left="140"/>
              <w:spacing w:after="0"/>
              <w:rPr>
                <w:sz w:val="20"/>
                <w:szCs w:val="20"/>
                <w:color w:val="auto"/>
              </w:rPr>
            </w:pPr>
            <w:r>
              <w:rPr>
                <w:rFonts w:ascii="Arial" w:cs="Arial" w:eastAsia="Arial" w:hAnsi="Arial"/>
                <w:sz w:val="14"/>
                <w:szCs w:val="14"/>
                <w:color w:val="auto"/>
              </w:rPr>
              <w:t>AFS debt securities:</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2"/>
        </w:trPr>
        <w:tc>
          <w:tcPr>
            <w:tcW w:w="50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U.S. Treasuries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142,080</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142,080</w:t>
            </w:r>
          </w:p>
        </w:tc>
      </w:tr>
      <w:tr>
        <w:trPr>
          <w:trHeight w:val="186"/>
        </w:trPr>
        <w:tc>
          <w:tcPr>
            <w:tcW w:w="5080" w:type="dxa"/>
            <w:vAlign w:val="bottom"/>
            <w:gridSpan w:val="2"/>
          </w:tcPr>
          <w:p>
            <w:pPr>
              <w:ind w:left="220"/>
              <w:spacing w:after="0"/>
              <w:rPr>
                <w:sz w:val="20"/>
                <w:szCs w:val="20"/>
                <w:color w:val="auto"/>
              </w:rPr>
            </w:pPr>
            <w:r>
              <w:rPr>
                <w:rFonts w:ascii="Arial" w:cs="Arial" w:eastAsia="Arial" w:hAnsi="Arial"/>
                <w:sz w:val="14"/>
                <w:szCs w:val="14"/>
                <w:color w:val="auto"/>
              </w:rPr>
              <w:t>U.S. Government agencies &amp; GSEs</w:t>
            </w:r>
          </w:p>
        </w:tc>
        <w:tc>
          <w:tcPr>
            <w:tcW w:w="3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152,624</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152,624</w:t>
            </w:r>
          </w:p>
        </w:tc>
      </w:tr>
      <w:tr>
        <w:trPr>
          <w:trHeight w:val="192"/>
        </w:trPr>
        <w:tc>
          <w:tcPr>
            <w:tcW w:w="50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State and political subdivisions</w:t>
            </w:r>
          </w:p>
        </w:tc>
        <w:tc>
          <w:tcPr>
            <w:tcW w:w="3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289,346</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289,346</w:t>
            </w:r>
          </w:p>
        </w:tc>
      </w:tr>
      <w:tr>
        <w:trPr>
          <w:trHeight w:val="186"/>
        </w:trPr>
        <w:tc>
          <w:tcPr>
            <w:tcW w:w="5080" w:type="dxa"/>
            <w:vAlign w:val="bottom"/>
            <w:gridSpan w:val="2"/>
          </w:tcPr>
          <w:p>
            <w:pPr>
              <w:ind w:left="220"/>
              <w:spacing w:after="0"/>
              <w:rPr>
                <w:sz w:val="20"/>
                <w:szCs w:val="20"/>
                <w:color w:val="auto"/>
              </w:rPr>
            </w:pPr>
            <w:r>
              <w:rPr>
                <w:rFonts w:ascii="Arial" w:cs="Arial" w:eastAsia="Arial" w:hAnsi="Arial"/>
                <w:sz w:val="14"/>
                <w:szCs w:val="14"/>
                <w:color w:val="auto"/>
              </w:rPr>
              <w:t>Residential MBS</w:t>
            </w:r>
          </w:p>
        </w:tc>
        <w:tc>
          <w:tcPr>
            <w:tcW w:w="3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1,977,045</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1,977,045</w:t>
            </w:r>
          </w:p>
        </w:tc>
      </w:tr>
      <w:tr>
        <w:trPr>
          <w:trHeight w:val="192"/>
        </w:trPr>
        <w:tc>
          <w:tcPr>
            <w:tcW w:w="50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Commercial MBS</w:t>
            </w:r>
          </w:p>
        </w:tc>
        <w:tc>
          <w:tcPr>
            <w:tcW w:w="3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708,208</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708,208</w:t>
            </w:r>
          </w:p>
        </w:tc>
      </w:tr>
      <w:tr>
        <w:trPr>
          <w:trHeight w:val="186"/>
        </w:trPr>
        <w:tc>
          <w:tcPr>
            <w:tcW w:w="5080" w:type="dxa"/>
            <w:vAlign w:val="bottom"/>
            <w:gridSpan w:val="2"/>
          </w:tcPr>
          <w:p>
            <w:pPr>
              <w:ind w:left="220"/>
              <w:spacing w:after="0"/>
              <w:rPr>
                <w:sz w:val="20"/>
                <w:szCs w:val="20"/>
                <w:color w:val="auto"/>
              </w:rPr>
            </w:pPr>
            <w:r>
              <w:rPr>
                <w:rFonts w:ascii="Arial" w:cs="Arial" w:eastAsia="Arial" w:hAnsi="Arial"/>
                <w:sz w:val="14"/>
                <w:szCs w:val="14"/>
                <w:color w:val="auto"/>
              </w:rPr>
              <w:t>Corporate bonds</w:t>
            </w:r>
          </w:p>
        </w:tc>
        <w:tc>
          <w:tcPr>
            <w:tcW w:w="3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150,104</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1,707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151,811</w:t>
            </w:r>
          </w:p>
        </w:tc>
      </w:tr>
      <w:tr>
        <w:trPr>
          <w:trHeight w:val="192"/>
        </w:trPr>
        <w:tc>
          <w:tcPr>
            <w:tcW w:w="50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Asset-backed securities</w:t>
            </w:r>
          </w:p>
        </w:tc>
        <w:tc>
          <w:tcPr>
            <w:tcW w:w="3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654,667</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654,667</w:t>
            </w:r>
          </w:p>
        </w:tc>
      </w:tr>
      <w:tr>
        <w:trPr>
          <w:trHeight w:val="186"/>
        </w:trPr>
        <w:tc>
          <w:tcPr>
            <w:tcW w:w="5080" w:type="dxa"/>
            <w:vAlign w:val="bottom"/>
            <w:gridSpan w:val="2"/>
          </w:tcPr>
          <w:p>
            <w:pPr>
              <w:ind w:left="140"/>
              <w:spacing w:after="0"/>
              <w:rPr>
                <w:sz w:val="20"/>
                <w:szCs w:val="20"/>
                <w:color w:val="auto"/>
              </w:rPr>
            </w:pPr>
            <w:r>
              <w:rPr>
                <w:rFonts w:ascii="Arial" w:cs="Arial" w:eastAsia="Arial" w:hAnsi="Arial"/>
                <w:sz w:val="14"/>
                <w:szCs w:val="14"/>
                <w:color w:val="auto"/>
              </w:rPr>
              <w:t>Equity securities with readily available fair values</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1,289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1,268</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2,557</w:t>
            </w:r>
          </w:p>
        </w:tc>
      </w:tr>
      <w:tr>
        <w:trPr>
          <w:trHeight w:val="192"/>
        </w:trPr>
        <w:tc>
          <w:tcPr>
            <w:tcW w:w="50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Mortgage loans held for sale</w:t>
            </w:r>
          </w:p>
        </w:tc>
        <w:tc>
          <w:tcPr>
            <w:tcW w:w="3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98,194</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98,194</w:t>
            </w:r>
          </w:p>
        </w:tc>
      </w:tr>
      <w:tr>
        <w:trPr>
          <w:trHeight w:val="186"/>
        </w:trPr>
        <w:tc>
          <w:tcPr>
            <w:tcW w:w="5080" w:type="dxa"/>
            <w:vAlign w:val="bottom"/>
            <w:gridSpan w:val="2"/>
          </w:tcPr>
          <w:p>
            <w:pPr>
              <w:ind w:left="140"/>
              <w:spacing w:after="0"/>
              <w:rPr>
                <w:sz w:val="20"/>
                <w:szCs w:val="20"/>
                <w:color w:val="auto"/>
              </w:rPr>
            </w:pPr>
            <w:r>
              <w:rPr>
                <w:rFonts w:ascii="Arial" w:cs="Arial" w:eastAsia="Arial" w:hAnsi="Arial"/>
                <w:sz w:val="14"/>
                <w:szCs w:val="14"/>
                <w:color w:val="auto"/>
              </w:rPr>
              <w:t>Deferred compensation plan assets</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11,008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11,008</w:t>
            </w:r>
          </w:p>
        </w:tc>
      </w:tr>
      <w:tr>
        <w:trPr>
          <w:trHeight w:val="192"/>
        </w:trPr>
        <w:tc>
          <w:tcPr>
            <w:tcW w:w="50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Servicing rights for SBA/USDA loans</w:t>
            </w:r>
          </w:p>
        </w:tc>
        <w:tc>
          <w:tcPr>
            <w:tcW w:w="3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6,115</w:t>
            </w:r>
          </w:p>
        </w:tc>
      </w:tr>
      <w:tr>
        <w:trPr>
          <w:trHeight w:val="186"/>
        </w:trPr>
        <w:tc>
          <w:tcPr>
            <w:tcW w:w="5080" w:type="dxa"/>
            <w:vAlign w:val="bottom"/>
            <w:gridSpan w:val="2"/>
          </w:tcPr>
          <w:p>
            <w:pPr>
              <w:ind w:left="140"/>
              <w:spacing w:after="0"/>
              <w:rPr>
                <w:sz w:val="20"/>
                <w:szCs w:val="20"/>
                <w:color w:val="auto"/>
              </w:rPr>
            </w:pPr>
            <w:r>
              <w:rPr>
                <w:rFonts w:ascii="Arial" w:cs="Arial" w:eastAsia="Arial" w:hAnsi="Arial"/>
                <w:sz w:val="14"/>
                <w:szCs w:val="14"/>
                <w:color w:val="auto"/>
              </w:rPr>
              <w:t>Residential mortgage servicing rights</w:t>
            </w:r>
          </w:p>
        </w:tc>
        <w:tc>
          <w:tcPr>
            <w:tcW w:w="3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3"/>
              </w:rPr>
              <w:t>21,568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21,568</w:t>
            </w:r>
          </w:p>
        </w:tc>
      </w:tr>
      <w:tr>
        <w:trPr>
          <w:trHeight w:val="189"/>
        </w:trPr>
        <w:tc>
          <w:tcPr>
            <w:tcW w:w="50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Derivative financial instruments</w:t>
            </w:r>
          </w:p>
        </w:tc>
        <w:tc>
          <w:tcPr>
            <w:tcW w:w="3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51,600</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6,889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58,489</w:t>
            </w:r>
          </w:p>
        </w:tc>
      </w:tr>
      <w:tr>
        <w:trPr>
          <w:trHeight w:val="186"/>
        </w:trPr>
        <w:tc>
          <w:tcPr>
            <w:tcW w:w="5080" w:type="dxa"/>
            <w:vAlign w:val="bottom"/>
            <w:gridSpan w:val="2"/>
          </w:tcPr>
          <w:p>
            <w:pPr>
              <w:ind w:left="220"/>
              <w:spacing w:after="0"/>
              <w:rPr>
                <w:sz w:val="20"/>
                <w:szCs w:val="20"/>
                <w:color w:val="auto"/>
              </w:rPr>
            </w:pPr>
            <w:r>
              <w:rPr>
                <w:rFonts w:ascii="Arial" w:cs="Arial" w:eastAsia="Arial" w:hAnsi="Arial"/>
                <w:sz w:val="14"/>
                <w:szCs w:val="14"/>
                <w:color w:val="auto"/>
              </w:rPr>
              <w:t>Total assets</w:t>
            </w: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154,377</w:t>
            </w:r>
          </w:p>
        </w:tc>
        <w:tc>
          <w:tcPr>
            <w:tcW w:w="12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4,083,056</w:t>
            </w:r>
          </w:p>
        </w:tc>
        <w:tc>
          <w:tcPr>
            <w:tcW w:w="100" w:type="dxa"/>
            <w:vAlign w:val="bottom"/>
          </w:tcPr>
          <w:p>
            <w:pPr>
              <w:spacing w:after="0"/>
              <w:rPr>
                <w:sz w:val="16"/>
                <w:szCs w:val="16"/>
                <w:color w:val="auto"/>
              </w:rPr>
            </w:pPr>
          </w:p>
        </w:tc>
        <w:tc>
          <w:tcPr>
            <w:tcW w:w="980" w:type="dxa"/>
            <w:vAlign w:val="bottom"/>
            <w:tcBorders>
              <w:top w:val="single" w:sz="8" w:color="auto"/>
              <w:bottom w:val="single" w:sz="8" w:color="auto"/>
            </w:tcBorders>
          </w:tcPr>
          <w:p>
            <w:pPr>
              <w:jc w:val="right"/>
              <w:ind w:right="808"/>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3"/>
              </w:rPr>
              <w:t>36,279</w:t>
            </w:r>
          </w:p>
        </w:tc>
        <w:tc>
          <w:tcPr>
            <w:tcW w:w="10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4,273,712</w:t>
            </w: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3"/>
        </w:trPr>
        <w:tc>
          <w:tcPr>
            <w:tcW w:w="4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188"/>
        </w:trPr>
        <w:tc>
          <w:tcPr>
            <w:tcW w:w="5080" w:type="dxa"/>
            <w:vAlign w:val="bottom"/>
            <w:gridSpan w:val="2"/>
          </w:tcPr>
          <w:p>
            <w:pPr>
              <w:ind w:left="20"/>
              <w:spacing w:after="0"/>
              <w:rPr>
                <w:sz w:val="20"/>
                <w:szCs w:val="20"/>
                <w:color w:val="auto"/>
              </w:rPr>
            </w:pPr>
            <w:r>
              <w:rPr>
                <w:rFonts w:ascii="Arial" w:cs="Arial" w:eastAsia="Arial" w:hAnsi="Arial"/>
                <w:sz w:val="14"/>
                <w:szCs w:val="14"/>
                <w:b w:val="1"/>
                <w:bCs w:val="1"/>
                <w:color w:val="auto"/>
              </w:rPr>
              <w:t>Liabilities:</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0"/>
        </w:trPr>
        <w:tc>
          <w:tcPr>
            <w:tcW w:w="50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Deferred compensation plan liability</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11,031</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11,031</w:t>
            </w:r>
          </w:p>
        </w:tc>
      </w:tr>
      <w:tr>
        <w:trPr>
          <w:trHeight w:val="186"/>
        </w:trPr>
        <w:tc>
          <w:tcPr>
            <w:tcW w:w="5080" w:type="dxa"/>
            <w:vAlign w:val="bottom"/>
            <w:gridSpan w:val="2"/>
          </w:tcPr>
          <w:p>
            <w:pPr>
              <w:ind w:left="140"/>
              <w:spacing w:after="0"/>
              <w:rPr>
                <w:sz w:val="20"/>
                <w:szCs w:val="20"/>
                <w:color w:val="auto"/>
              </w:rPr>
            </w:pPr>
            <w:r>
              <w:rPr>
                <w:rFonts w:ascii="Arial" w:cs="Arial" w:eastAsia="Arial" w:hAnsi="Arial"/>
                <w:sz w:val="14"/>
                <w:szCs w:val="14"/>
                <w:color w:val="auto"/>
              </w:rPr>
              <w:t>Derivative financial instruments</w:t>
            </w:r>
          </w:p>
        </w:tc>
        <w:tc>
          <w:tcPr>
            <w:tcW w:w="3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23,145</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3,944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27,089</w:t>
            </w:r>
          </w:p>
        </w:tc>
      </w:tr>
      <w:tr>
        <w:trPr>
          <w:trHeight w:val="211"/>
        </w:trPr>
        <w:tc>
          <w:tcPr>
            <w:tcW w:w="508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Total liabilities</w:t>
            </w: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11,031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23,145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3,944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38,120</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65"/>
        </w:trPr>
        <w:tc>
          <w:tcPr>
            <w:tcW w:w="5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2020</w:t>
            </w:r>
          </w:p>
        </w:tc>
        <w:tc>
          <w:tcPr>
            <w:tcW w:w="300" w:type="dxa"/>
            <w:vAlign w:val="bottom"/>
          </w:tcPr>
          <w:p>
            <w:pPr>
              <w:spacing w:after="0"/>
              <w:rPr>
                <w:sz w:val="23"/>
                <w:szCs w:val="23"/>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23"/>
                <w:szCs w:val="23"/>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488"/>
              <w:spacing w:after="0"/>
              <w:rPr>
                <w:sz w:val="20"/>
                <w:szCs w:val="20"/>
                <w:color w:val="auto"/>
              </w:rPr>
            </w:pPr>
            <w:r>
              <w:rPr>
                <w:rFonts w:ascii="Arial" w:cs="Arial" w:eastAsia="Arial" w:hAnsi="Arial"/>
                <w:sz w:val="14"/>
                <w:szCs w:val="14"/>
                <w:b w:val="1"/>
                <w:bCs w:val="1"/>
                <w:color w:val="auto"/>
              </w:rPr>
              <w:t>Total</w:t>
            </w:r>
          </w:p>
        </w:tc>
      </w:tr>
      <w:tr>
        <w:trPr>
          <w:trHeight w:val="188"/>
        </w:trPr>
        <w:tc>
          <w:tcPr>
            <w:tcW w:w="4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r>
      <w:tr>
        <w:trPr>
          <w:trHeight w:val="186"/>
        </w:trPr>
        <w:tc>
          <w:tcPr>
            <w:tcW w:w="5080" w:type="dxa"/>
            <w:vAlign w:val="bottom"/>
            <w:gridSpan w:val="2"/>
          </w:tcPr>
          <w:p>
            <w:pPr>
              <w:ind w:left="140"/>
              <w:spacing w:after="0"/>
              <w:rPr>
                <w:sz w:val="20"/>
                <w:szCs w:val="20"/>
                <w:color w:val="auto"/>
              </w:rPr>
            </w:pPr>
            <w:r>
              <w:rPr>
                <w:rFonts w:ascii="Arial" w:cs="Arial" w:eastAsia="Arial" w:hAnsi="Arial"/>
                <w:sz w:val="14"/>
                <w:szCs w:val="14"/>
                <w:color w:val="auto"/>
              </w:rPr>
              <w:t>AFS debt securities:</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2"/>
        </w:trPr>
        <w:tc>
          <w:tcPr>
            <w:tcW w:w="50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U.S. Treasuries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128,072</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128,072</w:t>
            </w:r>
          </w:p>
        </w:tc>
      </w:tr>
      <w:tr>
        <w:trPr>
          <w:trHeight w:val="186"/>
        </w:trPr>
        <w:tc>
          <w:tcPr>
            <w:tcW w:w="5080" w:type="dxa"/>
            <w:vAlign w:val="bottom"/>
            <w:gridSpan w:val="2"/>
          </w:tcPr>
          <w:p>
            <w:pPr>
              <w:ind w:left="220"/>
              <w:spacing w:after="0"/>
              <w:rPr>
                <w:sz w:val="20"/>
                <w:szCs w:val="20"/>
                <w:color w:val="auto"/>
              </w:rPr>
            </w:pPr>
            <w:r>
              <w:rPr>
                <w:rFonts w:ascii="Arial" w:cs="Arial" w:eastAsia="Arial" w:hAnsi="Arial"/>
                <w:sz w:val="14"/>
                <w:szCs w:val="14"/>
                <w:color w:val="auto"/>
              </w:rPr>
              <w:t>U.S. Government agencies &amp; GSEs</w:t>
            </w:r>
          </w:p>
        </w:tc>
        <w:tc>
          <w:tcPr>
            <w:tcW w:w="3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152,972</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152,972</w:t>
            </w:r>
          </w:p>
        </w:tc>
      </w:tr>
      <w:tr>
        <w:trPr>
          <w:trHeight w:val="192"/>
        </w:trPr>
        <w:tc>
          <w:tcPr>
            <w:tcW w:w="50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State and political subdivisions</w:t>
            </w:r>
          </w:p>
        </w:tc>
        <w:tc>
          <w:tcPr>
            <w:tcW w:w="3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274,472</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274,472</w:t>
            </w:r>
          </w:p>
        </w:tc>
      </w:tr>
      <w:tr>
        <w:trPr>
          <w:trHeight w:val="186"/>
        </w:trPr>
        <w:tc>
          <w:tcPr>
            <w:tcW w:w="5080" w:type="dxa"/>
            <w:vAlign w:val="bottom"/>
            <w:gridSpan w:val="2"/>
          </w:tcPr>
          <w:p>
            <w:pPr>
              <w:ind w:left="220"/>
              <w:spacing w:after="0"/>
              <w:rPr>
                <w:sz w:val="20"/>
                <w:szCs w:val="20"/>
                <w:color w:val="auto"/>
              </w:rPr>
            </w:pPr>
            <w:r>
              <w:rPr>
                <w:rFonts w:ascii="Arial" w:cs="Arial" w:eastAsia="Arial" w:hAnsi="Arial"/>
                <w:sz w:val="14"/>
                <w:szCs w:val="14"/>
                <w:color w:val="auto"/>
              </w:rPr>
              <w:t>Residential MBS</w:t>
            </w:r>
          </w:p>
        </w:tc>
        <w:tc>
          <w:tcPr>
            <w:tcW w:w="3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1,485,585</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1,485,585</w:t>
            </w:r>
          </w:p>
        </w:tc>
      </w:tr>
      <w:tr>
        <w:trPr>
          <w:trHeight w:val="192"/>
        </w:trPr>
        <w:tc>
          <w:tcPr>
            <w:tcW w:w="50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Commercial MBS</w:t>
            </w:r>
          </w:p>
        </w:tc>
        <w:tc>
          <w:tcPr>
            <w:tcW w:w="3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549,131</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549,131</w:t>
            </w:r>
          </w:p>
        </w:tc>
      </w:tr>
      <w:tr>
        <w:trPr>
          <w:trHeight w:val="186"/>
        </w:trPr>
        <w:tc>
          <w:tcPr>
            <w:tcW w:w="5080" w:type="dxa"/>
            <w:vAlign w:val="bottom"/>
            <w:gridSpan w:val="2"/>
          </w:tcPr>
          <w:p>
            <w:pPr>
              <w:ind w:left="220"/>
              <w:spacing w:after="0"/>
              <w:rPr>
                <w:sz w:val="20"/>
                <w:szCs w:val="20"/>
                <w:color w:val="auto"/>
              </w:rPr>
            </w:pPr>
            <w:r>
              <w:rPr>
                <w:rFonts w:ascii="Arial" w:cs="Arial" w:eastAsia="Arial" w:hAnsi="Arial"/>
                <w:sz w:val="14"/>
                <w:szCs w:val="14"/>
                <w:color w:val="auto"/>
              </w:rPr>
              <w:t>Corporate bonds</w:t>
            </w:r>
          </w:p>
        </w:tc>
        <w:tc>
          <w:tcPr>
            <w:tcW w:w="3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70,017</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1,750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71,767</w:t>
            </w:r>
          </w:p>
        </w:tc>
      </w:tr>
      <w:tr>
        <w:trPr>
          <w:trHeight w:val="192"/>
        </w:trPr>
        <w:tc>
          <w:tcPr>
            <w:tcW w:w="50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Asset-backed securities</w:t>
            </w:r>
          </w:p>
        </w:tc>
        <w:tc>
          <w:tcPr>
            <w:tcW w:w="3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562,722</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562,722</w:t>
            </w:r>
          </w:p>
        </w:tc>
      </w:tr>
      <w:tr>
        <w:trPr>
          <w:trHeight w:val="186"/>
        </w:trPr>
        <w:tc>
          <w:tcPr>
            <w:tcW w:w="5080" w:type="dxa"/>
            <w:vAlign w:val="bottom"/>
            <w:gridSpan w:val="2"/>
          </w:tcPr>
          <w:p>
            <w:pPr>
              <w:ind w:left="140"/>
              <w:spacing w:after="0"/>
              <w:rPr>
                <w:sz w:val="20"/>
                <w:szCs w:val="20"/>
                <w:color w:val="auto"/>
              </w:rPr>
            </w:pPr>
            <w:r>
              <w:rPr>
                <w:rFonts w:ascii="Arial" w:cs="Arial" w:eastAsia="Arial" w:hAnsi="Arial"/>
                <w:sz w:val="14"/>
                <w:szCs w:val="14"/>
                <w:color w:val="auto"/>
              </w:rPr>
              <w:t>Equity securities with readily available fair values</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774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913</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1,687</w:t>
            </w:r>
          </w:p>
        </w:tc>
      </w:tr>
      <w:tr>
        <w:trPr>
          <w:trHeight w:val="192"/>
        </w:trPr>
        <w:tc>
          <w:tcPr>
            <w:tcW w:w="50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Mortgage loans held for sale</w:t>
            </w:r>
          </w:p>
        </w:tc>
        <w:tc>
          <w:tcPr>
            <w:tcW w:w="3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105,433</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105,433</w:t>
            </w:r>
          </w:p>
        </w:tc>
      </w:tr>
      <w:tr>
        <w:trPr>
          <w:trHeight w:val="186"/>
        </w:trPr>
        <w:tc>
          <w:tcPr>
            <w:tcW w:w="5080" w:type="dxa"/>
            <w:vAlign w:val="bottom"/>
            <w:gridSpan w:val="2"/>
          </w:tcPr>
          <w:p>
            <w:pPr>
              <w:ind w:left="140"/>
              <w:spacing w:after="0"/>
              <w:rPr>
                <w:sz w:val="20"/>
                <w:szCs w:val="20"/>
                <w:color w:val="auto"/>
              </w:rPr>
            </w:pPr>
            <w:r>
              <w:rPr>
                <w:rFonts w:ascii="Arial" w:cs="Arial" w:eastAsia="Arial" w:hAnsi="Arial"/>
                <w:sz w:val="14"/>
                <w:szCs w:val="14"/>
                <w:color w:val="auto"/>
              </w:rPr>
              <w:t>Deferred compensation plan assets</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9,584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9,584</w:t>
            </w:r>
          </w:p>
        </w:tc>
      </w:tr>
      <w:tr>
        <w:trPr>
          <w:trHeight w:val="192"/>
        </w:trPr>
        <w:tc>
          <w:tcPr>
            <w:tcW w:w="50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Servicing rights for SBA/USDA loans</w:t>
            </w:r>
          </w:p>
        </w:tc>
        <w:tc>
          <w:tcPr>
            <w:tcW w:w="3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6,462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6,462</w:t>
            </w:r>
          </w:p>
        </w:tc>
      </w:tr>
      <w:tr>
        <w:trPr>
          <w:trHeight w:val="186"/>
        </w:trPr>
        <w:tc>
          <w:tcPr>
            <w:tcW w:w="5080" w:type="dxa"/>
            <w:vAlign w:val="bottom"/>
            <w:gridSpan w:val="2"/>
          </w:tcPr>
          <w:p>
            <w:pPr>
              <w:ind w:left="140"/>
              <w:spacing w:after="0"/>
              <w:rPr>
                <w:sz w:val="20"/>
                <w:szCs w:val="20"/>
                <w:color w:val="auto"/>
              </w:rPr>
            </w:pPr>
            <w:r>
              <w:rPr>
                <w:rFonts w:ascii="Arial" w:cs="Arial" w:eastAsia="Arial" w:hAnsi="Arial"/>
                <w:sz w:val="14"/>
                <w:szCs w:val="14"/>
                <w:color w:val="auto"/>
              </w:rPr>
              <w:t>Residential mortgage servicing rights</w:t>
            </w:r>
          </w:p>
        </w:tc>
        <w:tc>
          <w:tcPr>
            <w:tcW w:w="3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3"/>
              </w:rPr>
              <w:t>16,216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16,216</w:t>
            </w:r>
          </w:p>
        </w:tc>
      </w:tr>
      <w:tr>
        <w:trPr>
          <w:trHeight w:val="189"/>
        </w:trPr>
        <w:tc>
          <w:tcPr>
            <w:tcW w:w="50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Derivative financial instruments</w:t>
            </w:r>
          </w:p>
        </w:tc>
        <w:tc>
          <w:tcPr>
            <w:tcW w:w="3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75,887</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10,779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86,666</w:t>
            </w:r>
          </w:p>
        </w:tc>
      </w:tr>
      <w:tr>
        <w:trPr>
          <w:trHeight w:val="186"/>
        </w:trPr>
        <w:tc>
          <w:tcPr>
            <w:tcW w:w="5080" w:type="dxa"/>
            <w:vAlign w:val="bottom"/>
            <w:gridSpan w:val="2"/>
          </w:tcPr>
          <w:p>
            <w:pPr>
              <w:ind w:left="220"/>
              <w:spacing w:after="0"/>
              <w:rPr>
                <w:sz w:val="20"/>
                <w:szCs w:val="20"/>
                <w:color w:val="auto"/>
              </w:rPr>
            </w:pPr>
            <w:r>
              <w:rPr>
                <w:rFonts w:ascii="Arial" w:cs="Arial" w:eastAsia="Arial" w:hAnsi="Arial"/>
                <w:sz w:val="14"/>
                <w:szCs w:val="14"/>
                <w:color w:val="auto"/>
              </w:rPr>
              <w:t>Total assets</w:t>
            </w: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138,430</w:t>
            </w:r>
          </w:p>
        </w:tc>
        <w:tc>
          <w:tcPr>
            <w:tcW w:w="12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3,277,132</w:t>
            </w:r>
          </w:p>
        </w:tc>
        <w:tc>
          <w:tcPr>
            <w:tcW w:w="100" w:type="dxa"/>
            <w:vAlign w:val="bottom"/>
          </w:tcPr>
          <w:p>
            <w:pPr>
              <w:spacing w:after="0"/>
              <w:rPr>
                <w:sz w:val="16"/>
                <w:szCs w:val="16"/>
                <w:color w:val="auto"/>
              </w:rPr>
            </w:pPr>
          </w:p>
        </w:tc>
        <w:tc>
          <w:tcPr>
            <w:tcW w:w="980" w:type="dxa"/>
            <w:vAlign w:val="bottom"/>
            <w:tcBorders>
              <w:top w:val="single" w:sz="8" w:color="auto"/>
              <w:bottom w:val="single" w:sz="8" w:color="auto"/>
            </w:tcBorders>
          </w:tcPr>
          <w:p>
            <w:pPr>
              <w:jc w:val="right"/>
              <w:ind w:right="808"/>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3"/>
              </w:rPr>
              <w:t>35,207</w:t>
            </w:r>
          </w:p>
        </w:tc>
        <w:tc>
          <w:tcPr>
            <w:tcW w:w="10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3,450,769</w:t>
            </w: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4"/>
        </w:trPr>
        <w:tc>
          <w:tcPr>
            <w:tcW w:w="4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188"/>
        </w:trPr>
        <w:tc>
          <w:tcPr>
            <w:tcW w:w="5080" w:type="dxa"/>
            <w:vAlign w:val="bottom"/>
            <w:gridSpan w:val="2"/>
          </w:tcPr>
          <w:p>
            <w:pPr>
              <w:ind w:left="20"/>
              <w:spacing w:after="0"/>
              <w:rPr>
                <w:sz w:val="20"/>
                <w:szCs w:val="20"/>
                <w:color w:val="auto"/>
              </w:rPr>
            </w:pPr>
            <w:r>
              <w:rPr>
                <w:rFonts w:ascii="Arial" w:cs="Arial" w:eastAsia="Arial" w:hAnsi="Arial"/>
                <w:sz w:val="14"/>
                <w:szCs w:val="14"/>
                <w:b w:val="1"/>
                <w:bCs w:val="1"/>
                <w:color w:val="auto"/>
              </w:rPr>
              <w:t>Liabilities:</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0"/>
        </w:trPr>
        <w:tc>
          <w:tcPr>
            <w:tcW w:w="50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Deferred compensation plan liability</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9,590</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9,590</w:t>
            </w:r>
          </w:p>
        </w:tc>
      </w:tr>
      <w:tr>
        <w:trPr>
          <w:trHeight w:val="186"/>
        </w:trPr>
        <w:tc>
          <w:tcPr>
            <w:tcW w:w="5080" w:type="dxa"/>
            <w:vAlign w:val="bottom"/>
            <w:gridSpan w:val="2"/>
          </w:tcPr>
          <w:p>
            <w:pPr>
              <w:ind w:left="140"/>
              <w:spacing w:after="0"/>
              <w:rPr>
                <w:sz w:val="20"/>
                <w:szCs w:val="20"/>
                <w:color w:val="auto"/>
              </w:rPr>
            </w:pPr>
            <w:r>
              <w:rPr>
                <w:rFonts w:ascii="Arial" w:cs="Arial" w:eastAsia="Arial" w:hAnsi="Arial"/>
                <w:sz w:val="14"/>
                <w:szCs w:val="14"/>
                <w:color w:val="auto"/>
              </w:rPr>
              <w:t>Derivative financial instruments</w:t>
            </w:r>
          </w:p>
        </w:tc>
        <w:tc>
          <w:tcPr>
            <w:tcW w:w="3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26,595</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2,408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29,003</w:t>
            </w:r>
          </w:p>
        </w:tc>
      </w:tr>
      <w:tr>
        <w:trPr>
          <w:trHeight w:val="211"/>
        </w:trPr>
        <w:tc>
          <w:tcPr>
            <w:tcW w:w="508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Total liabilities</w:t>
            </w: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9,590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26,595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38,593</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following table shows a reconciliation of the beginning and ending balances for the periods indicated for assets measured at fair value on a recurring basis using significant unobservable inputs that are classified as Level 3 values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5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b w:val="1"/>
                <w:bCs w:val="1"/>
                <w:color w:val="auto"/>
              </w:rPr>
              <w:t>2021</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7"/>
              </w:rPr>
              <w:t>SBA/USDA</w:t>
            </w:r>
          </w:p>
        </w:tc>
        <w:tc>
          <w:tcPr>
            <w:tcW w:w="100" w:type="dxa"/>
            <w:vAlign w:val="bottom"/>
          </w:tcPr>
          <w:p>
            <w:pPr>
              <w:spacing w:after="0"/>
              <w:rPr>
                <w:sz w:val="11"/>
                <w:szCs w:val="11"/>
                <w:color w:val="auto"/>
              </w:rPr>
            </w:pPr>
          </w:p>
        </w:tc>
        <w:tc>
          <w:tcPr>
            <w:tcW w:w="880" w:type="dxa"/>
            <w:vAlign w:val="bottom"/>
            <w:gridSpan w:val="2"/>
          </w:tcPr>
          <w:p>
            <w:pPr>
              <w:jc w:val="center"/>
              <w:ind w:right="200"/>
              <w:spacing w:after="0" w:line="136" w:lineRule="exact"/>
              <w:rPr>
                <w:sz w:val="20"/>
                <w:szCs w:val="20"/>
                <w:color w:val="auto"/>
              </w:rPr>
            </w:pPr>
            <w:r>
              <w:rPr>
                <w:rFonts w:ascii="Arial" w:cs="Arial" w:eastAsia="Arial" w:hAnsi="Arial"/>
                <w:sz w:val="13"/>
                <w:szCs w:val="13"/>
                <w:b w:val="1"/>
                <w:bCs w:val="1"/>
                <w:color w:val="auto"/>
                <w:w w:val="92"/>
              </w:rPr>
              <w:t>Residential</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rPr>
              <w:t>SBA/USDA</w:t>
            </w:r>
          </w:p>
        </w:tc>
        <w:tc>
          <w:tcPr>
            <w:tcW w:w="120" w:type="dxa"/>
            <w:vAlign w:val="bottom"/>
          </w:tcPr>
          <w:p>
            <w:pPr>
              <w:spacing w:after="0"/>
              <w:rPr>
                <w:sz w:val="11"/>
                <w:szCs w:val="11"/>
                <w:color w:val="auto"/>
              </w:rPr>
            </w:pPr>
          </w:p>
        </w:tc>
        <w:tc>
          <w:tcPr>
            <w:tcW w:w="880" w:type="dxa"/>
            <w:vAlign w:val="bottom"/>
            <w:gridSpan w:val="2"/>
          </w:tcPr>
          <w:p>
            <w:pPr>
              <w:jc w:val="center"/>
              <w:ind w:right="220"/>
              <w:spacing w:after="0" w:line="136" w:lineRule="exact"/>
              <w:rPr>
                <w:sz w:val="20"/>
                <w:szCs w:val="20"/>
                <w:color w:val="auto"/>
              </w:rPr>
            </w:pPr>
            <w:r>
              <w:rPr>
                <w:rFonts w:ascii="Arial" w:cs="Arial" w:eastAsia="Arial" w:hAnsi="Arial"/>
                <w:sz w:val="13"/>
                <w:szCs w:val="13"/>
                <w:b w:val="1"/>
                <w:bCs w:val="1"/>
                <w:color w:val="auto"/>
                <w:w w:val="95"/>
              </w:rPr>
              <w:t>Residential</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Derivative</w:t>
            </w:r>
          </w:p>
        </w:tc>
        <w:tc>
          <w:tcPr>
            <w:tcW w:w="100" w:type="dxa"/>
            <w:vAlign w:val="bottom"/>
          </w:tcPr>
          <w:p>
            <w:pPr>
              <w:spacing w:after="0"/>
              <w:rPr>
                <w:sz w:val="11"/>
                <w:szCs w:val="11"/>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Derivative</w:t>
            </w:r>
          </w:p>
        </w:tc>
        <w:tc>
          <w:tcPr>
            <w:tcW w:w="8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1"/>
              </w:rPr>
              <w:t>mortgage</w:t>
            </w:r>
          </w:p>
        </w:tc>
        <w:tc>
          <w:tcPr>
            <w:tcW w:w="120" w:type="dxa"/>
            <w:vAlign w:val="bottom"/>
          </w:tcPr>
          <w:p>
            <w:pPr>
              <w:spacing w:after="0"/>
              <w:rPr>
                <w:sz w:val="11"/>
                <w:szCs w:val="11"/>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Corporate</w:t>
            </w:r>
          </w:p>
        </w:tc>
        <w:tc>
          <w:tcPr>
            <w:tcW w:w="120" w:type="dxa"/>
            <w:vAlign w:val="bottom"/>
          </w:tcPr>
          <w:p>
            <w:pPr>
              <w:spacing w:after="0"/>
              <w:rPr>
                <w:sz w:val="11"/>
                <w:szCs w:val="11"/>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Derivative</w:t>
            </w:r>
          </w:p>
        </w:tc>
        <w:tc>
          <w:tcPr>
            <w:tcW w:w="120" w:type="dxa"/>
            <w:vAlign w:val="bottom"/>
          </w:tcPr>
          <w:p>
            <w:pPr>
              <w:spacing w:after="0"/>
              <w:rPr>
                <w:sz w:val="11"/>
                <w:szCs w:val="11"/>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Derivative</w:t>
            </w:r>
          </w:p>
        </w:tc>
        <w:tc>
          <w:tcPr>
            <w:tcW w:w="1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1"/>
              </w:rPr>
              <w:t>mortgage</w:t>
            </w:r>
          </w:p>
        </w:tc>
        <w:tc>
          <w:tcPr>
            <w:tcW w:w="100" w:type="dxa"/>
            <w:vAlign w:val="bottom"/>
          </w:tcPr>
          <w:p>
            <w:pPr>
              <w:spacing w:after="0"/>
              <w:rPr>
                <w:sz w:val="11"/>
                <w:szCs w:val="11"/>
                <w:color w:val="auto"/>
              </w:rPr>
            </w:pPr>
          </w:p>
        </w:tc>
        <w:tc>
          <w:tcPr>
            <w:tcW w:w="780" w:type="dxa"/>
            <w:vAlign w:val="bottom"/>
            <w:vMerge w:val="restart"/>
          </w:tcPr>
          <w:p>
            <w:pPr>
              <w:jc w:val="right"/>
              <w:ind w:right="73"/>
              <w:spacing w:after="0"/>
              <w:rPr>
                <w:sz w:val="20"/>
                <w:szCs w:val="20"/>
                <w:color w:val="auto"/>
              </w:rPr>
            </w:pPr>
            <w:r>
              <w:rPr>
                <w:rFonts w:ascii="Arial" w:cs="Arial" w:eastAsia="Arial" w:hAnsi="Arial"/>
                <w:sz w:val="13"/>
                <w:szCs w:val="13"/>
                <w:b w:val="1"/>
                <w:bCs w:val="1"/>
                <w:color w:val="auto"/>
                <w:w w:val="99"/>
              </w:rPr>
              <w:t>Corporate</w:t>
            </w:r>
          </w:p>
        </w:tc>
        <w:tc>
          <w:tcPr>
            <w:tcW w:w="0" w:type="dxa"/>
            <w:vAlign w:val="bottom"/>
          </w:tcPr>
          <w:p>
            <w:pPr>
              <w:spacing w:after="0"/>
              <w:rPr>
                <w:sz w:val="1"/>
                <w:szCs w:val="1"/>
                <w:color w:val="auto"/>
              </w:rPr>
            </w:pPr>
          </w:p>
        </w:tc>
      </w:tr>
      <w:tr>
        <w:trPr>
          <w:trHeight w:val="135"/>
        </w:trPr>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98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loan servicing</w:t>
            </w:r>
          </w:p>
        </w:tc>
        <w:tc>
          <w:tcPr>
            <w:tcW w:w="100" w:type="dxa"/>
            <w:vAlign w:val="bottom"/>
          </w:tcPr>
          <w:p>
            <w:pPr>
              <w:spacing w:after="0"/>
              <w:rPr>
                <w:sz w:val="11"/>
                <w:szCs w:val="11"/>
                <w:color w:val="auto"/>
              </w:rPr>
            </w:pPr>
          </w:p>
        </w:tc>
        <w:tc>
          <w:tcPr>
            <w:tcW w:w="8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1"/>
              </w:rPr>
              <w:t>servicing</w:t>
            </w: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98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1"/>
              </w:rPr>
              <w:t>loan servicing</w:t>
            </w:r>
          </w:p>
        </w:tc>
        <w:tc>
          <w:tcPr>
            <w:tcW w:w="12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1"/>
              </w:rPr>
              <w:t>servicing</w:t>
            </w:r>
          </w:p>
        </w:tc>
        <w:tc>
          <w:tcPr>
            <w:tcW w:w="1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5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b w:val="1"/>
                <w:bCs w:val="1"/>
                <w:color w:val="auto"/>
              </w:rPr>
              <w:t>Assets</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w w:val="99"/>
              </w:rPr>
              <w:t>Liabilities</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13"/>
              <w:spacing w:after="0"/>
              <w:rPr>
                <w:sz w:val="20"/>
                <w:szCs w:val="20"/>
                <w:color w:val="auto"/>
              </w:rPr>
            </w:pPr>
            <w:r>
              <w:rPr>
                <w:rFonts w:ascii="Arial" w:cs="Arial" w:eastAsia="Arial" w:hAnsi="Arial"/>
                <w:sz w:val="13"/>
                <w:szCs w:val="13"/>
                <w:b w:val="1"/>
                <w:bCs w:val="1"/>
                <w:color w:val="auto"/>
                <w:w w:val="94"/>
              </w:rPr>
              <w:t>rights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53"/>
              <w:spacing w:after="0"/>
              <w:rPr>
                <w:sz w:val="20"/>
                <w:szCs w:val="20"/>
                <w:color w:val="auto"/>
              </w:rPr>
            </w:pPr>
            <w:r>
              <w:rPr>
                <w:rFonts w:ascii="Arial" w:cs="Arial" w:eastAsia="Arial" w:hAnsi="Arial"/>
                <w:sz w:val="13"/>
                <w:szCs w:val="13"/>
                <w:b w:val="1"/>
                <w:bCs w:val="1"/>
                <w:color w:val="auto"/>
                <w:w w:val="94"/>
              </w:rPr>
              <w:t>rights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b w:val="1"/>
                <w:bCs w:val="1"/>
                <w:color w:val="auto"/>
              </w:rPr>
              <w:t>Bonds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b w:val="1"/>
                <w:bCs w:val="1"/>
                <w:color w:val="auto"/>
              </w:rPr>
              <w:t>Assets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w w:val="96"/>
              </w:rPr>
              <w:t>Liabilities</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13"/>
              <w:spacing w:after="0"/>
              <w:rPr>
                <w:sz w:val="20"/>
                <w:szCs w:val="20"/>
                <w:color w:val="auto"/>
              </w:rPr>
            </w:pPr>
            <w:r>
              <w:rPr>
                <w:rFonts w:ascii="Arial" w:cs="Arial" w:eastAsia="Arial" w:hAnsi="Arial"/>
                <w:sz w:val="13"/>
                <w:szCs w:val="13"/>
                <w:b w:val="1"/>
                <w:bCs w:val="1"/>
                <w:color w:val="auto"/>
                <w:w w:val="94"/>
              </w:rPr>
              <w:t>rights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33"/>
              <w:spacing w:after="0"/>
              <w:rPr>
                <w:sz w:val="20"/>
                <w:szCs w:val="20"/>
                <w:color w:val="auto"/>
              </w:rPr>
            </w:pPr>
            <w:r>
              <w:rPr>
                <w:rFonts w:ascii="Arial" w:cs="Arial" w:eastAsia="Arial" w:hAnsi="Arial"/>
                <w:sz w:val="13"/>
                <w:szCs w:val="13"/>
                <w:b w:val="1"/>
                <w:bCs w:val="1"/>
                <w:color w:val="auto"/>
                <w:w w:val="94"/>
              </w:rPr>
              <w:t>rights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b w:val="1"/>
                <w:bCs w:val="1"/>
                <w:color w:val="auto"/>
              </w:rPr>
              <w:t>Bonds</w:t>
            </w:r>
          </w:p>
        </w:tc>
        <w:tc>
          <w:tcPr>
            <w:tcW w:w="0" w:type="dxa"/>
            <w:vAlign w:val="bottom"/>
          </w:tcPr>
          <w:p>
            <w:pPr>
              <w:spacing w:after="0"/>
              <w:rPr>
                <w:sz w:val="1"/>
                <w:szCs w:val="1"/>
                <w:color w:val="auto"/>
              </w:rPr>
            </w:pPr>
          </w:p>
        </w:tc>
      </w:tr>
      <w:tr>
        <w:trPr>
          <w:trHeight w:val="182"/>
        </w:trPr>
        <w:tc>
          <w:tcPr>
            <w:tcW w:w="2500" w:type="dxa"/>
            <w:vAlign w:val="bottom"/>
            <w:gridSpan w:val="4"/>
          </w:tcPr>
          <w:p>
            <w:pPr>
              <w:ind w:left="20"/>
              <w:spacing w:after="0"/>
              <w:rPr>
                <w:sz w:val="20"/>
                <w:szCs w:val="20"/>
                <w:color w:val="auto"/>
              </w:rPr>
            </w:pPr>
            <w:r>
              <w:rPr>
                <w:rFonts w:ascii="Arial" w:cs="Arial" w:eastAsia="Arial" w:hAnsi="Arial"/>
                <w:sz w:val="13"/>
                <w:szCs w:val="13"/>
                <w:b w:val="1"/>
                <w:bCs w:val="1"/>
                <w:color w:val="auto"/>
              </w:rPr>
              <w:t>Three Months Ended June 30,</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1560" w:type="dxa"/>
            <w:vAlign w:val="bottom"/>
            <w:shd w:val="clear" w:color="auto" w:fill="CCEEFF"/>
          </w:tcPr>
          <w:p>
            <w:pPr>
              <w:ind w:left="20"/>
              <w:spacing w:after="0" w:line="145" w:lineRule="exact"/>
              <w:rPr>
                <w:sz w:val="20"/>
                <w:szCs w:val="20"/>
                <w:color w:val="auto"/>
              </w:rPr>
            </w:pPr>
            <w:r>
              <w:rPr>
                <w:rFonts w:ascii="Arial" w:cs="Arial" w:eastAsia="Arial" w:hAnsi="Arial"/>
                <w:sz w:val="13"/>
                <w:szCs w:val="13"/>
                <w:color w:val="auto"/>
              </w:rPr>
              <w:t>Balance at beginning of</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8,308</w:t>
            </w:r>
          </w:p>
        </w:tc>
        <w:tc>
          <w:tcPr>
            <w:tcW w:w="10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4,606</w:t>
            </w:r>
          </w:p>
        </w:tc>
        <w:tc>
          <w:tcPr>
            <w:tcW w:w="120" w:type="dxa"/>
            <w:vAlign w:val="bottom"/>
            <w:shd w:val="clear" w:color="auto" w:fill="CCEEFF"/>
          </w:tcPr>
          <w:p>
            <w:pPr>
              <w:spacing w:after="0"/>
              <w:rPr>
                <w:sz w:val="12"/>
                <w:szCs w:val="12"/>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6,226</w:t>
            </w:r>
          </w:p>
        </w:tc>
        <w:tc>
          <w:tcPr>
            <w:tcW w:w="12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20,728</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1,750</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7,361</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2,717</w:t>
            </w:r>
          </w:p>
        </w:tc>
        <w:tc>
          <w:tcPr>
            <w:tcW w:w="10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6,290</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11,059</w:t>
            </w:r>
          </w:p>
        </w:tc>
        <w:tc>
          <w:tcPr>
            <w:tcW w:w="12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6"/>
        </w:trPr>
        <w:tc>
          <w:tcPr>
            <w:tcW w:w="1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period</w:t>
            </w:r>
          </w:p>
        </w:tc>
        <w:tc>
          <w:tcPr>
            <w:tcW w:w="10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560" w:type="dxa"/>
            <w:vAlign w:val="bottom"/>
          </w:tcPr>
          <w:p>
            <w:pPr>
              <w:ind w:left="140"/>
              <w:spacing w:after="0"/>
              <w:rPr>
                <w:sz w:val="20"/>
                <w:szCs w:val="20"/>
                <w:color w:val="auto"/>
              </w:rPr>
            </w:pPr>
            <w:r>
              <w:rPr>
                <w:rFonts w:ascii="Arial" w:cs="Arial" w:eastAsia="Arial" w:hAnsi="Arial"/>
                <w:sz w:val="13"/>
                <w:szCs w:val="13"/>
                <w:color w:val="auto"/>
              </w:rPr>
              <w:t>Additions</w:t>
            </w:r>
          </w:p>
        </w:tc>
        <w:tc>
          <w:tcPr>
            <w:tcW w:w="1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97</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610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3,792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303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3,217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96"/>
        </w:trPr>
        <w:tc>
          <w:tcPr>
            <w:tcW w:w="15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Transfers into Level 3</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1560" w:type="dxa"/>
            <w:vAlign w:val="bottom"/>
          </w:tcPr>
          <w:p>
            <w:pPr>
              <w:ind w:left="140"/>
              <w:spacing w:after="0"/>
              <w:rPr>
                <w:sz w:val="20"/>
                <w:szCs w:val="20"/>
                <w:color w:val="auto"/>
              </w:rPr>
            </w:pPr>
            <w:r>
              <w:rPr>
                <w:rFonts w:ascii="Arial" w:cs="Arial" w:eastAsia="Arial" w:hAnsi="Arial"/>
                <w:sz w:val="13"/>
                <w:szCs w:val="13"/>
                <w:color w:val="auto"/>
              </w:rPr>
              <w:t>Sales and settlements</w:t>
            </w:r>
          </w:p>
        </w:tc>
        <w:tc>
          <w:tcPr>
            <w:tcW w:w="1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(453)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(1,426)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(682)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5"/>
        </w:trPr>
        <w:tc>
          <w:tcPr>
            <w:tcW w:w="1560" w:type="dxa"/>
            <w:vAlign w:val="bottom"/>
            <w:shd w:val="clear" w:color="auto" w:fill="CCEEFF"/>
          </w:tcPr>
          <w:p>
            <w:pPr>
              <w:ind w:left="140"/>
              <w:spacing w:after="0" w:line="145" w:lineRule="exact"/>
              <w:rPr>
                <w:sz w:val="20"/>
                <w:szCs w:val="20"/>
                <w:color w:val="auto"/>
              </w:rPr>
            </w:pPr>
            <w:r>
              <w:rPr>
                <w:rFonts w:ascii="Arial" w:cs="Arial" w:eastAsia="Arial" w:hAnsi="Arial"/>
                <w:sz w:val="13"/>
                <w:szCs w:val="13"/>
                <w:color w:val="auto"/>
              </w:rPr>
              <w:t>Amounts included in</w:t>
            </w: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6"/>
        </w:trPr>
        <w:tc>
          <w:tcPr>
            <w:tcW w:w="15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OCI</w:t>
            </w:r>
          </w:p>
        </w:tc>
        <w:tc>
          <w:tcPr>
            <w:tcW w:w="1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560" w:type="dxa"/>
            <w:vAlign w:val="bottom"/>
          </w:tcPr>
          <w:p>
            <w:pPr>
              <w:ind w:left="140"/>
              <w:spacing w:after="0" w:line="138" w:lineRule="exact"/>
              <w:rPr>
                <w:sz w:val="20"/>
                <w:szCs w:val="20"/>
                <w:color w:val="auto"/>
              </w:rPr>
            </w:pPr>
            <w:r>
              <w:rPr>
                <w:rFonts w:ascii="Arial" w:cs="Arial" w:eastAsia="Arial" w:hAnsi="Arial"/>
                <w:sz w:val="13"/>
                <w:szCs w:val="13"/>
                <w:color w:val="auto"/>
              </w:rPr>
              <w:t>Amounts included in</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60" w:type="dxa"/>
            <w:vAlign w:val="bottom"/>
          </w:tcPr>
          <w:p>
            <w:pPr>
              <w:ind w:left="140"/>
              <w:spacing w:after="0" w:line="135" w:lineRule="exact"/>
              <w:rPr>
                <w:sz w:val="20"/>
                <w:szCs w:val="20"/>
                <w:color w:val="auto"/>
              </w:rPr>
            </w:pPr>
            <w:r>
              <w:rPr>
                <w:rFonts w:ascii="Arial" w:cs="Arial" w:eastAsia="Arial" w:hAnsi="Arial"/>
                <w:sz w:val="13"/>
                <w:szCs w:val="13"/>
                <w:color w:val="auto"/>
              </w:rPr>
              <w:t>earnings - fair value</w:t>
            </w: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(1,419)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(759)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(268)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(1,526)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4,156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(148)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(525)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(1,102)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1560" w:type="dxa"/>
            <w:vAlign w:val="bottom"/>
          </w:tcPr>
          <w:p>
            <w:pPr>
              <w:ind w:left="140"/>
              <w:spacing w:after="0"/>
              <w:rPr>
                <w:sz w:val="20"/>
                <w:szCs w:val="20"/>
                <w:color w:val="auto"/>
              </w:rPr>
            </w:pPr>
            <w:r>
              <w:rPr>
                <w:rFonts w:ascii="Arial" w:cs="Arial" w:eastAsia="Arial" w:hAnsi="Arial"/>
                <w:sz w:val="13"/>
                <w:szCs w:val="13"/>
                <w:color w:val="auto"/>
              </w:rPr>
              <w:t>adjustments</w:t>
            </w:r>
          </w:p>
        </w:tc>
        <w:tc>
          <w:tcPr>
            <w:tcW w:w="1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1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end of period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6,889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3,944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6,115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21,568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1,707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12,107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2,569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6,034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12,492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gridSpan w:val="2"/>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5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66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w w:val="96"/>
              </w:rPr>
              <w:t>Six Months Ended June 30,</w:t>
            </w: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560" w:type="dxa"/>
            <w:vAlign w:val="bottom"/>
          </w:tcPr>
          <w:p>
            <w:pPr>
              <w:ind w:left="140"/>
              <w:spacing w:after="0" w:line="138" w:lineRule="exact"/>
              <w:rPr>
                <w:sz w:val="20"/>
                <w:szCs w:val="20"/>
                <w:color w:val="auto"/>
              </w:rPr>
            </w:pPr>
            <w:r>
              <w:rPr>
                <w:rFonts w:ascii="Arial" w:cs="Arial" w:eastAsia="Arial" w:hAnsi="Arial"/>
                <w:sz w:val="13"/>
                <w:szCs w:val="13"/>
                <w:color w:val="auto"/>
              </w:rPr>
              <w:t>Balance at beginning of</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10,779</w:t>
            </w:r>
          </w:p>
        </w:tc>
        <w:tc>
          <w:tcPr>
            <w:tcW w:w="1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2,408</w:t>
            </w:r>
          </w:p>
        </w:tc>
        <w:tc>
          <w:tcPr>
            <w:tcW w:w="120" w:type="dxa"/>
            <w:vAlign w:val="bottom"/>
          </w:tcPr>
          <w:p>
            <w:pPr>
              <w:spacing w:after="0"/>
              <w:rPr>
                <w:sz w:val="11"/>
                <w:szCs w:val="11"/>
                <w:color w:val="auto"/>
              </w:rPr>
            </w:pP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6,462</w:t>
            </w:r>
          </w:p>
        </w:tc>
        <w:tc>
          <w:tcPr>
            <w:tcW w:w="12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16,216</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1,750</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7,238</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8,559</w:t>
            </w:r>
          </w:p>
        </w:tc>
        <w:tc>
          <w:tcPr>
            <w:tcW w:w="1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6,794</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13,565</w:t>
            </w:r>
          </w:p>
        </w:tc>
        <w:tc>
          <w:tcPr>
            <w:tcW w:w="12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998</w:t>
            </w:r>
          </w:p>
        </w:tc>
        <w:tc>
          <w:tcPr>
            <w:tcW w:w="0" w:type="dxa"/>
            <w:vAlign w:val="bottom"/>
          </w:tcPr>
          <w:p>
            <w:pPr>
              <w:spacing w:after="0"/>
              <w:rPr>
                <w:sz w:val="1"/>
                <w:szCs w:val="1"/>
                <w:color w:val="auto"/>
              </w:rPr>
            </w:pPr>
          </w:p>
        </w:tc>
      </w:tr>
      <w:tr>
        <w:trPr>
          <w:trHeight w:val="179"/>
        </w:trPr>
        <w:tc>
          <w:tcPr>
            <w:tcW w:w="1560" w:type="dxa"/>
            <w:vAlign w:val="bottom"/>
          </w:tcPr>
          <w:p>
            <w:pPr>
              <w:ind w:left="140"/>
              <w:spacing w:after="0"/>
              <w:rPr>
                <w:sz w:val="20"/>
                <w:szCs w:val="20"/>
                <w:color w:val="auto"/>
              </w:rPr>
            </w:pPr>
            <w:r>
              <w:rPr>
                <w:rFonts w:ascii="Arial" w:cs="Arial" w:eastAsia="Arial" w:hAnsi="Arial"/>
                <w:sz w:val="13"/>
                <w:szCs w:val="13"/>
                <w:color w:val="auto"/>
              </w:rPr>
              <w:t>period</w:t>
            </w:r>
          </w:p>
        </w:tc>
        <w:tc>
          <w:tcPr>
            <w:tcW w:w="1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5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Additions</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6,993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5,332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82"/>
        </w:trPr>
        <w:tc>
          <w:tcPr>
            <w:tcW w:w="1560" w:type="dxa"/>
            <w:vAlign w:val="bottom"/>
          </w:tcPr>
          <w:p>
            <w:pPr>
              <w:ind w:left="140"/>
              <w:spacing w:after="0"/>
              <w:rPr>
                <w:sz w:val="20"/>
                <w:szCs w:val="20"/>
                <w:color w:val="auto"/>
              </w:rPr>
            </w:pPr>
            <w:r>
              <w:rPr>
                <w:rFonts w:ascii="Arial" w:cs="Arial" w:eastAsia="Arial" w:hAnsi="Arial"/>
                <w:sz w:val="13"/>
                <w:szCs w:val="13"/>
                <w:color w:val="auto"/>
              </w:rPr>
              <w:t>Transfers into Level 3</w:t>
            </w:r>
          </w:p>
        </w:tc>
        <w:tc>
          <w:tcPr>
            <w:tcW w:w="1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583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15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Sales and settlements</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38"/>
        </w:trPr>
        <w:tc>
          <w:tcPr>
            <w:tcW w:w="1560" w:type="dxa"/>
            <w:vAlign w:val="bottom"/>
          </w:tcPr>
          <w:p>
            <w:pPr>
              <w:ind w:left="140"/>
              <w:spacing w:after="0" w:line="138" w:lineRule="exact"/>
              <w:rPr>
                <w:sz w:val="20"/>
                <w:szCs w:val="20"/>
                <w:color w:val="auto"/>
              </w:rPr>
            </w:pPr>
            <w:r>
              <w:rPr>
                <w:rFonts w:ascii="Arial" w:cs="Arial" w:eastAsia="Arial" w:hAnsi="Arial"/>
                <w:sz w:val="13"/>
                <w:szCs w:val="13"/>
                <w:color w:val="auto"/>
              </w:rPr>
              <w:t>Amounts included in</w:t>
            </w:r>
          </w:p>
        </w:tc>
        <w:tc>
          <w:tcPr>
            <w:tcW w:w="10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(43)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79"/>
        </w:trPr>
        <w:tc>
          <w:tcPr>
            <w:tcW w:w="1560" w:type="dxa"/>
            <w:vAlign w:val="bottom"/>
          </w:tcPr>
          <w:p>
            <w:pPr>
              <w:ind w:left="140"/>
              <w:spacing w:after="0"/>
              <w:rPr>
                <w:sz w:val="20"/>
                <w:szCs w:val="20"/>
                <w:color w:val="auto"/>
              </w:rPr>
            </w:pPr>
            <w:r>
              <w:rPr>
                <w:rFonts w:ascii="Arial" w:cs="Arial" w:eastAsia="Arial" w:hAnsi="Arial"/>
                <w:sz w:val="13"/>
                <w:szCs w:val="13"/>
                <w:color w:val="auto"/>
              </w:rPr>
              <w:t>OCI</w:t>
            </w: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1560" w:type="dxa"/>
            <w:vAlign w:val="bottom"/>
            <w:shd w:val="clear" w:color="auto" w:fill="CCEEFF"/>
          </w:tcPr>
          <w:p>
            <w:pPr>
              <w:ind w:left="140"/>
              <w:spacing w:after="0" w:line="145" w:lineRule="exact"/>
              <w:rPr>
                <w:sz w:val="20"/>
                <w:szCs w:val="20"/>
                <w:color w:val="auto"/>
              </w:rPr>
            </w:pPr>
            <w:r>
              <w:rPr>
                <w:rFonts w:ascii="Arial" w:cs="Arial" w:eastAsia="Arial" w:hAnsi="Arial"/>
                <w:sz w:val="13"/>
                <w:szCs w:val="13"/>
                <w:color w:val="auto"/>
              </w:rPr>
              <w:t>Amounts included in</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56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earnings - fair value</w:t>
            </w:r>
          </w:p>
        </w:tc>
        <w:tc>
          <w:tcPr>
            <w:tcW w:w="1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(4,065)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1,439</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(542)</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914</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4,279</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(5,990)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(817)</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(5,230)</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15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adjustments</w:t>
            </w:r>
          </w:p>
        </w:tc>
        <w:tc>
          <w:tcPr>
            <w:tcW w:w="10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560" w:type="dxa"/>
            <w:vAlign w:val="bottom"/>
          </w:tcPr>
          <w:p>
            <w:pPr>
              <w:ind w:left="20"/>
              <w:spacing w:after="0"/>
              <w:rPr>
                <w:sz w:val="20"/>
                <w:szCs w:val="20"/>
                <w:color w:val="auto"/>
              </w:rPr>
            </w:pPr>
            <w:r>
              <w:rPr>
                <w:rFonts w:ascii="Arial" w:cs="Arial" w:eastAsia="Arial" w:hAnsi="Arial"/>
                <w:sz w:val="13"/>
                <w:szCs w:val="13"/>
                <w:color w:val="auto"/>
              </w:rPr>
              <w:t>Balance at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6,889</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3,944</w:t>
            </w:r>
          </w:p>
        </w:tc>
        <w:tc>
          <w:tcPr>
            <w:tcW w:w="12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6,115</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21,568</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1,707</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12,107</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2,569</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6,034</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12,492</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quantitative information about significant Level 3 inputs for fair value on a recurring basis as of the dates indicated.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2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Level 3 Assets and Liabilities</w:t>
            </w:r>
          </w:p>
        </w:tc>
        <w:tc>
          <w:tcPr>
            <w:tcW w:w="1320" w:type="dxa"/>
            <w:vAlign w:val="bottom"/>
            <w:gridSpan w:val="2"/>
          </w:tcPr>
          <w:p>
            <w:pPr>
              <w:ind w:left="280"/>
              <w:spacing w:after="0"/>
              <w:rPr>
                <w:sz w:val="20"/>
                <w:szCs w:val="20"/>
                <w:color w:val="auto"/>
              </w:rPr>
            </w:pPr>
            <w:r>
              <w:rPr>
                <w:rFonts w:ascii="Arial" w:cs="Arial" w:eastAsia="Arial" w:hAnsi="Arial"/>
                <w:sz w:val="16"/>
                <w:szCs w:val="16"/>
                <w:b w:val="1"/>
                <w:bCs w:val="1"/>
                <w:color w:val="auto"/>
              </w:rPr>
              <w:t>Valuation</w:t>
            </w:r>
          </w:p>
        </w:tc>
        <w:tc>
          <w:tcPr>
            <w:tcW w:w="2120" w:type="dxa"/>
            <w:vAlign w:val="bottom"/>
            <w:gridSpan w:val="2"/>
          </w:tcPr>
          <w:p>
            <w:pPr>
              <w:ind w:left="140"/>
              <w:spacing w:after="0"/>
              <w:rPr>
                <w:sz w:val="20"/>
                <w:szCs w:val="20"/>
                <w:color w:val="auto"/>
              </w:rPr>
            </w:pPr>
            <w:r>
              <w:rPr>
                <w:rFonts w:ascii="Arial" w:cs="Arial" w:eastAsia="Arial" w:hAnsi="Arial"/>
                <w:sz w:val="16"/>
                <w:szCs w:val="16"/>
                <w:b w:val="1"/>
                <w:bCs w:val="1"/>
                <w:color w:val="auto"/>
              </w:rPr>
              <w:t>Significant Unobservable</w:t>
            </w:r>
          </w:p>
        </w:tc>
        <w:tc>
          <w:tcPr>
            <w:tcW w:w="2740" w:type="dxa"/>
            <w:vAlign w:val="bottom"/>
            <w:gridSpan w:val="4"/>
            <w:vMerge w:val="restart"/>
          </w:tcPr>
          <w:p>
            <w:pPr>
              <w:ind w:left="840"/>
              <w:spacing w:after="0"/>
              <w:rPr>
                <w:sz w:val="20"/>
                <w:szCs w:val="20"/>
                <w:color w:val="auto"/>
              </w:rPr>
            </w:pPr>
            <w:r>
              <w:rPr>
                <w:rFonts w:ascii="Arial" w:cs="Arial" w:eastAsia="Arial" w:hAnsi="Arial"/>
                <w:sz w:val="16"/>
                <w:szCs w:val="16"/>
                <w:b w:val="1"/>
                <w:bCs w:val="1"/>
                <w:color w:val="auto"/>
              </w:rPr>
              <w:t>June 30, 2021</w:t>
            </w:r>
          </w:p>
        </w:tc>
        <w:tc>
          <w:tcPr>
            <w:tcW w:w="2640" w:type="dxa"/>
            <w:vAlign w:val="bottom"/>
            <w:gridSpan w:val="3"/>
            <w:vMerge w:val="restart"/>
          </w:tcPr>
          <w:p>
            <w:pPr>
              <w:jc w:val="right"/>
              <w:ind w:right="579"/>
              <w:spacing w:after="0"/>
              <w:rPr>
                <w:sz w:val="20"/>
                <w:szCs w:val="20"/>
                <w:color w:val="auto"/>
              </w:rPr>
            </w:pPr>
            <w:r>
              <w:rPr>
                <w:rFonts w:ascii="Arial" w:cs="Arial" w:eastAsia="Arial" w:hAnsi="Arial"/>
                <w:sz w:val="16"/>
                <w:szCs w:val="16"/>
                <w:b w:val="1"/>
                <w:bCs w:val="1"/>
                <w:color w:val="auto"/>
              </w:rPr>
              <w:t>December 31, 2020</w:t>
            </w:r>
          </w:p>
        </w:tc>
        <w:tc>
          <w:tcPr>
            <w:tcW w:w="0" w:type="dxa"/>
            <w:vAlign w:val="bottom"/>
          </w:tcPr>
          <w:p>
            <w:pPr>
              <w:spacing w:after="0"/>
              <w:rPr>
                <w:sz w:val="1"/>
                <w:szCs w:val="1"/>
                <w:color w:val="auto"/>
              </w:rPr>
            </w:pPr>
          </w:p>
        </w:tc>
      </w:tr>
      <w:tr>
        <w:trPr>
          <w:trHeight w:val="213"/>
        </w:trPr>
        <w:tc>
          <w:tcPr>
            <w:tcW w:w="2420" w:type="dxa"/>
            <w:vAlign w:val="bottom"/>
            <w:gridSpan w:val="2"/>
            <w:vMerge w:val="continue"/>
          </w:tcPr>
          <w:p>
            <w:pPr>
              <w:spacing w:after="0"/>
              <w:rPr>
                <w:sz w:val="18"/>
                <w:szCs w:val="18"/>
                <w:color w:val="auto"/>
              </w:rPr>
            </w:pPr>
          </w:p>
        </w:tc>
        <w:tc>
          <w:tcPr>
            <w:tcW w:w="1320" w:type="dxa"/>
            <w:vAlign w:val="bottom"/>
            <w:gridSpan w:val="2"/>
          </w:tcPr>
          <w:p>
            <w:pPr>
              <w:ind w:left="240"/>
              <w:spacing w:after="0"/>
              <w:rPr>
                <w:sz w:val="20"/>
                <w:szCs w:val="20"/>
                <w:color w:val="auto"/>
              </w:rPr>
            </w:pPr>
            <w:r>
              <w:rPr>
                <w:rFonts w:ascii="Arial" w:cs="Arial" w:eastAsia="Arial" w:hAnsi="Arial"/>
                <w:sz w:val="16"/>
                <w:szCs w:val="16"/>
                <w:b w:val="1"/>
                <w:bCs w:val="1"/>
                <w:color w:val="auto"/>
              </w:rPr>
              <w:t>Technique</w:t>
            </w:r>
          </w:p>
        </w:tc>
        <w:tc>
          <w:tcPr>
            <w:tcW w:w="2120" w:type="dxa"/>
            <w:vAlign w:val="bottom"/>
            <w:gridSpan w:val="2"/>
          </w:tcPr>
          <w:p>
            <w:pPr>
              <w:ind w:left="780"/>
              <w:spacing w:after="0"/>
              <w:rPr>
                <w:sz w:val="20"/>
                <w:szCs w:val="20"/>
                <w:color w:val="auto"/>
              </w:rPr>
            </w:pPr>
            <w:r>
              <w:rPr>
                <w:rFonts w:ascii="Arial" w:cs="Arial" w:eastAsia="Arial" w:hAnsi="Arial"/>
                <w:sz w:val="16"/>
                <w:szCs w:val="16"/>
                <w:b w:val="1"/>
                <w:bCs w:val="1"/>
                <w:color w:val="auto"/>
              </w:rPr>
              <w:t>Inputs</w:t>
            </w:r>
          </w:p>
        </w:tc>
        <w:tc>
          <w:tcPr>
            <w:tcW w:w="2740" w:type="dxa"/>
            <w:vAlign w:val="bottom"/>
            <w:gridSpan w:val="4"/>
            <w:vMerge w:val="continue"/>
          </w:tcPr>
          <w:p>
            <w:pPr>
              <w:spacing w:after="0"/>
              <w:rPr>
                <w:sz w:val="18"/>
                <w:szCs w:val="18"/>
                <w:color w:val="auto"/>
              </w:rPr>
            </w:pPr>
          </w:p>
        </w:tc>
        <w:tc>
          <w:tcPr>
            <w:tcW w:w="26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3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Borders>
              <w:top w:val="single" w:sz="8" w:color="auto"/>
            </w:tcBorders>
            <w:gridSpan w:val="2"/>
            <w:vMerge w:val="restart"/>
          </w:tcPr>
          <w:p>
            <w:pPr>
              <w:ind w:left="480"/>
              <w:spacing w:after="0"/>
              <w:rPr>
                <w:sz w:val="20"/>
                <w:szCs w:val="20"/>
                <w:color w:val="auto"/>
              </w:rPr>
            </w:pPr>
            <w:r>
              <w:rPr>
                <w:rFonts w:ascii="Arial" w:cs="Arial" w:eastAsia="Arial" w:hAnsi="Arial"/>
                <w:sz w:val="16"/>
                <w:szCs w:val="16"/>
                <w:b w:val="1"/>
                <w:bCs w:val="1"/>
                <w:color w:val="auto"/>
              </w:rPr>
              <w:t>Range</w:t>
            </w:r>
          </w:p>
        </w:tc>
        <w:tc>
          <w:tcPr>
            <w:tcW w:w="112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w w:val="91"/>
              </w:rPr>
              <w:t>Weighted</w:t>
            </w:r>
          </w:p>
        </w:tc>
        <w:tc>
          <w:tcPr>
            <w:tcW w:w="120" w:type="dxa"/>
            <w:vAlign w:val="bottom"/>
          </w:tcPr>
          <w:p>
            <w:pPr>
              <w:spacing w:after="0"/>
              <w:rPr>
                <w:sz w:val="13"/>
                <w:szCs w:val="13"/>
                <w:color w:val="auto"/>
              </w:rPr>
            </w:pPr>
          </w:p>
        </w:tc>
        <w:tc>
          <w:tcPr>
            <w:tcW w:w="1520" w:type="dxa"/>
            <w:vAlign w:val="bottom"/>
            <w:tcBorders>
              <w:top w:val="single" w:sz="8" w:color="auto"/>
            </w:tcBorders>
            <w:gridSpan w:val="2"/>
            <w:vMerge w:val="restart"/>
          </w:tcPr>
          <w:p>
            <w:pPr>
              <w:ind w:left="480"/>
              <w:spacing w:after="0"/>
              <w:rPr>
                <w:sz w:val="20"/>
                <w:szCs w:val="20"/>
                <w:color w:val="auto"/>
              </w:rPr>
            </w:pPr>
            <w:r>
              <w:rPr>
                <w:rFonts w:ascii="Arial" w:cs="Arial" w:eastAsia="Arial" w:hAnsi="Arial"/>
                <w:sz w:val="16"/>
                <w:szCs w:val="16"/>
                <w:b w:val="1"/>
                <w:bCs w:val="1"/>
                <w:color w:val="auto"/>
              </w:rPr>
              <w:t>Range</w:t>
            </w:r>
          </w:p>
        </w:tc>
        <w:tc>
          <w:tcPr>
            <w:tcW w:w="1120" w:type="dxa"/>
            <w:vAlign w:val="bottom"/>
            <w:tcBorders>
              <w:top w:val="single" w:sz="8" w:color="auto"/>
            </w:tcBorders>
          </w:tcPr>
          <w:p>
            <w:pPr>
              <w:jc w:val="right"/>
              <w:ind w:right="159"/>
              <w:spacing w:after="0" w:line="158" w:lineRule="exact"/>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Average</w:t>
            </w:r>
          </w:p>
        </w:tc>
        <w:tc>
          <w:tcPr>
            <w:tcW w:w="1520" w:type="dxa"/>
            <w:vAlign w:val="bottom"/>
            <w:gridSpan w:val="2"/>
            <w:vMerge w:val="continue"/>
          </w:tcPr>
          <w:p>
            <w:pPr>
              <w:spacing w:after="0"/>
              <w:rPr>
                <w:sz w:val="18"/>
                <w:szCs w:val="18"/>
                <w:color w:val="auto"/>
              </w:rPr>
            </w:pPr>
          </w:p>
        </w:tc>
        <w:tc>
          <w:tcPr>
            <w:tcW w:w="1120" w:type="dxa"/>
            <w:vAlign w:val="bottom"/>
          </w:tcPr>
          <w:p>
            <w:pPr>
              <w:jc w:val="right"/>
              <w:ind w:right="199"/>
              <w:spacing w:after="0"/>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148"/>
        </w:trPr>
        <w:tc>
          <w:tcPr>
            <w:tcW w:w="2420" w:type="dxa"/>
            <w:vAlign w:val="bottom"/>
            <w:tcBorders>
              <w:top w:val="single" w:sz="8" w:color="CCEEFF"/>
            </w:tcBorders>
            <w:gridSpan w:val="2"/>
            <w:shd w:val="clear" w:color="auto" w:fill="CCEEFF"/>
          </w:tcPr>
          <w:p>
            <w:pPr>
              <w:ind w:left="20"/>
              <w:spacing w:after="0" w:line="148" w:lineRule="exact"/>
              <w:rPr>
                <w:sz w:val="20"/>
                <w:szCs w:val="20"/>
                <w:color w:val="auto"/>
              </w:rPr>
            </w:pPr>
            <w:r>
              <w:rPr>
                <w:rFonts w:ascii="Arial" w:cs="Arial" w:eastAsia="Arial" w:hAnsi="Arial"/>
                <w:sz w:val="16"/>
                <w:szCs w:val="16"/>
                <w:color w:val="auto"/>
              </w:rPr>
              <w:t>SBA/USDA loan servicing rights</w:t>
            </w:r>
          </w:p>
        </w:tc>
        <w:tc>
          <w:tcPr>
            <w:tcW w:w="1320" w:type="dxa"/>
            <w:vAlign w:val="bottom"/>
            <w:tcBorders>
              <w:top w:val="single" w:sz="8" w:color="CCEEFF"/>
            </w:tcBorders>
            <w:gridSpan w:val="2"/>
            <w:shd w:val="clear" w:color="auto" w:fill="CCEEFF"/>
          </w:tcPr>
          <w:p>
            <w:pPr>
              <w:spacing w:after="0" w:line="148" w:lineRule="exact"/>
              <w:rPr>
                <w:sz w:val="20"/>
                <w:szCs w:val="20"/>
                <w:color w:val="auto"/>
              </w:rPr>
            </w:pPr>
            <w:r>
              <w:rPr>
                <w:rFonts w:ascii="Arial" w:cs="Arial" w:eastAsia="Arial" w:hAnsi="Arial"/>
                <w:sz w:val="16"/>
                <w:szCs w:val="16"/>
                <w:color w:val="auto"/>
              </w:rPr>
              <w:t>Discounted cash</w:t>
            </w:r>
          </w:p>
        </w:tc>
        <w:tc>
          <w:tcPr>
            <w:tcW w:w="2120" w:type="dxa"/>
            <w:vAlign w:val="bottom"/>
            <w:tcBorders>
              <w:top w:val="single" w:sz="8" w:color="CCEEFF"/>
            </w:tcBorders>
            <w:gridSpan w:val="2"/>
            <w:shd w:val="clear" w:color="auto" w:fill="CCEEFF"/>
          </w:tcPr>
          <w:p>
            <w:pPr>
              <w:ind w:left="20"/>
              <w:spacing w:after="0" w:line="148" w:lineRule="exact"/>
              <w:rPr>
                <w:sz w:val="20"/>
                <w:szCs w:val="20"/>
                <w:color w:val="auto"/>
              </w:rPr>
            </w:pPr>
            <w:r>
              <w:rPr>
                <w:rFonts w:ascii="Arial" w:cs="Arial" w:eastAsia="Arial" w:hAnsi="Arial"/>
                <w:sz w:val="16"/>
                <w:szCs w:val="16"/>
                <w:color w:val="auto"/>
              </w:rPr>
              <w:t>Discount rate</w:t>
            </w:r>
          </w:p>
        </w:tc>
        <w:tc>
          <w:tcPr>
            <w:tcW w:w="14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0.0% - 31.1%</w:t>
            </w:r>
          </w:p>
        </w:tc>
        <w:tc>
          <w:tcPr>
            <w:tcW w:w="10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9.3 %</w:t>
            </w:r>
          </w:p>
        </w:tc>
        <w:tc>
          <w:tcPr>
            <w:tcW w:w="120" w:type="dxa"/>
            <w:vAlign w:val="bottom"/>
            <w:tcBorders>
              <w:top w:val="single" w:sz="8" w:color="CCEEFF"/>
            </w:tcBorders>
            <w:shd w:val="clear" w:color="auto" w:fill="CCEEFF"/>
          </w:tcPr>
          <w:p>
            <w:pPr>
              <w:spacing w:after="0"/>
              <w:rPr>
                <w:sz w:val="12"/>
                <w:szCs w:val="12"/>
                <w:color w:val="auto"/>
              </w:rPr>
            </w:pPr>
          </w:p>
        </w:tc>
        <w:tc>
          <w:tcPr>
            <w:tcW w:w="14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1.6% - 44.1%</w:t>
            </w:r>
          </w:p>
        </w:tc>
        <w:tc>
          <w:tcPr>
            <w:tcW w:w="10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8.9 %</w:t>
            </w:r>
          </w:p>
        </w:tc>
        <w:tc>
          <w:tcPr>
            <w:tcW w:w="0" w:type="dxa"/>
            <w:vAlign w:val="bottom"/>
          </w:tcPr>
          <w:p>
            <w:pPr>
              <w:spacing w:after="0"/>
              <w:rPr>
                <w:sz w:val="1"/>
                <w:szCs w:val="1"/>
                <w:color w:val="auto"/>
              </w:rPr>
            </w:pPr>
          </w:p>
        </w:tc>
      </w:tr>
      <w:tr>
        <w:trPr>
          <w:trHeight w:val="212"/>
        </w:trPr>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flow</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2"/>
          </w:tcPr>
          <w:p>
            <w:pPr>
              <w:ind w:left="20"/>
              <w:spacing w:after="0"/>
              <w:rPr>
                <w:sz w:val="20"/>
                <w:szCs w:val="20"/>
                <w:color w:val="auto"/>
              </w:rPr>
            </w:pPr>
            <w:r>
              <w:rPr>
                <w:rFonts w:ascii="Arial" w:cs="Arial" w:eastAsia="Arial" w:hAnsi="Arial"/>
                <w:sz w:val="16"/>
                <w:szCs w:val="16"/>
                <w:color w:val="auto"/>
              </w:rPr>
              <w:t>Prepayment rate</w:t>
            </w:r>
          </w:p>
        </w:tc>
        <w:tc>
          <w:tcPr>
            <w:tcW w:w="1400" w:type="dxa"/>
            <w:vAlign w:val="bottom"/>
          </w:tcPr>
          <w:p>
            <w:pPr>
              <w:jc w:val="right"/>
              <w:spacing w:after="0"/>
              <w:rPr>
                <w:sz w:val="20"/>
                <w:szCs w:val="20"/>
                <w:color w:val="auto"/>
              </w:rPr>
            </w:pPr>
            <w:r>
              <w:rPr>
                <w:rFonts w:ascii="Arial" w:cs="Arial" w:eastAsia="Arial" w:hAnsi="Arial"/>
                <w:sz w:val="16"/>
                <w:szCs w:val="16"/>
                <w:color w:val="auto"/>
              </w:rPr>
              <w:t>3.0 - 34.3</w:t>
            </w:r>
          </w:p>
        </w:tc>
        <w:tc>
          <w:tcPr>
            <w:tcW w:w="10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17.9</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2.7 - 33.6</w:t>
            </w:r>
          </w:p>
        </w:tc>
        <w:tc>
          <w:tcPr>
            <w:tcW w:w="10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169"/>
        </w:trPr>
        <w:tc>
          <w:tcPr>
            <w:tcW w:w="242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Residential mortgage servicing</w:t>
            </w:r>
          </w:p>
        </w:tc>
        <w:tc>
          <w:tcPr>
            <w:tcW w:w="1320" w:type="dxa"/>
            <w:vAlign w:val="bottom"/>
            <w:gridSpan w:val="2"/>
            <w:shd w:val="clear" w:color="auto" w:fill="CCEEFF"/>
          </w:tcPr>
          <w:p>
            <w:pPr>
              <w:spacing w:after="0" w:line="169" w:lineRule="exact"/>
              <w:rPr>
                <w:sz w:val="20"/>
                <w:szCs w:val="20"/>
                <w:color w:val="auto"/>
              </w:rPr>
            </w:pPr>
            <w:r>
              <w:rPr>
                <w:rFonts w:ascii="Arial" w:cs="Arial" w:eastAsia="Arial" w:hAnsi="Arial"/>
                <w:sz w:val="16"/>
                <w:szCs w:val="16"/>
                <w:color w:val="auto"/>
              </w:rPr>
              <w:t>Discounted cash</w:t>
            </w:r>
          </w:p>
        </w:tc>
        <w:tc>
          <w:tcPr>
            <w:tcW w:w="212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Discount rate</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10.0 - 11.0</w:t>
            </w:r>
          </w:p>
        </w:tc>
        <w:tc>
          <w:tcPr>
            <w:tcW w:w="1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10.0 - 11.0</w:t>
            </w:r>
          </w:p>
        </w:tc>
        <w:tc>
          <w:tcPr>
            <w:tcW w:w="1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2"/>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rights</w:t>
            </w:r>
          </w:p>
        </w:tc>
        <w:tc>
          <w:tcPr>
            <w:tcW w:w="1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flow</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2"/>
          </w:tcPr>
          <w:p>
            <w:pPr>
              <w:ind w:left="20"/>
              <w:spacing w:after="0"/>
              <w:rPr>
                <w:sz w:val="20"/>
                <w:szCs w:val="20"/>
                <w:color w:val="auto"/>
              </w:rPr>
            </w:pPr>
            <w:r>
              <w:rPr>
                <w:rFonts w:ascii="Arial" w:cs="Arial" w:eastAsia="Arial" w:hAnsi="Arial"/>
                <w:sz w:val="16"/>
                <w:szCs w:val="16"/>
                <w:color w:val="auto"/>
              </w:rPr>
              <w:t>Prepayment rate</w:t>
            </w:r>
          </w:p>
        </w:tc>
        <w:tc>
          <w:tcPr>
            <w:tcW w:w="1400" w:type="dxa"/>
            <w:vAlign w:val="bottom"/>
          </w:tcPr>
          <w:p>
            <w:pPr>
              <w:jc w:val="right"/>
              <w:spacing w:after="0"/>
              <w:rPr>
                <w:sz w:val="20"/>
                <w:szCs w:val="20"/>
                <w:color w:val="auto"/>
              </w:rPr>
            </w:pPr>
            <w:r>
              <w:rPr>
                <w:rFonts w:ascii="Arial" w:cs="Arial" w:eastAsia="Arial" w:hAnsi="Arial"/>
                <w:sz w:val="16"/>
                <w:szCs w:val="16"/>
                <w:color w:val="auto"/>
              </w:rPr>
              <w:t>10.3 - 18.0</w:t>
            </w:r>
          </w:p>
        </w:tc>
        <w:tc>
          <w:tcPr>
            <w:tcW w:w="10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13.7</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8.7 - 19.5</w:t>
            </w:r>
          </w:p>
        </w:tc>
        <w:tc>
          <w:tcPr>
            <w:tcW w:w="10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169"/>
        </w:trPr>
        <w:tc>
          <w:tcPr>
            <w:tcW w:w="242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Corporate bonds</w:t>
            </w:r>
          </w:p>
        </w:tc>
        <w:tc>
          <w:tcPr>
            <w:tcW w:w="1320" w:type="dxa"/>
            <w:vAlign w:val="bottom"/>
            <w:gridSpan w:val="2"/>
            <w:shd w:val="clear" w:color="auto" w:fill="CCEEFF"/>
          </w:tcPr>
          <w:p>
            <w:pPr>
              <w:spacing w:after="0" w:line="169" w:lineRule="exact"/>
              <w:rPr>
                <w:sz w:val="20"/>
                <w:szCs w:val="20"/>
                <w:color w:val="auto"/>
              </w:rPr>
            </w:pPr>
            <w:r>
              <w:rPr>
                <w:rFonts w:ascii="Arial" w:cs="Arial" w:eastAsia="Arial" w:hAnsi="Arial"/>
                <w:sz w:val="16"/>
                <w:szCs w:val="16"/>
                <w:color w:val="auto"/>
              </w:rPr>
              <w:t>Indicative bid</w:t>
            </w:r>
          </w:p>
        </w:tc>
        <w:tc>
          <w:tcPr>
            <w:tcW w:w="212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Multiple factors, including</w:t>
            </w: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spacing w:after="0" w:line="162" w:lineRule="exact"/>
              <w:rPr>
                <w:sz w:val="20"/>
                <w:szCs w:val="20"/>
                <w:color w:val="auto"/>
              </w:rPr>
            </w:pPr>
            <w:r>
              <w:rPr>
                <w:rFonts w:ascii="Arial" w:cs="Arial" w:eastAsia="Arial" w:hAnsi="Arial"/>
                <w:sz w:val="16"/>
                <w:szCs w:val="16"/>
                <w:color w:val="auto"/>
              </w:rPr>
              <w:t>provided by a</w:t>
            </w:r>
          </w:p>
        </w:tc>
        <w:tc>
          <w:tcPr>
            <w:tcW w:w="212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6"/>
                <w:szCs w:val="16"/>
                <w:color w:val="auto"/>
              </w:rPr>
              <w:t>but not limited to, current</w:t>
            </w: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spacing w:after="0" w:line="162" w:lineRule="exact"/>
              <w:rPr>
                <w:sz w:val="20"/>
                <w:szCs w:val="20"/>
                <w:color w:val="auto"/>
              </w:rPr>
            </w:pPr>
            <w:r>
              <w:rPr>
                <w:rFonts w:ascii="Arial" w:cs="Arial" w:eastAsia="Arial" w:hAnsi="Arial"/>
                <w:sz w:val="16"/>
                <w:szCs w:val="16"/>
                <w:color w:val="auto"/>
              </w:rPr>
              <w:t>broker</w:t>
            </w:r>
          </w:p>
        </w:tc>
        <w:tc>
          <w:tcPr>
            <w:tcW w:w="212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6"/>
                <w:szCs w:val="16"/>
                <w:color w:val="auto"/>
              </w:rPr>
              <w:t>operations, financial</w:t>
            </w: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12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6"/>
                <w:szCs w:val="16"/>
                <w:color w:val="auto"/>
              </w:rPr>
              <w:t>condition, cash flows, and</w:t>
            </w: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12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6"/>
                <w:szCs w:val="16"/>
                <w:color w:val="auto"/>
              </w:rPr>
              <w:t>similar financing transactions</w:t>
            </w: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gridSpan w:val="2"/>
            <w:vMerge w:val="restart"/>
            <w:shd w:val="clear" w:color="auto" w:fill="CCEEFF"/>
          </w:tcPr>
          <w:p>
            <w:pPr>
              <w:ind w:left="1120"/>
              <w:spacing w:after="0"/>
              <w:rPr>
                <w:sz w:val="20"/>
                <w:szCs w:val="20"/>
                <w:color w:val="auto"/>
              </w:rPr>
            </w:pPr>
            <w:r>
              <w:rPr>
                <w:rFonts w:ascii="Arial" w:cs="Arial" w:eastAsia="Arial" w:hAnsi="Arial"/>
                <w:sz w:val="16"/>
                <w:szCs w:val="16"/>
                <w:color w:val="auto"/>
              </w:rPr>
              <w:t>N/A</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2"/>
        </w:trPr>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executed in the market</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spacing w:after="0" w:line="166" w:lineRule="exact"/>
              <w:rPr>
                <w:sz w:val="20"/>
                <w:szCs w:val="20"/>
                <w:color w:val="auto"/>
              </w:rPr>
            </w:pPr>
            <w:r>
              <w:rPr>
                <w:rFonts w:ascii="Arial" w:cs="Arial" w:eastAsia="Arial" w:hAnsi="Arial"/>
                <w:sz w:val="16"/>
                <w:szCs w:val="16"/>
                <w:color w:val="auto"/>
              </w:rPr>
              <w:t>Discounted cash</w:t>
            </w:r>
          </w:p>
        </w:tc>
        <w:tc>
          <w:tcPr>
            <w:tcW w:w="212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Discount rate</w:t>
            </w: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6.7 - 6.9</w:t>
            </w:r>
          </w:p>
        </w:tc>
        <w:tc>
          <w:tcPr>
            <w:tcW w:w="100" w:type="dxa"/>
            <w:vAlign w:val="bottom"/>
          </w:tcPr>
          <w:p>
            <w:pPr>
              <w:spacing w:after="0"/>
              <w:rPr>
                <w:sz w:val="14"/>
                <w:szCs w:val="14"/>
                <w:color w:val="auto"/>
              </w:rPr>
            </w:pPr>
          </w:p>
        </w:tc>
        <w:tc>
          <w:tcPr>
            <w:tcW w:w="1120" w:type="dxa"/>
            <w:vAlign w:val="bottom"/>
            <w:vMerge w:val="restart"/>
          </w:tcPr>
          <w:p>
            <w:pPr>
              <w:jc w:val="right"/>
              <w:ind w:right="119"/>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6"/>
                <w:szCs w:val="16"/>
                <w:color w:val="auto"/>
              </w:rPr>
              <w:t>flow</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Derivative assets - mortgage</w:t>
            </w:r>
          </w:p>
        </w:tc>
        <w:tc>
          <w:tcPr>
            <w:tcW w:w="1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Internal model</w:t>
            </w:r>
          </w:p>
        </w:tc>
        <w:tc>
          <w:tcPr>
            <w:tcW w:w="2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Pull through rate</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49.8 - 100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85.2</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65.6 - 100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83.9</w:t>
            </w:r>
          </w:p>
        </w:tc>
        <w:tc>
          <w:tcPr>
            <w:tcW w:w="0" w:type="dxa"/>
            <w:vAlign w:val="bottom"/>
          </w:tcPr>
          <w:p>
            <w:pPr>
              <w:spacing w:after="0"/>
              <w:rPr>
                <w:sz w:val="1"/>
                <w:szCs w:val="1"/>
                <w:color w:val="auto"/>
              </w:rPr>
            </w:pPr>
          </w:p>
        </w:tc>
      </w:tr>
      <w:tr>
        <w:trPr>
          <w:trHeight w:val="166"/>
        </w:trPr>
        <w:tc>
          <w:tcPr>
            <w:tcW w:w="242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Derivative assets and liabilities -</w:t>
            </w:r>
          </w:p>
        </w:tc>
        <w:tc>
          <w:tcPr>
            <w:tcW w:w="1320" w:type="dxa"/>
            <w:vAlign w:val="bottom"/>
            <w:gridSpan w:val="2"/>
          </w:tcPr>
          <w:p>
            <w:pPr>
              <w:spacing w:after="0" w:line="166" w:lineRule="exact"/>
              <w:rPr>
                <w:sz w:val="20"/>
                <w:szCs w:val="20"/>
                <w:color w:val="auto"/>
              </w:rPr>
            </w:pPr>
            <w:r>
              <w:rPr>
                <w:rFonts w:ascii="Arial" w:cs="Arial" w:eastAsia="Arial" w:hAnsi="Arial"/>
                <w:sz w:val="16"/>
                <w:szCs w:val="16"/>
                <w:color w:val="auto"/>
              </w:rPr>
              <w:t>Dealer priced</w:t>
            </w:r>
          </w:p>
        </w:tc>
        <w:tc>
          <w:tcPr>
            <w:tcW w:w="212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Dealer priced</w:t>
            </w:r>
          </w:p>
        </w:tc>
        <w:tc>
          <w:tcPr>
            <w:tcW w:w="1500" w:type="dxa"/>
            <w:vAlign w:val="bottom"/>
            <w:gridSpan w:val="2"/>
            <w:vMerge w:val="restart"/>
          </w:tcPr>
          <w:p>
            <w:pPr>
              <w:ind w:left="1100"/>
              <w:spacing w:after="0"/>
              <w:rPr>
                <w:sz w:val="20"/>
                <w:szCs w:val="20"/>
                <w:color w:val="auto"/>
              </w:rPr>
            </w:pPr>
            <w:r>
              <w:rPr>
                <w:rFonts w:ascii="Arial" w:cs="Arial" w:eastAsia="Arial" w:hAnsi="Arial"/>
                <w:sz w:val="16"/>
                <w:szCs w:val="16"/>
                <w:color w:val="auto"/>
              </w:rPr>
              <w:t>N/A</w:t>
            </w:r>
          </w:p>
        </w:tc>
        <w:tc>
          <w:tcPr>
            <w:tcW w:w="1240" w:type="dxa"/>
            <w:vAlign w:val="bottom"/>
            <w:gridSpan w:val="2"/>
            <w:vMerge w:val="restart"/>
          </w:tcPr>
          <w:p>
            <w:pPr>
              <w:ind w:left="820"/>
              <w:spacing w:after="0"/>
              <w:rPr>
                <w:sz w:val="20"/>
                <w:szCs w:val="20"/>
                <w:color w:val="auto"/>
              </w:rPr>
            </w:pPr>
            <w:r>
              <w:rPr>
                <w:rFonts w:ascii="Arial" w:cs="Arial" w:eastAsia="Arial" w:hAnsi="Arial"/>
                <w:sz w:val="16"/>
                <w:szCs w:val="16"/>
                <w:color w:val="auto"/>
              </w:rPr>
              <w:t>N/A</w:t>
            </w:r>
          </w:p>
        </w:tc>
        <w:tc>
          <w:tcPr>
            <w:tcW w:w="1520" w:type="dxa"/>
            <w:vAlign w:val="bottom"/>
            <w:gridSpan w:val="2"/>
            <w:vMerge w:val="restart"/>
          </w:tcPr>
          <w:p>
            <w:pPr>
              <w:ind w:left="1120"/>
              <w:spacing w:after="0"/>
              <w:rPr>
                <w:sz w:val="20"/>
                <w:szCs w:val="20"/>
                <w:color w:val="auto"/>
              </w:rPr>
            </w:pPr>
            <w:r>
              <w:rPr>
                <w:rFonts w:ascii="Arial" w:cs="Arial" w:eastAsia="Arial" w:hAnsi="Arial"/>
                <w:sz w:val="16"/>
                <w:szCs w:val="16"/>
                <w:color w:val="auto"/>
              </w:rPr>
              <w:t>N/A</w:t>
            </w: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6"/>
        </w:trPr>
        <w:tc>
          <w:tcPr>
            <w:tcW w:w="2420" w:type="dxa"/>
            <w:vAlign w:val="bottom"/>
            <w:gridSpan w:val="2"/>
          </w:tcPr>
          <w:p>
            <w:pPr>
              <w:ind w:left="20"/>
              <w:spacing w:after="0"/>
              <w:rPr>
                <w:sz w:val="20"/>
                <w:szCs w:val="20"/>
                <w:color w:val="auto"/>
              </w:rPr>
            </w:pPr>
            <w:r>
              <w:rPr>
                <w:rFonts w:ascii="Arial" w:cs="Arial" w:eastAsia="Arial" w:hAnsi="Arial"/>
                <w:sz w:val="16"/>
                <w:szCs w:val="16"/>
                <w:color w:val="auto"/>
              </w:rPr>
              <w:t>other</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vMerge w:val="continue"/>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Fair Value Option</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United records mortgage loans held for sale at fair value under the fair value option. Interest income on these loans is calculated based on the note rate of the loan and is recorded in interest revenue. The following tables present the fair value and outstanding principal balance of these loans, as well as the gain or loss recognized resulting from the change in fair value for the periods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Mortgage Loans Held for Sale</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32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320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June 30, 2021</w:t>
            </w:r>
          </w:p>
        </w:tc>
        <w:tc>
          <w:tcPr>
            <w:tcW w:w="5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840" w:type="dxa"/>
            <w:vAlign w:val="bottom"/>
            <w:tcBorders>
              <w:top w:val="single" w:sz="8" w:color="auto"/>
              <w:bottom w:val="single" w:sz="8" w:color="auto"/>
            </w:tcBorders>
            <w:gridSpan w:val="4"/>
          </w:tcPr>
          <w:p>
            <w:pPr>
              <w:jc w:val="center"/>
              <w:ind w:right="339"/>
              <w:spacing w:after="0"/>
              <w:rPr>
                <w:sz w:val="20"/>
                <w:szCs w:val="20"/>
                <w:color w:val="auto"/>
              </w:rPr>
            </w:pPr>
            <w:r>
              <w:rPr>
                <w:rFonts w:ascii="Arial" w:cs="Arial" w:eastAsia="Arial" w:hAnsi="Arial"/>
                <w:sz w:val="16"/>
                <w:szCs w:val="16"/>
                <w:b w:val="1"/>
                <w:bCs w:val="1"/>
                <w:color w:val="auto"/>
                <w:w w:val="90"/>
              </w:rPr>
              <w:t>December 31, 2020</w:t>
            </w:r>
          </w:p>
        </w:tc>
        <w:tc>
          <w:tcPr>
            <w:tcW w:w="1720" w:type="dxa"/>
            <w:vAlign w:val="bottom"/>
            <w:tcBorders>
              <w:bottom w:val="single" w:sz="8" w:color="CCEEFF"/>
            </w:tcBorders>
            <w:gridSpan w:val="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principal balance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ind w:left="80"/>
              <w:spacing w:after="0"/>
              <w:rPr>
                <w:sz w:val="20"/>
                <w:szCs w:val="20"/>
                <w:color w:val="auto"/>
              </w:rPr>
            </w:pPr>
            <w:r>
              <w:rPr>
                <w:rFonts w:ascii="Arial" w:cs="Arial" w:eastAsia="Arial" w:hAnsi="Arial"/>
                <w:sz w:val="16"/>
                <w:szCs w:val="16"/>
                <w:color w:val="auto"/>
                <w:w w:val="98"/>
              </w:rPr>
              <w:t>94,229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99,746</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0" w:type="dxa"/>
            <w:vAlign w:val="bottom"/>
          </w:tcPr>
          <w:p>
            <w:pPr>
              <w:ind w:left="20"/>
              <w:spacing w:after="0"/>
              <w:rPr>
                <w:sz w:val="20"/>
                <w:szCs w:val="20"/>
                <w:color w:val="auto"/>
              </w:rPr>
            </w:pPr>
            <w:r>
              <w:rPr>
                <w:rFonts w:ascii="Arial" w:cs="Arial" w:eastAsia="Arial" w:hAnsi="Arial"/>
                <w:sz w:val="16"/>
                <w:szCs w:val="16"/>
                <w:color w:val="auto"/>
              </w:rPr>
              <w:t>Fair value</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6"/>
                <w:szCs w:val="16"/>
                <w:color w:val="auto"/>
                <w:w w:val="98"/>
              </w:rPr>
              <w:t>98,194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3"/>
              </w:rPr>
              <w:t>105,433</w:t>
            </w: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1"/>
        </w:trPr>
        <w:tc>
          <w:tcPr>
            <w:tcW w:w="13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960" w:type="dxa"/>
            <w:vAlign w:val="bottom"/>
            <w:tcBorders>
              <w:bottom w:val="single" w:sz="8" w:color="auto"/>
            </w:tcBorders>
            <w:gridSpan w:val="11"/>
          </w:tcPr>
          <w:p>
            <w:pPr>
              <w:jc w:val="right"/>
              <w:spacing w:after="0"/>
              <w:rPr>
                <w:sz w:val="20"/>
                <w:szCs w:val="20"/>
                <w:color w:val="auto"/>
              </w:rPr>
            </w:pPr>
            <w:r>
              <w:rPr>
                <w:rFonts w:ascii="Arial" w:cs="Arial" w:eastAsia="Arial" w:hAnsi="Arial"/>
                <w:sz w:val="16"/>
                <w:szCs w:val="16"/>
                <w:b w:val="1"/>
                <w:bCs w:val="1"/>
                <w:color w:val="auto"/>
              </w:rPr>
              <w:t>Gain (Loss) Recognized on Mortgage Loans Held for Sale</w:t>
            </w: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0" w:type="dxa"/>
            <w:vAlign w:val="bottom"/>
            <w:vMerge w:val="restart"/>
          </w:tcPr>
          <w:p>
            <w:pPr>
              <w:ind w:left="1160"/>
              <w:spacing w:after="0"/>
              <w:rPr>
                <w:sz w:val="20"/>
                <w:szCs w:val="20"/>
                <w:color w:val="auto"/>
              </w:rPr>
            </w:pPr>
            <w:r>
              <w:rPr>
                <w:rFonts w:ascii="Arial" w:cs="Arial" w:eastAsia="Arial" w:hAnsi="Arial"/>
                <w:sz w:val="16"/>
                <w:szCs w:val="16"/>
                <w:b w:val="1"/>
                <w:bCs w:val="1"/>
                <w:color w:val="auto"/>
              </w:rPr>
              <w:t>Location</w:t>
            </w:r>
          </w:p>
        </w:tc>
        <w:tc>
          <w:tcPr>
            <w:tcW w:w="120" w:type="dxa"/>
            <w:vAlign w:val="bottom"/>
          </w:tcPr>
          <w:p>
            <w:pPr>
              <w:spacing w:after="0"/>
              <w:rPr>
                <w:sz w:val="13"/>
                <w:szCs w:val="13"/>
                <w:color w:val="auto"/>
              </w:rPr>
            </w:pPr>
          </w:p>
        </w:tc>
        <w:tc>
          <w:tcPr>
            <w:tcW w:w="2220" w:type="dxa"/>
            <w:vAlign w:val="bottom"/>
            <w:gridSpan w:val="6"/>
          </w:tcPr>
          <w:p>
            <w:pPr>
              <w:jc w:val="center"/>
              <w:ind w:left="59"/>
              <w:spacing w:after="0" w:line="158" w:lineRule="exact"/>
              <w:rPr>
                <w:sz w:val="20"/>
                <w:szCs w:val="20"/>
                <w:color w:val="auto"/>
              </w:rPr>
            </w:pPr>
            <w:r>
              <w:rPr>
                <w:rFonts w:ascii="Arial" w:cs="Arial" w:eastAsia="Arial" w:hAnsi="Arial"/>
                <w:sz w:val="16"/>
                <w:szCs w:val="16"/>
                <w:b w:val="1"/>
                <w:bCs w:val="1"/>
                <w:color w:val="auto"/>
                <w:w w:val="93"/>
              </w:rPr>
              <w:t>Three Months Ended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40" w:type="dxa"/>
            <w:vAlign w:val="bottom"/>
            <w:gridSpan w:val="5"/>
          </w:tcPr>
          <w:p>
            <w:pPr>
              <w:jc w:val="center"/>
              <w:ind w:right="160"/>
              <w:spacing w:after="0" w:line="158" w:lineRule="exact"/>
              <w:rPr>
                <w:sz w:val="20"/>
                <w:szCs w:val="20"/>
                <w:color w:val="auto"/>
              </w:rPr>
            </w:pPr>
            <w:r>
              <w:rPr>
                <w:rFonts w:ascii="Arial" w:cs="Arial" w:eastAsia="Arial" w:hAnsi="Arial"/>
                <w:sz w:val="16"/>
                <w:szCs w:val="16"/>
                <w:b w:val="1"/>
                <w:bCs w:val="1"/>
                <w:color w:val="auto"/>
                <w:w w:val="92"/>
              </w:rPr>
              <w:t>Six Months Ended</w:t>
            </w: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June 30,</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60" w:type="dxa"/>
            <w:vAlign w:val="bottom"/>
            <w:gridSpan w:val="6"/>
          </w:tcPr>
          <w:p>
            <w:pPr>
              <w:jc w:val="center"/>
              <w:ind w:right="1460"/>
              <w:spacing w:after="0"/>
              <w:rPr>
                <w:sz w:val="20"/>
                <w:szCs w:val="20"/>
                <w:color w:val="auto"/>
              </w:rPr>
            </w:pPr>
            <w:r>
              <w:rPr>
                <w:rFonts w:ascii="Arial" w:cs="Arial" w:eastAsia="Arial" w:hAnsi="Arial"/>
                <w:sz w:val="16"/>
                <w:szCs w:val="16"/>
                <w:b w:val="1"/>
                <w:bCs w:val="1"/>
                <w:color w:val="auto"/>
                <w:w w:val="90"/>
              </w:rPr>
              <w:t>June 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2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CCEEFF"/>
            </w:tcBorders>
          </w:tcPr>
          <w:p>
            <w:pPr>
              <w:spacing w:after="0"/>
              <w:rPr>
                <w:sz w:val="18"/>
                <w:szCs w:val="18"/>
                <w:color w:val="auto"/>
              </w:rPr>
            </w:pPr>
          </w:p>
        </w:tc>
        <w:tc>
          <w:tcPr>
            <w:tcW w:w="320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3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6"/>
                <w:szCs w:val="16"/>
                <w:b w:val="1"/>
                <w:bCs w:val="1"/>
                <w:color w:val="auto"/>
              </w:rPr>
              <w:t>2019</w:t>
            </w:r>
          </w:p>
        </w:tc>
        <w:tc>
          <w:tcPr>
            <w:tcW w:w="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00" w:type="dxa"/>
            <w:vAlign w:val="bottom"/>
            <w:tcBorders>
              <w:top w:val="single" w:sz="8" w:color="auto"/>
              <w:bottom w:val="single" w:sz="8" w:color="auto"/>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320" w:type="dxa"/>
            <w:vAlign w:val="bottom"/>
            <w:shd w:val="clear" w:color="auto" w:fill="CCEEFF"/>
          </w:tcPr>
          <w:p>
            <w:pPr>
              <w:spacing w:after="0"/>
              <w:rPr>
                <w:sz w:val="18"/>
                <w:szCs w:val="18"/>
                <w:color w:val="auto"/>
              </w:rPr>
            </w:pPr>
          </w:p>
        </w:tc>
        <w:tc>
          <w:tcPr>
            <w:tcW w:w="358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Mortgage loan gains and other related fees</w:t>
            </w:r>
          </w:p>
        </w:tc>
        <w:tc>
          <w:tcPr>
            <w:tcW w:w="900" w:type="dxa"/>
            <w:vAlign w:val="bottom"/>
            <w:gridSpan w:val="2"/>
            <w:shd w:val="clear" w:color="auto" w:fill="CCEEFF"/>
          </w:tcPr>
          <w:p>
            <w:pPr>
              <w:jc w:val="right"/>
              <w:ind w:right="59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521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1,546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3,271</w:t>
            </w: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Changes in fair value were mostly offset by hedging activities. An immaterial portion of these amounts was attributable to changes in instrument-specific credit risk.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Assets and Liabilities Measured at Fair Value on a Nonrecurring Basis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United may be required, from time to time, to measure certain assets at fair value on a nonrecurring basis. These adjustments to fair value usually result from the application of the lower of the amortized cost or fair value accounting or write-downs of individual assets due to impairment. The following table presents the fair value hierarchy and carrying value of assets that were still held as of June 30, 2021 and December 31, 2020, for which a nonrecurring fair value adjustment was recorded during the year-to-date periods presented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7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Arial" w:cs="Arial" w:eastAsia="Arial" w:hAnsi="Arial"/>
                <w:sz w:val="16"/>
                <w:szCs w:val="16"/>
                <w:b w:val="1"/>
                <w:bCs w:val="1"/>
                <w:color w:val="auto"/>
              </w:rPr>
              <w:t>Level 1</w:t>
            </w:r>
          </w:p>
        </w:tc>
        <w:tc>
          <w:tcPr>
            <w:tcW w:w="160" w:type="dxa"/>
            <w:vAlign w:val="bottom"/>
          </w:tcPr>
          <w:p>
            <w:pPr>
              <w:spacing w:after="0"/>
              <w:rPr>
                <w:sz w:val="18"/>
                <w:szCs w:val="18"/>
                <w:color w:val="auto"/>
              </w:rPr>
            </w:pPr>
          </w:p>
        </w:tc>
        <w:tc>
          <w:tcPr>
            <w:tcW w:w="900" w:type="dxa"/>
            <w:vAlign w:val="bottom"/>
            <w:gridSpan w:val="2"/>
          </w:tcPr>
          <w:p>
            <w:pPr>
              <w:ind w:left="6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Arial" w:cs="Arial" w:eastAsia="Arial" w:hAnsi="Arial"/>
                <w:sz w:val="16"/>
                <w:szCs w:val="16"/>
                <w:b w:val="1"/>
                <w:bCs w:val="1"/>
                <w:color w:val="auto"/>
              </w:rPr>
              <w:t>Level 3</w:t>
            </w:r>
          </w:p>
        </w:tc>
        <w:tc>
          <w:tcPr>
            <w:tcW w:w="200" w:type="dxa"/>
            <w:vAlign w:val="bottom"/>
          </w:tcPr>
          <w:p>
            <w:pPr>
              <w:spacing w:after="0"/>
              <w:rPr>
                <w:sz w:val="18"/>
                <w:szCs w:val="18"/>
                <w:color w:val="auto"/>
              </w:rPr>
            </w:pPr>
          </w:p>
        </w:tc>
        <w:tc>
          <w:tcPr>
            <w:tcW w:w="2500" w:type="dxa"/>
            <w:vAlign w:val="bottom"/>
            <w:gridSpan w:val="2"/>
          </w:tcPr>
          <w:p>
            <w:pPr>
              <w:ind w:left="120"/>
              <w:spacing w:after="0"/>
              <w:rPr>
                <w:sz w:val="20"/>
                <w:szCs w:val="20"/>
                <w:color w:val="auto"/>
              </w:rPr>
            </w:pPr>
            <w:r>
              <w:rPr>
                <w:rFonts w:ascii="Arial" w:cs="Arial" w:eastAsia="Arial" w:hAnsi="Arial"/>
                <w:sz w:val="16"/>
                <w:szCs w:val="16"/>
                <w:b w:val="1"/>
                <w:bCs w:val="1"/>
                <w:color w:val="auto"/>
              </w:rPr>
              <w:t>Total</w:t>
            </w:r>
          </w:p>
        </w:tc>
      </w:tr>
      <w:tr>
        <w:trPr>
          <w:trHeight w:val="212"/>
        </w:trPr>
        <w:tc>
          <w:tcPr>
            <w:tcW w:w="170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June 30, 2021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spacing w:after="0"/>
              <w:rPr>
                <w:sz w:val="18"/>
                <w:szCs w:val="18"/>
                <w:color w:val="auto"/>
              </w:rPr>
            </w:pPr>
          </w:p>
        </w:tc>
      </w:tr>
      <w:tr>
        <w:trPr>
          <w:trHeight w:val="207"/>
        </w:trPr>
        <w:tc>
          <w:tcPr>
            <w:tcW w:w="1700" w:type="dxa"/>
            <w:vAlign w:val="bottom"/>
          </w:tcPr>
          <w:p>
            <w:pPr>
              <w:spacing w:after="0"/>
              <w:rPr>
                <w:sz w:val="17"/>
                <w:szCs w:val="17"/>
                <w:color w:val="auto"/>
              </w:rPr>
            </w:pPr>
          </w:p>
        </w:tc>
        <w:tc>
          <w:tcPr>
            <w:tcW w:w="3480" w:type="dxa"/>
            <w:vAlign w:val="bottom"/>
          </w:tcPr>
          <w:p>
            <w:pPr>
              <w:ind w:left="20"/>
              <w:spacing w:after="0"/>
              <w:rPr>
                <w:sz w:val="20"/>
                <w:szCs w:val="20"/>
                <w:color w:val="auto"/>
              </w:rPr>
            </w:pPr>
            <w:r>
              <w:rPr>
                <w:rFonts w:ascii="Arial" w:cs="Arial" w:eastAsia="Arial" w:hAnsi="Arial"/>
                <w:sz w:val="16"/>
                <w:szCs w:val="16"/>
                <w:color w:val="auto"/>
              </w:rPr>
              <w:t>Loans</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3,341</w:t>
            </w:r>
          </w:p>
        </w:tc>
        <w:tc>
          <w:tcPr>
            <w:tcW w:w="10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3,341</w:t>
            </w:r>
          </w:p>
        </w:tc>
        <w:tc>
          <w:tcPr>
            <w:tcW w:w="1720" w:type="dxa"/>
            <w:vAlign w:val="bottom"/>
          </w:tcPr>
          <w:p>
            <w:pPr>
              <w:spacing w:after="0"/>
              <w:rPr>
                <w:sz w:val="17"/>
                <w:szCs w:val="17"/>
                <w:color w:val="auto"/>
              </w:rPr>
            </w:pPr>
          </w:p>
        </w:tc>
      </w:tr>
      <w:tr>
        <w:trPr>
          <w:trHeight w:val="219"/>
        </w:trPr>
        <w:tc>
          <w:tcPr>
            <w:tcW w:w="1700" w:type="dxa"/>
            <w:vAlign w:val="bottom"/>
            <w:shd w:val="clear" w:color="auto" w:fill="CCEEFF"/>
          </w:tcPr>
          <w:p>
            <w:pPr>
              <w:spacing w:after="0"/>
              <w:rPr>
                <w:sz w:val="19"/>
                <w:szCs w:val="19"/>
                <w:color w:val="auto"/>
              </w:rPr>
            </w:pPr>
          </w:p>
        </w:tc>
        <w:tc>
          <w:tcPr>
            <w:tcW w:w="3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13"/>
        </w:trPr>
        <w:tc>
          <w:tcPr>
            <w:tcW w:w="1700" w:type="dxa"/>
            <w:vAlign w:val="bottom"/>
            <w:tcBorders>
              <w:bottom w:val="single" w:sz="8" w:color="CCEEFF"/>
            </w:tcBorders>
          </w:tcPr>
          <w:p>
            <w:pPr>
              <w:spacing w:after="0"/>
              <w:rPr>
                <w:sz w:val="18"/>
                <w:szCs w:val="18"/>
                <w:color w:val="auto"/>
              </w:rPr>
            </w:pPr>
          </w:p>
        </w:tc>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December 31, 2020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720" w:type="dxa"/>
            <w:vAlign w:val="bottom"/>
            <w:tcBorders>
              <w:bottom w:val="single" w:sz="8" w:color="CCEEFF"/>
            </w:tcBorders>
          </w:tcPr>
          <w:p>
            <w:pPr>
              <w:spacing w:after="0"/>
              <w:rPr>
                <w:sz w:val="18"/>
                <w:szCs w:val="18"/>
                <w:color w:val="auto"/>
              </w:rPr>
            </w:pPr>
          </w:p>
        </w:tc>
      </w:tr>
      <w:tr>
        <w:trPr>
          <w:trHeight w:val="212"/>
        </w:trPr>
        <w:tc>
          <w:tcPr>
            <w:tcW w:w="1700" w:type="dxa"/>
            <w:vAlign w:val="bottom"/>
            <w:shd w:val="clear" w:color="auto" w:fill="CCEEFF"/>
          </w:tcPr>
          <w:p>
            <w:pPr>
              <w:spacing w:after="0"/>
              <w:rPr>
                <w:sz w:val="18"/>
                <w:szCs w:val="18"/>
                <w:color w:val="auto"/>
              </w:rPr>
            </w:pPr>
          </w:p>
        </w:tc>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Loans</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29,404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29,404</w:t>
            </w:r>
          </w:p>
        </w:tc>
        <w:tc>
          <w:tcPr>
            <w:tcW w:w="1720" w:type="dxa"/>
            <w:vAlign w:val="bottom"/>
            <w:shd w:val="clear" w:color="auto" w:fill="CCEEFF"/>
          </w:tcPr>
          <w:p>
            <w:pPr>
              <w:spacing w:after="0"/>
              <w:rPr>
                <w:sz w:val="18"/>
                <w:szCs w:val="18"/>
                <w:color w:val="auto"/>
              </w:rPr>
            </w:pPr>
          </w:p>
        </w:tc>
      </w:tr>
    </w:tbl>
    <w:p>
      <w:pPr>
        <w:spacing w:after="0" w:line="32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Loans that are reported above as being measured at fair value on a nonrecurring basis are generally impaired loans that have either been partially charged off or have specific reserves assigned to them. Nonaccrual loans that are collateral dependent are generally written down to net realizable value, which reflects fair value less the estimated costs to sell. Specific reserves that are established based on appraised value of collateral are considered nonrecurring fair value adjustments as well. When the fair value of the collateral is based on an observable market price or a current appraised value, United records the impaired loan as nonrecurring Level 2. When an appraised value is not available or management determines the fair value of the collateral is further impaired below the appraised value and there is no observable market price, United records the impaired loan as nonrecurring Level 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Assets and Liabilities Not Measured at Fair Value</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financial instruments that have quoted market prices, those quotes are used to determine fair value. Financial instruments that have no defined maturity, have a remaining maturity of 180 days or less, or reprice frequently to a market rate, are assumed to have a fair value that approximates reported book value, after taking into consideration any applicable credit risk. If no market quotes are available, financial instruments are valued by discounting the expected cash flows using an estimated current market interest rate for the financial instrument. For off-balance sheet derivative instruments, fair value is estimated as the amount that United would receive or pay to terminate the contracts at the reporting date, taking into account the current unrealized gains or losses on open contracts.</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and cash equivalents and repurchase agreements have short maturities and therefore the carrying value approximates fair value. Due to the short-term settlement of accrued interest receivable and payable, the carrying amount closely approximates fair value.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Fair value estimates are made at a specific point in time, based on relevant market information and information about the financial instrument. These estimates do not reflect the premium or discount on any particular financial instrument that could result from the sale of United’s entire holdings. All estimates are inherently subjective in nature. Changes in assumptions could significantly affect the estimates.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Fair value estimates are based on existing on and off-balance sheet financial instruments without attempting to estimate the value of anticipated future business and the value of assets and liabilities that are not considered financial instruments. Significant assets and liabilities that are not considered financial instruments include the mortgage banking operation, brokerage network, deferred income taxes, premises and equipment and goodwill. In addition, the tax ramifications related to the realization of the unrealized gains and losses can have a significant effect on fair value estimates and have not been considered in the estimates.</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Off-balance sheet instruments (commitments to extend credit and standby letters of credit) for which draws can be reasonably predicted are generally short-term in maturity and are priced at variable rates. Therefore, the estimated fair value associated with these instruments is immaterial.</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carrying amount and fair values as of the dates indicated for other financial instruments that are not measured at fair value on a recurring basis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5"/>
          </w:tcPr>
          <w:p>
            <w:pPr>
              <w:ind w:left="580"/>
              <w:spacing w:after="0"/>
              <w:rPr>
                <w:sz w:val="20"/>
                <w:szCs w:val="20"/>
                <w:color w:val="auto"/>
              </w:rPr>
            </w:pPr>
            <w:r>
              <w:rPr>
                <w:rFonts w:ascii="Arial" w:cs="Arial" w:eastAsia="Arial" w:hAnsi="Arial"/>
                <w:sz w:val="16"/>
                <w:szCs w:val="16"/>
                <w:b w:val="1"/>
                <w:bCs w:val="1"/>
                <w:color w:val="auto"/>
              </w:rPr>
              <w:t>Fair Value Level</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13"/>
        </w:trPr>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6"/>
                <w:szCs w:val="16"/>
                <w:b w:val="1"/>
                <w:bCs w:val="1"/>
                <w:color w:val="auto"/>
              </w:rPr>
              <w:t>Carrying Amount</w:t>
            </w:r>
          </w:p>
        </w:tc>
        <w:tc>
          <w:tcPr>
            <w:tcW w:w="260" w:type="dxa"/>
            <w:vAlign w:val="bottom"/>
          </w:tcPr>
          <w:p>
            <w:pPr>
              <w:spacing w:after="0"/>
              <w:rPr>
                <w:sz w:val="18"/>
                <w:szCs w:val="18"/>
                <w:color w:val="auto"/>
              </w:rPr>
            </w:pPr>
          </w:p>
        </w:tc>
        <w:tc>
          <w:tcPr>
            <w:tcW w:w="118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1</w:t>
            </w:r>
          </w:p>
        </w:tc>
        <w:tc>
          <w:tcPr>
            <w:tcW w:w="260" w:type="dxa"/>
            <w:vAlign w:val="bottom"/>
          </w:tcPr>
          <w:p>
            <w:pPr>
              <w:spacing w:after="0"/>
              <w:rPr>
                <w:sz w:val="18"/>
                <w:szCs w:val="18"/>
                <w:color w:val="auto"/>
              </w:rPr>
            </w:pPr>
          </w:p>
        </w:tc>
        <w:tc>
          <w:tcPr>
            <w:tcW w:w="120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2</w:t>
            </w:r>
          </w:p>
        </w:tc>
        <w:tc>
          <w:tcPr>
            <w:tcW w:w="260" w:type="dxa"/>
            <w:vAlign w:val="bottom"/>
          </w:tcPr>
          <w:p>
            <w:pPr>
              <w:spacing w:after="0"/>
              <w:rPr>
                <w:sz w:val="18"/>
                <w:szCs w:val="18"/>
                <w:color w:val="auto"/>
              </w:rPr>
            </w:pPr>
          </w:p>
        </w:tc>
        <w:tc>
          <w:tcPr>
            <w:tcW w:w="120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3</w:t>
            </w:r>
          </w:p>
        </w:tc>
        <w:tc>
          <w:tcPr>
            <w:tcW w:w="30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b w:val="1"/>
                <w:bCs w:val="1"/>
                <w:color w:val="auto"/>
              </w:rPr>
              <w:t>Total</w:t>
            </w:r>
          </w:p>
        </w:tc>
      </w:tr>
      <w:tr>
        <w:trPr>
          <w:trHeight w:val="209"/>
        </w:trPr>
        <w:tc>
          <w:tcPr>
            <w:tcW w:w="384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June 30, 2021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r>
      <w:tr>
        <w:trPr>
          <w:trHeight w:val="209"/>
        </w:trPr>
        <w:tc>
          <w:tcPr>
            <w:tcW w:w="3840" w:type="dxa"/>
            <w:vAlign w:val="bottom"/>
          </w:tcPr>
          <w:p>
            <w:pPr>
              <w:ind w:left="20"/>
              <w:spacing w:after="0"/>
              <w:rPr>
                <w:sz w:val="20"/>
                <w:szCs w:val="20"/>
                <w:color w:val="auto"/>
              </w:rPr>
            </w:pPr>
            <w:r>
              <w:rPr>
                <w:rFonts w:ascii="Arial" w:cs="Arial" w:eastAsia="Arial" w:hAnsi="Arial"/>
                <w:sz w:val="16"/>
                <w:szCs w:val="16"/>
                <w:color w:val="auto"/>
              </w:rPr>
              <w:t>Assets: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3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HTM debt securities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852,404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861,488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861,488</w:t>
            </w:r>
          </w:p>
        </w:tc>
      </w:tr>
      <w:tr>
        <w:trPr>
          <w:trHeight w:val="213"/>
        </w:trPr>
        <w:tc>
          <w:tcPr>
            <w:tcW w:w="3840" w:type="dxa"/>
            <w:vAlign w:val="bottom"/>
          </w:tcPr>
          <w:p>
            <w:pPr>
              <w:ind w:left="140"/>
              <w:spacing w:after="0"/>
              <w:rPr>
                <w:sz w:val="20"/>
                <w:szCs w:val="20"/>
                <w:color w:val="auto"/>
              </w:rPr>
            </w:pPr>
            <w:r>
              <w:rPr>
                <w:rFonts w:ascii="Arial" w:cs="Arial" w:eastAsia="Arial" w:hAnsi="Arial"/>
                <w:sz w:val="16"/>
                <w:szCs w:val="16"/>
                <w:color w:val="auto"/>
              </w:rPr>
              <w:t>Loans and leases, net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11,279,130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11,263,533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11,263,533</w:t>
            </w:r>
          </w:p>
        </w:tc>
      </w:tr>
      <w:tr>
        <w:trPr>
          <w:trHeight w:val="219"/>
        </w:trPr>
        <w:tc>
          <w:tcPr>
            <w:tcW w:w="3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384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3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Deposits</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16,327,767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16,327,024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16,327,024</w:t>
            </w:r>
          </w:p>
        </w:tc>
      </w:tr>
      <w:tr>
        <w:trPr>
          <w:trHeight w:val="213"/>
        </w:trPr>
        <w:tc>
          <w:tcPr>
            <w:tcW w:w="3840" w:type="dxa"/>
            <w:vAlign w:val="bottom"/>
          </w:tcPr>
          <w:p>
            <w:pPr>
              <w:ind w:left="140"/>
              <w:spacing w:after="0"/>
              <w:rPr>
                <w:sz w:val="20"/>
                <w:szCs w:val="20"/>
                <w:color w:val="auto"/>
              </w:rPr>
            </w:pPr>
            <w:r>
              <w:rPr>
                <w:rFonts w:ascii="Arial" w:cs="Arial" w:eastAsia="Arial" w:hAnsi="Arial"/>
                <w:sz w:val="16"/>
                <w:szCs w:val="16"/>
                <w:color w:val="auto"/>
              </w:rPr>
              <w:t>Long-term debt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261,919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280,049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280,049</w:t>
            </w:r>
          </w:p>
        </w:tc>
      </w:tr>
      <w:tr>
        <w:trPr>
          <w:trHeight w:val="219"/>
        </w:trPr>
        <w:tc>
          <w:tcPr>
            <w:tcW w:w="3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December 31, 2020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r>
      <w:tr>
        <w:trPr>
          <w:trHeight w:val="212"/>
        </w:trPr>
        <w:tc>
          <w:tcPr>
            <w:tcW w:w="3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3"/>
        </w:trPr>
        <w:tc>
          <w:tcPr>
            <w:tcW w:w="3840" w:type="dxa"/>
            <w:vAlign w:val="bottom"/>
          </w:tcPr>
          <w:p>
            <w:pPr>
              <w:ind w:left="140"/>
              <w:spacing w:after="0"/>
              <w:rPr>
                <w:sz w:val="20"/>
                <w:szCs w:val="20"/>
                <w:color w:val="auto"/>
              </w:rPr>
            </w:pPr>
            <w:r>
              <w:rPr>
                <w:rFonts w:ascii="Arial" w:cs="Arial" w:eastAsia="Arial" w:hAnsi="Arial"/>
                <w:sz w:val="16"/>
                <w:szCs w:val="16"/>
                <w:color w:val="auto"/>
              </w:rPr>
              <w:t>HTM debt securities</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420,361</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437,193</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437,193</w:t>
            </w:r>
          </w:p>
        </w:tc>
      </w:tr>
      <w:tr>
        <w:trPr>
          <w:trHeight w:val="219"/>
        </w:trPr>
        <w:tc>
          <w:tcPr>
            <w:tcW w:w="3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Loans and leases, net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11,233,805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11,209,717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11,209,717</w:t>
            </w:r>
          </w:p>
        </w:tc>
      </w:tr>
      <w:tr>
        <w:trPr>
          <w:trHeight w:val="216"/>
        </w:trPr>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3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3"/>
        </w:trPr>
        <w:tc>
          <w:tcPr>
            <w:tcW w:w="3840" w:type="dxa"/>
            <w:vAlign w:val="bottom"/>
          </w:tcPr>
          <w:p>
            <w:pPr>
              <w:ind w:left="140"/>
              <w:spacing w:after="0"/>
              <w:rPr>
                <w:sz w:val="20"/>
                <w:szCs w:val="20"/>
                <w:color w:val="auto"/>
              </w:rPr>
            </w:pPr>
            <w:r>
              <w:rPr>
                <w:rFonts w:ascii="Arial" w:cs="Arial" w:eastAsia="Arial" w:hAnsi="Arial"/>
                <w:sz w:val="16"/>
                <w:szCs w:val="16"/>
                <w:color w:val="auto"/>
              </w:rPr>
              <w:t>Deposits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15,232,358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15,232,274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15,232,274</w:t>
            </w:r>
          </w:p>
        </w:tc>
      </w:tr>
      <w:tr>
        <w:trPr>
          <w:trHeight w:val="219"/>
        </w:trPr>
        <w:tc>
          <w:tcPr>
            <w:tcW w:w="3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Long-term debt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326,956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336,763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336,763</w:t>
            </w: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Common Stock</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second quarter of 2021, United amended its articles of incorporation to increase the number of authorized shares of common stock from 150 million to 200 million.</w:t>
      </w:r>
    </w:p>
    <w:p>
      <w:pPr>
        <w:spacing w:after="0" w:line="6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November of 2020, United’s Board of Directors re-authorized a common stock repurchase program to permit the repurchase of up to $50 million of its common stock. The program is scheduled to expire on the earlier of the repurchase of common stock having an aggregate purchase price of $50 million or December 31, 2021. During the three and six months ended June 30, 2021, 150,000 shares were repurchased. No shares were repurchased during the three months ended June 30, 2020. During the six months ended June 30, 2020, 826,482 shares were repurchased. As of June 30, 2021, United had remaining authorization to repurchase up to $44.9 million of outstanding common stock under the program.</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Stock-Based Compensation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United has an equity compensation plan that allows for grants of various share-based compensation. The general terms of the plan include a vesting period (usually four years) with an exercisable period not to exceed ten years. Certain restricted stock unit awards provide for accelerated vesting if there is a change in control (as defined in the plan document). As of June 30, 2021, 884,343 additional awards could be granted under the plan.</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restricted stock unit activity for the six months ended June 30, 2021.</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Weighted-</w:t>
            </w:r>
          </w:p>
        </w:tc>
        <w:tc>
          <w:tcPr>
            <w:tcW w:w="200" w:type="dxa"/>
            <w:vAlign w:val="bottom"/>
          </w:tcPr>
          <w:p>
            <w:pPr>
              <w:spacing w:after="0"/>
              <w:rPr>
                <w:sz w:val="16"/>
                <w:szCs w:val="16"/>
                <w:color w:val="auto"/>
              </w:rPr>
            </w:pPr>
          </w:p>
        </w:tc>
        <w:tc>
          <w:tcPr>
            <w:tcW w:w="1260" w:type="dxa"/>
            <w:vAlign w:val="bottom"/>
          </w:tcPr>
          <w:p>
            <w:pPr>
              <w:jc w:val="center"/>
              <w:ind w:right="119"/>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162"/>
        </w:trPr>
        <w:tc>
          <w:tcPr>
            <w:tcW w:w="6540" w:type="dxa"/>
            <w:vAlign w:val="bottom"/>
            <w:vMerge w:val="restart"/>
          </w:tcPr>
          <w:p>
            <w:pPr>
              <w:ind w:left="2240"/>
              <w:spacing w:after="0"/>
              <w:rPr>
                <w:sz w:val="20"/>
                <w:szCs w:val="20"/>
                <w:color w:val="auto"/>
              </w:rPr>
            </w:pPr>
            <w:r>
              <w:rPr>
                <w:rFonts w:ascii="Arial" w:cs="Arial" w:eastAsia="Arial" w:hAnsi="Arial"/>
                <w:sz w:val="16"/>
                <w:szCs w:val="16"/>
                <w:b w:val="1"/>
                <w:bCs w:val="1"/>
                <w:color w:val="auto"/>
              </w:rPr>
              <w:t>Restricted Stock Unit Awards</w:t>
            </w:r>
          </w:p>
        </w:tc>
        <w:tc>
          <w:tcPr>
            <w:tcW w:w="100" w:type="dxa"/>
            <w:vAlign w:val="bottom"/>
            <w:vMerge w:val="restart"/>
          </w:tcPr>
          <w:p>
            <w:pPr>
              <w:spacing w:after="0"/>
              <w:rPr>
                <w:sz w:val="14"/>
                <w:szCs w:val="14"/>
                <w:color w:val="auto"/>
              </w:rPr>
            </w:pPr>
          </w:p>
        </w:tc>
        <w:tc>
          <w:tcPr>
            <w:tcW w:w="146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3"/>
              </w:rPr>
              <w:t>Average Grant-</w:t>
            </w:r>
          </w:p>
        </w:tc>
        <w:tc>
          <w:tcPr>
            <w:tcW w:w="200" w:type="dxa"/>
            <w:vAlign w:val="bottom"/>
          </w:tcPr>
          <w:p>
            <w:pPr>
              <w:spacing w:after="0"/>
              <w:rPr>
                <w:sz w:val="14"/>
                <w:szCs w:val="14"/>
                <w:color w:val="auto"/>
              </w:rPr>
            </w:pPr>
          </w:p>
        </w:tc>
        <w:tc>
          <w:tcPr>
            <w:tcW w:w="1260" w:type="dxa"/>
            <w:vAlign w:val="bottom"/>
          </w:tcPr>
          <w:p>
            <w:pPr>
              <w:jc w:val="center"/>
              <w:ind w:right="119"/>
              <w:spacing w:after="0" w:line="162" w:lineRule="exact"/>
              <w:rPr>
                <w:sz w:val="20"/>
                <w:szCs w:val="20"/>
                <w:color w:val="auto"/>
              </w:rPr>
            </w:pPr>
            <w:r>
              <w:rPr>
                <w:rFonts w:ascii="Arial" w:cs="Arial" w:eastAsia="Arial" w:hAnsi="Arial"/>
                <w:sz w:val="16"/>
                <w:szCs w:val="16"/>
                <w:b w:val="1"/>
                <w:bCs w:val="1"/>
                <w:color w:val="auto"/>
                <w:w w:val="93"/>
              </w:rPr>
              <w:t>Intrinsic</w:t>
            </w:r>
          </w:p>
        </w:tc>
        <w:tc>
          <w:tcPr>
            <w:tcW w:w="0" w:type="dxa"/>
            <w:vAlign w:val="bottom"/>
          </w:tcPr>
          <w:p>
            <w:pPr>
              <w:spacing w:after="0"/>
              <w:rPr>
                <w:sz w:val="1"/>
                <w:szCs w:val="1"/>
                <w:color w:val="auto"/>
              </w:rPr>
            </w:pPr>
          </w:p>
        </w:tc>
      </w:tr>
      <w:tr>
        <w:trPr>
          <w:trHeight w:val="213"/>
        </w:trPr>
        <w:tc>
          <w:tcPr>
            <w:tcW w:w="65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5"/>
              </w:rPr>
              <w:t>Date Fair Value</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2"/>
              </w:rPr>
              <w:t>Value ($000)</w:t>
            </w:r>
          </w:p>
        </w:tc>
        <w:tc>
          <w:tcPr>
            <w:tcW w:w="0" w:type="dxa"/>
            <w:vAlign w:val="bottom"/>
          </w:tcPr>
          <w:p>
            <w:pPr>
              <w:spacing w:after="0"/>
              <w:rPr>
                <w:sz w:val="1"/>
                <w:szCs w:val="1"/>
                <w:color w:val="auto"/>
              </w:rPr>
            </w:pPr>
          </w:p>
        </w:tc>
      </w:tr>
      <w:tr>
        <w:trPr>
          <w:trHeight w:val="212"/>
        </w:trPr>
        <w:tc>
          <w:tcPr>
            <w:tcW w:w="6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Outstanding at December 31, 2020</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893,431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40" w:type="dxa"/>
            <w:vAlign w:val="bottom"/>
            <w:gridSpan w:val="2"/>
          </w:tcPr>
          <w:p>
            <w:pPr>
              <w:ind w:left="20"/>
              <w:spacing w:after="0"/>
              <w:rPr>
                <w:sz w:val="20"/>
                <w:szCs w:val="20"/>
                <w:color w:val="auto"/>
              </w:rPr>
            </w:pPr>
            <w:r>
              <w:rPr>
                <w:rFonts w:ascii="Arial" w:cs="Arial" w:eastAsia="Arial" w:hAnsi="Arial"/>
                <w:sz w:val="16"/>
                <w:szCs w:val="16"/>
                <w:color w:val="auto"/>
              </w:rPr>
              <w:t>Granted</w:t>
            </w:r>
          </w:p>
        </w:tc>
        <w:tc>
          <w:tcPr>
            <w:tcW w:w="1460" w:type="dxa"/>
            <w:vAlign w:val="bottom"/>
          </w:tcPr>
          <w:p>
            <w:pPr>
              <w:jc w:val="right"/>
              <w:spacing w:after="0"/>
              <w:rPr>
                <w:sz w:val="20"/>
                <w:szCs w:val="20"/>
                <w:color w:val="auto"/>
              </w:rPr>
            </w:pPr>
            <w:r>
              <w:rPr>
                <w:rFonts w:ascii="Arial" w:cs="Arial" w:eastAsia="Arial" w:hAnsi="Arial"/>
                <w:sz w:val="16"/>
                <w:szCs w:val="16"/>
                <w:color w:val="auto"/>
              </w:rPr>
              <w:t>71,378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30.94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Vested</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(119,680)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4,008</w:t>
            </w:r>
          </w:p>
        </w:tc>
        <w:tc>
          <w:tcPr>
            <w:tcW w:w="0" w:type="dxa"/>
            <w:vAlign w:val="bottom"/>
          </w:tcPr>
          <w:p>
            <w:pPr>
              <w:spacing w:after="0"/>
              <w:rPr>
                <w:sz w:val="1"/>
                <w:szCs w:val="1"/>
                <w:color w:val="auto"/>
              </w:rPr>
            </w:pPr>
          </w:p>
        </w:tc>
      </w:tr>
      <w:tr>
        <w:trPr>
          <w:trHeight w:val="213"/>
        </w:trPr>
        <w:tc>
          <w:tcPr>
            <w:tcW w:w="66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Cancelled</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(47,231)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24.96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Outstanding at June 30, 2021</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797,898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25,541</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Compensation expense for restricted stock units and performance stock units without market conditions is based on the market value of United’s common stock on the date of grant. Compensation expense for performance stock units with market conditions is based on the grant date per share fair market value, which was estimated using the Monte Carlo Simulation valuation model. United recognizes the impact of forfeitures as they occur. The value of restricted stock unit and performance stock unit awards is amortized into expense over the service period.</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six months ended June 30, 2021 and 2020, expense of $2.91 million and $4.04 million, respectively, was recognized related to restricted stock unit and performance stock unit awards granted to United employees, which was included in salaries and employee benefits expense. In addition, for the six months ended June 30, 2021 and 2020, $235,000 and $217,000, respectively, was recognized in other expense for restricted stock unit awards granted to members of United’s Board of Directors.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deferred income tax benefit related to stock-based compensation expense of $802,000 and $1.09 million was included in the determination of income tax expense for the six months ended June 30, 2021 and 2020, respectively. As of June 30, 2021, there was $12.2 million of unrecognized expense related to non-vested restricted stock unit and performance stock unit awards granted under the plan. That cost is expected to be recognized over a weighted-average period of 2.3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Reclassifications Out of AOCI</w:t>
      </w:r>
    </w:p>
    <w:p>
      <w:pPr>
        <w:spacing w:after="0" w:line="256"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 xml:space="preserve">The following table presents the details regarding amounts reclassified out of AOCI for the periods indicated </w:t>
      </w:r>
      <w:r>
        <w:rPr>
          <w:rFonts w:ascii="Arial" w:cs="Arial" w:eastAsia="Arial" w:hAnsi="Arial"/>
          <w:sz w:val="18"/>
          <w:szCs w:val="18"/>
          <w:i w:val="1"/>
          <w:iCs w:val="1"/>
          <w:color w:val="auto"/>
        </w:rPr>
        <w:t>(in thousands)</w:t>
      </w:r>
      <w:r>
        <w:rPr>
          <w:rFonts w:ascii="Arial" w:cs="Arial" w:eastAsia="Arial" w:hAnsi="Arial"/>
          <w:sz w:val="18"/>
          <w:szCs w:val="18"/>
          <w:color w:val="auto"/>
        </w:rPr>
        <w:t>. Amounts shown in parentheses reduce earnings.</w:t>
      </w:r>
    </w:p>
    <w:tbl>
      <w:tblPr>
        <w:tblLayout w:type="fixed"/>
        <w:tblInd w:w="0" w:type="dxa"/>
        <w:tblCellMar>
          <w:top w:w="0" w:type="dxa"/>
          <w:left w:w="0" w:type="dxa"/>
          <w:bottom w:w="0" w:type="dxa"/>
          <w:right w:w="0" w:type="dxa"/>
        </w:tblCellMar>
      </w:tblPr>
      <w:tr>
        <w:trPr>
          <w:trHeight w:val="163"/>
        </w:trPr>
        <w:tc>
          <w:tcPr>
            <w:tcW w:w="3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80" w:type="dxa"/>
            <w:vAlign w:val="bottom"/>
            <w:gridSpan w:val="5"/>
          </w:tcPr>
          <w:p>
            <w:pPr>
              <w:ind w:left="180"/>
              <w:spacing w:after="0" w:line="163" w:lineRule="exact"/>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4"/>
                <w:szCs w:val="14"/>
                <w:color w:val="auto"/>
              </w:rPr>
            </w:pPr>
          </w:p>
        </w:tc>
        <w:tc>
          <w:tcPr>
            <w:tcW w:w="1660" w:type="dxa"/>
            <w:vAlign w:val="bottom"/>
            <w:gridSpan w:val="3"/>
          </w:tcPr>
          <w:p>
            <w:pPr>
              <w:jc w:val="right"/>
              <w:ind w:right="39"/>
              <w:spacing w:after="0" w:line="163" w:lineRule="exact"/>
              <w:rPr>
                <w:sz w:val="20"/>
                <w:szCs w:val="20"/>
                <w:color w:val="auto"/>
              </w:rPr>
            </w:pPr>
            <w:r>
              <w:rPr>
                <w:rFonts w:ascii="Arial" w:cs="Arial" w:eastAsia="Arial" w:hAnsi="Arial"/>
                <w:sz w:val="16"/>
                <w:szCs w:val="16"/>
                <w:b w:val="1"/>
                <w:bCs w:val="1"/>
                <w:color w:val="auto"/>
              </w:rPr>
              <w:t>Six Months Ended</w:t>
            </w:r>
          </w:p>
        </w:tc>
        <w:tc>
          <w:tcPr>
            <w:tcW w:w="380" w:type="dxa"/>
            <w:vAlign w:val="bottom"/>
          </w:tcPr>
          <w:p>
            <w:pPr>
              <w:spacing w:after="0"/>
              <w:rPr>
                <w:sz w:val="14"/>
                <w:szCs w:val="14"/>
                <w:color w:val="auto"/>
              </w:rPr>
            </w:pPr>
          </w:p>
        </w:tc>
        <w:tc>
          <w:tcPr>
            <w:tcW w:w="3280" w:type="dxa"/>
            <w:vAlign w:val="bottom"/>
          </w:tcPr>
          <w:p>
            <w:pPr>
              <w:spacing w:after="0"/>
              <w:rPr>
                <w:sz w:val="14"/>
                <w:szCs w:val="14"/>
                <w:color w:val="auto"/>
              </w:rPr>
            </w:pPr>
          </w:p>
        </w:tc>
      </w:tr>
      <w:tr>
        <w:trPr>
          <w:trHeight w:val="216"/>
        </w:trPr>
        <w:tc>
          <w:tcPr>
            <w:tcW w:w="3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ind w:left="620"/>
              <w:spacing w:after="0"/>
              <w:rPr>
                <w:sz w:val="20"/>
                <w:szCs w:val="20"/>
                <w:color w:val="auto"/>
              </w:rPr>
            </w:pPr>
            <w:r>
              <w:rPr>
                <w:rFonts w:ascii="Arial" w:cs="Arial" w:eastAsia="Arial" w:hAnsi="Arial"/>
                <w:sz w:val="16"/>
                <w:szCs w:val="16"/>
                <w:b w:val="1"/>
                <w:bCs w:val="1"/>
                <w:color w:val="auto"/>
                <w:w w:val="99"/>
              </w:rPr>
              <w:t>June 30,</w:t>
            </w:r>
          </w:p>
        </w:tc>
        <w:tc>
          <w:tcPr>
            <w:tcW w:w="7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ind w:right="399"/>
              <w:spacing w:after="0"/>
              <w:rPr>
                <w:sz w:val="20"/>
                <w:szCs w:val="20"/>
                <w:color w:val="auto"/>
              </w:rPr>
            </w:pPr>
            <w:r>
              <w:rPr>
                <w:rFonts w:ascii="Arial" w:cs="Arial" w:eastAsia="Arial" w:hAnsi="Arial"/>
                <w:sz w:val="16"/>
                <w:szCs w:val="16"/>
                <w:b w:val="1"/>
                <w:bCs w:val="1"/>
                <w:color w:val="auto"/>
              </w:rPr>
              <w:t>June 30,</w:t>
            </w:r>
          </w:p>
        </w:tc>
        <w:tc>
          <w:tcPr>
            <w:tcW w:w="380" w:type="dxa"/>
            <w:vAlign w:val="bottom"/>
            <w:tcBorders>
              <w:bottom w:val="single" w:sz="8" w:color="auto"/>
            </w:tcBorders>
          </w:tcPr>
          <w:p>
            <w:pPr>
              <w:spacing w:after="0"/>
              <w:rPr>
                <w:sz w:val="18"/>
                <w:szCs w:val="18"/>
                <w:color w:val="auto"/>
              </w:rPr>
            </w:pPr>
          </w:p>
        </w:tc>
        <w:tc>
          <w:tcPr>
            <w:tcW w:w="3280" w:type="dxa"/>
            <w:vAlign w:val="bottom"/>
          </w:tcPr>
          <w:p>
            <w:pPr>
              <w:ind w:left="200"/>
              <w:spacing w:after="0"/>
              <w:rPr>
                <w:sz w:val="20"/>
                <w:szCs w:val="20"/>
                <w:color w:val="auto"/>
              </w:rPr>
            </w:pPr>
            <w:r>
              <w:rPr>
                <w:rFonts w:ascii="Arial" w:cs="Arial" w:eastAsia="Arial" w:hAnsi="Arial"/>
                <w:sz w:val="16"/>
                <w:szCs w:val="16"/>
                <w:b w:val="1"/>
                <w:bCs w:val="1"/>
                <w:color w:val="auto"/>
                <w:w w:val="95"/>
              </w:rPr>
              <w:t>Affected Line Item in the Statement Where</w:t>
            </w:r>
          </w:p>
        </w:tc>
      </w:tr>
      <w:tr>
        <w:trPr>
          <w:trHeight w:val="207"/>
        </w:trPr>
        <w:tc>
          <w:tcPr>
            <w:tcW w:w="3240" w:type="dxa"/>
            <w:vAlign w:val="bottom"/>
            <w:tcBorders>
              <w:bottom w:val="single" w:sz="8" w:color="auto"/>
            </w:tcBorders>
          </w:tcPr>
          <w:p>
            <w:pPr>
              <w:ind w:left="420"/>
              <w:spacing w:after="0"/>
              <w:rPr>
                <w:sz w:val="20"/>
                <w:szCs w:val="20"/>
                <w:color w:val="auto"/>
              </w:rPr>
            </w:pPr>
            <w:r>
              <w:rPr>
                <w:rFonts w:ascii="Arial" w:cs="Arial" w:eastAsia="Arial" w:hAnsi="Arial"/>
                <w:sz w:val="16"/>
                <w:szCs w:val="16"/>
                <w:b w:val="1"/>
                <w:bCs w:val="1"/>
                <w:color w:val="auto"/>
              </w:rPr>
              <w:t>Details about AOCI Components</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38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tcPr>
          <w:p>
            <w:pPr>
              <w:ind w:left="860"/>
              <w:spacing w:after="0"/>
              <w:rPr>
                <w:sz w:val="20"/>
                <w:szCs w:val="20"/>
                <w:color w:val="auto"/>
              </w:rPr>
            </w:pPr>
            <w:r>
              <w:rPr>
                <w:rFonts w:ascii="Arial" w:cs="Arial" w:eastAsia="Arial" w:hAnsi="Arial"/>
                <w:sz w:val="16"/>
                <w:szCs w:val="16"/>
                <w:b w:val="1"/>
                <w:bCs w:val="1"/>
                <w:color w:val="auto"/>
              </w:rPr>
              <w:t>Net Income is Presented</w:t>
            </w:r>
          </w:p>
        </w:tc>
      </w:tr>
      <w:tr>
        <w:trPr>
          <w:trHeight w:val="212"/>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Realized gains on AFS securities: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r>
      <w:tr>
        <w:trPr>
          <w:trHeight w:val="213"/>
        </w:trPr>
        <w:tc>
          <w:tcPr>
            <w:tcW w:w="324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ind w:left="640"/>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0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8"/>
                <w:szCs w:val="18"/>
                <w:color w:val="auto"/>
              </w:rPr>
            </w:pPr>
          </w:p>
        </w:tc>
        <w:tc>
          <w:tcPr>
            <w:tcW w:w="700" w:type="dxa"/>
            <w:vAlign w:val="bottom"/>
          </w:tcPr>
          <w:p>
            <w:pPr>
              <w:jc w:val="right"/>
              <w:ind w:right="519"/>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3280" w:type="dxa"/>
            <w:vAlign w:val="bottom"/>
          </w:tcPr>
          <w:p>
            <w:pPr>
              <w:ind w:left="140"/>
              <w:spacing w:after="0"/>
              <w:rPr>
                <w:sz w:val="20"/>
                <w:szCs w:val="20"/>
                <w:color w:val="auto"/>
              </w:rPr>
            </w:pPr>
            <w:r>
              <w:rPr>
                <w:rFonts w:ascii="Arial" w:cs="Arial" w:eastAsia="Arial" w:hAnsi="Arial"/>
                <w:sz w:val="16"/>
                <w:szCs w:val="16"/>
                <w:color w:val="auto"/>
              </w:rPr>
              <w:t>Securities gains, net</w:t>
            </w:r>
          </w:p>
        </w:tc>
      </w:tr>
      <w:tr>
        <w:trPr>
          <w:trHeight w:val="216"/>
        </w:trPr>
        <w:tc>
          <w:tcPr>
            <w:tcW w:w="3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tax expense</w:t>
            </w:r>
          </w:p>
        </w:tc>
      </w:tr>
      <w:tr>
        <w:trPr>
          <w:trHeight w:val="213"/>
        </w:trPr>
        <w:tc>
          <w:tcPr>
            <w:tcW w:w="324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ind w:left="640"/>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0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8"/>
                <w:szCs w:val="18"/>
                <w:color w:val="auto"/>
              </w:rPr>
            </w:pPr>
          </w:p>
        </w:tc>
        <w:tc>
          <w:tcPr>
            <w:tcW w:w="700" w:type="dxa"/>
            <w:vAlign w:val="bottom"/>
          </w:tcPr>
          <w:p>
            <w:pPr>
              <w:jc w:val="right"/>
              <w:ind w:right="519"/>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3280" w:type="dxa"/>
            <w:vAlign w:val="bottom"/>
          </w:tcPr>
          <w:p>
            <w:pPr>
              <w:ind w:left="140"/>
              <w:spacing w:after="0"/>
              <w:rPr>
                <w:sz w:val="20"/>
                <w:szCs w:val="20"/>
                <w:color w:val="auto"/>
              </w:rPr>
            </w:pPr>
            <w:r>
              <w:rPr>
                <w:rFonts w:ascii="Arial" w:cs="Arial" w:eastAsia="Arial" w:hAnsi="Arial"/>
                <w:sz w:val="16"/>
                <w:szCs w:val="16"/>
                <w:color w:val="auto"/>
              </w:rPr>
              <w:t>Net of tax</w:t>
            </w:r>
          </w:p>
        </w:tc>
      </w:tr>
      <w:tr>
        <w:trPr>
          <w:trHeight w:val="20"/>
        </w:trPr>
        <w:tc>
          <w:tcPr>
            <w:tcW w:w="32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80" w:type="dxa"/>
            <w:vAlign w:val="bottom"/>
            <w:tcBorders>
              <w:bottom w:val="single" w:sz="8" w:color="CCEEFF"/>
            </w:tcBorders>
          </w:tcPr>
          <w:p>
            <w:pPr>
              <w:spacing w:after="0" w:line="20" w:lineRule="exact"/>
              <w:rPr>
                <w:sz w:val="1"/>
                <w:szCs w:val="1"/>
                <w:color w:val="auto"/>
              </w:rPr>
            </w:pPr>
          </w:p>
        </w:tc>
      </w:tr>
      <w:tr>
        <w:trPr>
          <w:trHeight w:val="183"/>
        </w:trPr>
        <w:tc>
          <w:tcPr>
            <w:tcW w:w="3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280" w:type="dxa"/>
            <w:vAlign w:val="bottom"/>
            <w:shd w:val="clear" w:color="auto" w:fill="CCEEFF"/>
          </w:tcPr>
          <w:p>
            <w:pPr>
              <w:spacing w:after="0"/>
              <w:rPr>
                <w:sz w:val="15"/>
                <w:szCs w:val="15"/>
                <w:color w:val="auto"/>
              </w:rPr>
            </w:pPr>
          </w:p>
        </w:tc>
      </w:tr>
      <w:tr>
        <w:trPr>
          <w:trHeight w:val="213"/>
        </w:trPr>
        <w:tc>
          <w:tcPr>
            <w:tcW w:w="5660" w:type="dxa"/>
            <w:vAlign w:val="bottom"/>
            <w:gridSpan w:val="7"/>
          </w:tcPr>
          <w:p>
            <w:pPr>
              <w:ind w:left="20"/>
              <w:spacing w:after="0"/>
              <w:rPr>
                <w:sz w:val="20"/>
                <w:szCs w:val="20"/>
                <w:color w:val="auto"/>
              </w:rPr>
            </w:pPr>
            <w:r>
              <w:rPr>
                <w:rFonts w:ascii="Arial" w:cs="Arial" w:eastAsia="Arial" w:hAnsi="Arial"/>
                <w:sz w:val="16"/>
                <w:szCs w:val="16"/>
                <w:color w:val="auto"/>
                <w:w w:val="94"/>
              </w:rPr>
              <w:t>Amortization of losses included in net income on AFS securities transferred to HTM:</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80" w:type="dxa"/>
            <w:vAlign w:val="bottom"/>
          </w:tcPr>
          <w:p>
            <w:pPr>
              <w:spacing w:after="0"/>
              <w:rPr>
                <w:sz w:val="18"/>
                <w:szCs w:val="18"/>
                <w:color w:val="auto"/>
              </w:rPr>
            </w:pPr>
          </w:p>
        </w:tc>
      </w:tr>
      <w:tr>
        <w:trPr>
          <w:trHeight w:val="219"/>
        </w:trPr>
        <w:tc>
          <w:tcPr>
            <w:tcW w:w="3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(179)</w:t>
            </w:r>
          </w:p>
        </w:tc>
        <w:tc>
          <w:tcPr>
            <w:tcW w:w="3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Investment securities interest revenue</w:t>
            </w:r>
          </w:p>
        </w:tc>
      </w:tr>
      <w:tr>
        <w:trPr>
          <w:trHeight w:val="213"/>
        </w:trPr>
        <w:tc>
          <w:tcPr>
            <w:tcW w:w="3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32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Income tax benefit</w:t>
            </w:r>
          </w:p>
        </w:tc>
      </w:tr>
      <w:tr>
        <w:trPr>
          <w:trHeight w:val="233"/>
        </w:trPr>
        <w:tc>
          <w:tcPr>
            <w:tcW w:w="32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0"/>
              </w:rPr>
              <w:t>(136)</w:t>
            </w:r>
          </w:p>
        </w:tc>
        <w:tc>
          <w:tcPr>
            <w:tcW w:w="3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Net of tax</w:t>
            </w:r>
          </w:p>
        </w:tc>
      </w:tr>
      <w:tr>
        <w:trPr>
          <w:trHeight w:val="20"/>
        </w:trPr>
        <w:tc>
          <w:tcPr>
            <w:tcW w:w="4340" w:type="dxa"/>
            <w:vAlign w:val="bottom"/>
            <w:gridSpan w:val="3"/>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163"/>
        </w:trPr>
        <w:tc>
          <w:tcPr>
            <w:tcW w:w="32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3280" w:type="dxa"/>
            <w:vAlign w:val="bottom"/>
          </w:tcPr>
          <w:p>
            <w:pPr>
              <w:spacing w:after="0"/>
              <w:rPr>
                <w:sz w:val="14"/>
                <w:szCs w:val="14"/>
                <w:color w:val="auto"/>
              </w:rPr>
            </w:pPr>
          </w:p>
        </w:tc>
      </w:tr>
      <w:tr>
        <w:trPr>
          <w:trHeight w:val="216"/>
        </w:trPr>
        <w:tc>
          <w:tcPr>
            <w:tcW w:w="6860" w:type="dxa"/>
            <w:vAlign w:val="bottom"/>
            <w:gridSpan w:val="10"/>
            <w:shd w:val="clear" w:color="auto" w:fill="CCEEFF"/>
          </w:tcPr>
          <w:p>
            <w:pPr>
              <w:ind w:left="20"/>
              <w:spacing w:after="0"/>
              <w:rPr>
                <w:sz w:val="20"/>
                <w:szCs w:val="20"/>
                <w:color w:val="auto"/>
              </w:rPr>
            </w:pPr>
            <w:r>
              <w:rPr>
                <w:rFonts w:ascii="Arial" w:cs="Arial" w:eastAsia="Arial" w:hAnsi="Arial"/>
                <w:sz w:val="16"/>
                <w:szCs w:val="16"/>
                <w:color w:val="auto"/>
              </w:rPr>
              <w:t>Reclassifications related to derivative financial instruments accounted for as cash flow hedges:</w:t>
            </w: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r>
      <w:tr>
        <w:trPr>
          <w:trHeight w:val="213"/>
        </w:trPr>
        <w:tc>
          <w:tcPr>
            <w:tcW w:w="3240" w:type="dxa"/>
            <w:vAlign w:val="bottom"/>
          </w:tcPr>
          <w:p>
            <w:pPr>
              <w:ind w:left="220"/>
              <w:spacing w:after="0"/>
              <w:rPr>
                <w:sz w:val="20"/>
                <w:szCs w:val="20"/>
                <w:color w:val="auto"/>
              </w:rPr>
            </w:pPr>
            <w:r>
              <w:rPr>
                <w:rFonts w:ascii="Arial" w:cs="Arial" w:eastAsia="Arial" w:hAnsi="Arial"/>
                <w:sz w:val="16"/>
                <w:szCs w:val="16"/>
                <w:color w:val="auto"/>
              </w:rPr>
              <w:t>Interest rate contracts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(291)</w:t>
            </w:r>
          </w:p>
        </w:tc>
        <w:tc>
          <w:tcPr>
            <w:tcW w:w="120" w:type="dxa"/>
            <w:vAlign w:val="bottom"/>
          </w:tcPr>
          <w:p>
            <w:pPr>
              <w:spacing w:after="0"/>
              <w:rPr>
                <w:sz w:val="18"/>
                <w:szCs w:val="18"/>
                <w:color w:val="auto"/>
              </w:rPr>
            </w:pPr>
          </w:p>
        </w:tc>
        <w:tc>
          <w:tcPr>
            <w:tcW w:w="700" w:type="dxa"/>
            <w:vAlign w:val="bottom"/>
          </w:tcPr>
          <w:p>
            <w:pPr>
              <w:jc w:val="right"/>
              <w:ind w:right="519"/>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(67)</w:t>
            </w:r>
          </w:p>
        </w:tc>
        <w:tc>
          <w:tcPr>
            <w:tcW w:w="3280" w:type="dxa"/>
            <w:vAlign w:val="bottom"/>
          </w:tcPr>
          <w:p>
            <w:pPr>
              <w:ind w:left="140"/>
              <w:spacing w:after="0"/>
              <w:rPr>
                <w:sz w:val="20"/>
                <w:szCs w:val="20"/>
                <w:color w:val="auto"/>
              </w:rPr>
            </w:pPr>
            <w:r>
              <w:rPr>
                <w:rFonts w:ascii="Arial" w:cs="Arial" w:eastAsia="Arial" w:hAnsi="Arial"/>
                <w:sz w:val="16"/>
                <w:szCs w:val="16"/>
                <w:color w:val="auto"/>
              </w:rPr>
              <w:t>Long-term debt interest expense</w:t>
            </w:r>
          </w:p>
        </w:tc>
      </w:tr>
      <w:tr>
        <w:trPr>
          <w:trHeight w:val="216"/>
        </w:trPr>
        <w:tc>
          <w:tcPr>
            <w:tcW w:w="3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3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tax benefit</w:t>
            </w:r>
          </w:p>
        </w:tc>
      </w:tr>
      <w:tr>
        <w:trPr>
          <w:trHeight w:val="212"/>
        </w:trPr>
        <w:tc>
          <w:tcPr>
            <w:tcW w:w="324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w:t>
            </w:r>
          </w:p>
        </w:tc>
        <w:tc>
          <w:tcPr>
            <w:tcW w:w="120" w:type="dxa"/>
            <w:vAlign w:val="bottom"/>
          </w:tcPr>
          <w:p>
            <w:pPr>
              <w:spacing w:after="0"/>
              <w:rPr>
                <w:sz w:val="18"/>
                <w:szCs w:val="18"/>
                <w:color w:val="auto"/>
              </w:rPr>
            </w:pPr>
          </w:p>
        </w:tc>
        <w:tc>
          <w:tcPr>
            <w:tcW w:w="7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3280" w:type="dxa"/>
            <w:vAlign w:val="bottom"/>
          </w:tcPr>
          <w:p>
            <w:pPr>
              <w:ind w:left="140"/>
              <w:spacing w:after="0"/>
              <w:rPr>
                <w:sz w:val="20"/>
                <w:szCs w:val="20"/>
                <w:color w:val="auto"/>
              </w:rPr>
            </w:pPr>
            <w:r>
              <w:rPr>
                <w:rFonts w:ascii="Arial" w:cs="Arial" w:eastAsia="Arial" w:hAnsi="Arial"/>
                <w:sz w:val="16"/>
                <w:szCs w:val="16"/>
                <w:color w:val="auto"/>
              </w:rPr>
              <w:t>Net of tax</w:t>
            </w:r>
          </w:p>
        </w:tc>
      </w:tr>
      <w:tr>
        <w:trPr>
          <w:trHeight w:val="20"/>
        </w:trPr>
        <w:tc>
          <w:tcPr>
            <w:tcW w:w="3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80" w:type="dxa"/>
            <w:vAlign w:val="bottom"/>
            <w:tcBorders>
              <w:bottom w:val="single" w:sz="8" w:color="CCEEFF"/>
            </w:tcBorders>
          </w:tcPr>
          <w:p>
            <w:pPr>
              <w:spacing w:after="0" w:line="20" w:lineRule="exact"/>
              <w:rPr>
                <w:sz w:val="1"/>
                <w:szCs w:val="1"/>
                <w:color w:val="auto"/>
              </w:rPr>
            </w:pPr>
          </w:p>
        </w:tc>
      </w:tr>
      <w:tr>
        <w:trPr>
          <w:trHeight w:val="183"/>
        </w:trPr>
        <w:tc>
          <w:tcPr>
            <w:tcW w:w="3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280" w:type="dxa"/>
            <w:vAlign w:val="bottom"/>
            <w:shd w:val="clear" w:color="auto" w:fill="CCEEFF"/>
          </w:tcPr>
          <w:p>
            <w:pPr>
              <w:spacing w:after="0"/>
              <w:rPr>
                <w:sz w:val="15"/>
                <w:szCs w:val="15"/>
                <w:color w:val="auto"/>
              </w:rPr>
            </w:pPr>
          </w:p>
        </w:tc>
      </w:tr>
      <w:tr>
        <w:trPr>
          <w:trHeight w:val="213"/>
        </w:trPr>
        <w:tc>
          <w:tcPr>
            <w:tcW w:w="4440" w:type="dxa"/>
            <w:vAlign w:val="bottom"/>
            <w:gridSpan w:val="4"/>
          </w:tcPr>
          <w:p>
            <w:pPr>
              <w:ind w:left="20"/>
              <w:spacing w:after="0"/>
              <w:rPr>
                <w:sz w:val="20"/>
                <w:szCs w:val="20"/>
                <w:color w:val="auto"/>
              </w:rPr>
            </w:pPr>
            <w:r>
              <w:rPr>
                <w:rFonts w:ascii="Arial" w:cs="Arial" w:eastAsia="Arial" w:hAnsi="Arial"/>
                <w:sz w:val="16"/>
                <w:szCs w:val="16"/>
                <w:color w:val="auto"/>
                <w:w w:val="97"/>
              </w:rPr>
              <w:t>Reclassifications related to defined benefit pension plan activity:</w:t>
            </w: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80" w:type="dxa"/>
            <w:vAlign w:val="bottom"/>
          </w:tcPr>
          <w:p>
            <w:pPr>
              <w:spacing w:after="0"/>
              <w:rPr>
                <w:sz w:val="18"/>
                <w:szCs w:val="18"/>
                <w:color w:val="auto"/>
              </w:rPr>
            </w:pPr>
          </w:p>
        </w:tc>
      </w:tr>
      <w:tr>
        <w:trPr>
          <w:trHeight w:val="219"/>
        </w:trPr>
        <w:tc>
          <w:tcPr>
            <w:tcW w:w="3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Prior service cost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(265)</w:t>
            </w:r>
          </w:p>
        </w:tc>
        <w:tc>
          <w:tcPr>
            <w:tcW w:w="3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Salaries and employee benefits expense</w:t>
            </w:r>
          </w:p>
        </w:tc>
      </w:tr>
      <w:tr>
        <w:trPr>
          <w:trHeight w:val="213"/>
        </w:trPr>
        <w:tc>
          <w:tcPr>
            <w:tcW w:w="32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Actuarial losses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w:t>
            </w:r>
          </w:p>
        </w:tc>
        <w:tc>
          <w:tcPr>
            <w:tcW w:w="12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0"/>
              </w:rPr>
              <w:t>(163)</w:t>
            </w:r>
          </w:p>
        </w:tc>
        <w:tc>
          <w:tcPr>
            <w:tcW w:w="32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expense</w:t>
            </w:r>
          </w:p>
        </w:tc>
      </w:tr>
      <w:tr>
        <w:trPr>
          <w:trHeight w:val="213"/>
        </w:trPr>
        <w:tc>
          <w:tcPr>
            <w:tcW w:w="3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(428)</w:t>
            </w:r>
          </w:p>
        </w:tc>
        <w:tc>
          <w:tcPr>
            <w:tcW w:w="3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before tax</w:t>
            </w:r>
          </w:p>
        </w:tc>
      </w:tr>
      <w:tr>
        <w:trPr>
          <w:trHeight w:val="213"/>
        </w:trPr>
        <w:tc>
          <w:tcPr>
            <w:tcW w:w="3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w:t>
            </w:r>
          </w:p>
        </w:tc>
        <w:tc>
          <w:tcPr>
            <w:tcW w:w="12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32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Income tax benefit</w:t>
            </w:r>
          </w:p>
        </w:tc>
      </w:tr>
      <w:tr>
        <w:trPr>
          <w:trHeight w:val="238"/>
        </w:trPr>
        <w:tc>
          <w:tcPr>
            <w:tcW w:w="32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0"/>
              </w:rPr>
              <w:t>(319)</w:t>
            </w:r>
          </w:p>
        </w:tc>
        <w:tc>
          <w:tcPr>
            <w:tcW w:w="3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Net of tax</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r>
      <w:tr>
        <w:trPr>
          <w:trHeight w:val="163"/>
        </w:trPr>
        <w:tc>
          <w:tcPr>
            <w:tcW w:w="3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80" w:type="dxa"/>
            <w:vAlign w:val="bottom"/>
          </w:tcPr>
          <w:p>
            <w:pPr>
              <w:spacing w:after="0"/>
              <w:rPr>
                <w:sz w:val="14"/>
                <w:szCs w:val="14"/>
                <w:color w:val="auto"/>
              </w:rPr>
            </w:pPr>
          </w:p>
        </w:tc>
      </w:tr>
      <w:tr>
        <w:trPr>
          <w:trHeight w:val="241"/>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reclassifications for the period</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(578)</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0"/>
              </w:rPr>
              <w:t>(505)</w:t>
            </w:r>
          </w:p>
        </w:tc>
        <w:tc>
          <w:tcPr>
            <w:tcW w:w="3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Net of tax</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Earnings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following table sets forth the computation of basic and diluted earnings per share for the periods indicated </w:t>
      </w:r>
      <w:r>
        <w:rPr>
          <w:rFonts w:ascii="Arial" w:cs="Arial" w:eastAsia="Arial" w:hAnsi="Arial"/>
          <w:sz w:val="17"/>
          <w:szCs w:val="17"/>
          <w:i w:val="1"/>
          <w:iCs w:val="1"/>
          <w:color w:val="auto"/>
        </w:rPr>
        <w:t>(in thousands, except per share data)</w:t>
      </w:r>
      <w:r>
        <w:rPr>
          <w:rFonts w:ascii="Arial" w:cs="Arial" w:eastAsia="Arial" w:hAnsi="Arial"/>
          <w:sz w:val="17"/>
          <w:szCs w:val="17"/>
          <w:color w:val="auto"/>
        </w:rPr>
        <w:t>.</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20" w:type="dxa"/>
            <w:vAlign w:val="bottom"/>
          </w:tcPr>
          <w:p>
            <w:pPr>
              <w:spacing w:after="0"/>
              <w:rPr>
                <w:sz w:val="16"/>
                <w:szCs w:val="16"/>
                <w:color w:val="auto"/>
              </w:rPr>
            </w:pPr>
          </w:p>
        </w:tc>
        <w:tc>
          <w:tcPr>
            <w:tcW w:w="2340" w:type="dxa"/>
            <w:vAlign w:val="bottom"/>
            <w:gridSpan w:val="4"/>
          </w:tcPr>
          <w:p>
            <w:pPr>
              <w:jc w:val="right"/>
              <w:ind w:right="99"/>
              <w:spacing w:after="0"/>
              <w:rPr>
                <w:sz w:val="20"/>
                <w:szCs w:val="20"/>
                <w:color w:val="auto"/>
              </w:rPr>
            </w:pPr>
            <w:r>
              <w:rPr>
                <w:rFonts w:ascii="Arial" w:cs="Arial" w:eastAsia="Arial" w:hAnsi="Arial"/>
                <w:sz w:val="16"/>
                <w:szCs w:val="16"/>
                <w:b w:val="1"/>
                <w:bCs w:val="1"/>
                <w:color w:val="auto"/>
              </w:rPr>
              <w:t>Three Months Ended</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4"/>
          </w:tcPr>
          <w:p>
            <w:pPr>
              <w:jc w:val="right"/>
              <w:ind w:right="759"/>
              <w:spacing w:after="0"/>
              <w:rPr>
                <w:sz w:val="20"/>
                <w:szCs w:val="20"/>
                <w:color w:val="auto"/>
              </w:rPr>
            </w:pPr>
            <w:r>
              <w:rPr>
                <w:rFonts w:ascii="Arial" w:cs="Arial" w:eastAsia="Arial" w:hAnsi="Arial"/>
                <w:sz w:val="16"/>
                <w:szCs w:val="16"/>
                <w:b w:val="1"/>
                <w:bCs w:val="1"/>
                <w:color w:val="auto"/>
              </w:rPr>
              <w:t>Six Months Ended</w:t>
            </w:r>
          </w:p>
        </w:tc>
      </w:tr>
      <w:tr>
        <w:trPr>
          <w:trHeight w:val="213"/>
        </w:trPr>
        <w:tc>
          <w:tcPr>
            <w:tcW w:w="532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6"/>
                <w:szCs w:val="16"/>
                <w:b w:val="1"/>
                <w:bCs w:val="1"/>
                <w:color w:val="auto"/>
              </w:rPr>
              <w:t>June 30,</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6"/>
                <w:szCs w:val="16"/>
                <w:b w:val="1"/>
                <w:bCs w:val="1"/>
                <w:color w:val="auto"/>
              </w:rPr>
              <w:t>June 30,</w:t>
            </w:r>
          </w:p>
        </w:tc>
        <w:tc>
          <w:tcPr>
            <w:tcW w:w="1040" w:type="dxa"/>
            <w:vAlign w:val="bottom"/>
            <w:tcBorders>
              <w:bottom w:val="single" w:sz="8" w:color="auto"/>
            </w:tcBorders>
          </w:tcPr>
          <w:p>
            <w:pPr>
              <w:spacing w:after="0"/>
              <w:rPr>
                <w:sz w:val="18"/>
                <w:szCs w:val="18"/>
                <w:color w:val="auto"/>
              </w:rPr>
            </w:pPr>
          </w:p>
        </w:tc>
      </w:tr>
      <w:tr>
        <w:trPr>
          <w:trHeight w:val="209"/>
        </w:trPr>
        <w:tc>
          <w:tcPr>
            <w:tcW w:w="53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r>
      <w:tr>
        <w:trPr>
          <w:trHeight w:val="212"/>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70,260</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25,096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143,966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56,980</w:t>
            </w:r>
          </w:p>
        </w:tc>
      </w:tr>
      <w:tr>
        <w:trPr>
          <w:trHeight w:val="213"/>
        </w:trPr>
        <w:tc>
          <w:tcPr>
            <w:tcW w:w="5320" w:type="dxa"/>
            <w:vAlign w:val="bottom"/>
          </w:tcPr>
          <w:p>
            <w:pPr>
              <w:ind w:left="20"/>
              <w:spacing w:after="0"/>
              <w:rPr>
                <w:sz w:val="20"/>
                <w:szCs w:val="20"/>
                <w:color w:val="auto"/>
              </w:rPr>
            </w:pPr>
            <w:r>
              <w:rPr>
                <w:rFonts w:ascii="Arial" w:cs="Arial" w:eastAsia="Arial" w:hAnsi="Arial"/>
                <w:sz w:val="16"/>
                <w:szCs w:val="16"/>
                <w:color w:val="auto"/>
              </w:rPr>
              <w:t>Dividends on preferred stock</w:t>
            </w: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0"/>
              </w:rPr>
              <w:t>(1,719)</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(3,438)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Undistributed earnings allocated to participating securities</w:t>
            </w:r>
          </w:p>
        </w:tc>
        <w:tc>
          <w:tcPr>
            <w:tcW w:w="8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(432)</w:t>
            </w:r>
          </w:p>
        </w:tc>
        <w:tc>
          <w:tcPr>
            <w:tcW w:w="1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(894)</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(426)</w:t>
            </w:r>
          </w:p>
        </w:tc>
      </w:tr>
      <w:tr>
        <w:trPr>
          <w:trHeight w:val="213"/>
        </w:trPr>
        <w:tc>
          <w:tcPr>
            <w:tcW w:w="5320" w:type="dxa"/>
            <w:vAlign w:val="bottom"/>
          </w:tcPr>
          <w:p>
            <w:pPr>
              <w:ind w:left="20"/>
              <w:spacing w:after="0"/>
              <w:rPr>
                <w:sz w:val="20"/>
                <w:szCs w:val="20"/>
                <w:color w:val="auto"/>
              </w:rPr>
            </w:pPr>
            <w:r>
              <w:rPr>
                <w:rFonts w:ascii="Arial" w:cs="Arial" w:eastAsia="Arial" w:hAnsi="Arial"/>
                <w:sz w:val="16"/>
                <w:szCs w:val="16"/>
                <w:color w:val="auto"/>
              </w:rPr>
              <w:t>Net income available to common shareholders</w:t>
            </w:r>
          </w:p>
        </w:tc>
        <w:tc>
          <w:tcPr>
            <w:tcW w:w="8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5"/>
              </w:rPr>
              <w:t>68,109</w:t>
            </w:r>
          </w:p>
        </w:tc>
        <w:tc>
          <w:tcPr>
            <w:tcW w:w="100" w:type="dxa"/>
            <w:vAlign w:val="bottom"/>
          </w:tcPr>
          <w:p>
            <w:pPr>
              <w:spacing w:after="0"/>
              <w:rPr>
                <w:sz w:val="18"/>
                <w:szCs w:val="18"/>
                <w:color w:val="auto"/>
              </w:rPr>
            </w:pPr>
          </w:p>
        </w:tc>
        <w:tc>
          <w:tcPr>
            <w:tcW w:w="8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5"/>
              </w:rPr>
              <w:t>24,913</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139,634</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56,554</w:t>
            </w: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3"/>
        </w:trPr>
        <w:tc>
          <w:tcPr>
            <w:tcW w:w="53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13"/>
        </w:trPr>
        <w:tc>
          <w:tcPr>
            <w:tcW w:w="5320" w:type="dxa"/>
            <w:vAlign w:val="bottom"/>
          </w:tcPr>
          <w:p>
            <w:pPr>
              <w:ind w:left="20"/>
              <w:spacing w:after="0"/>
              <w:rPr>
                <w:sz w:val="20"/>
                <w:szCs w:val="20"/>
                <w:color w:val="auto"/>
              </w:rPr>
            </w:pPr>
            <w:r>
              <w:rPr>
                <w:rFonts w:ascii="Arial" w:cs="Arial" w:eastAsia="Arial" w:hAnsi="Arial"/>
                <w:sz w:val="16"/>
                <w:szCs w:val="16"/>
                <w:b w:val="1"/>
                <w:bCs w:val="1"/>
                <w:color w:val="auto"/>
              </w:rPr>
              <w:t>Weighted average shares outstanding:</w:t>
            </w: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5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Basic</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87,289</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78,920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87,306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79,130</w:t>
            </w:r>
          </w:p>
        </w:tc>
      </w:tr>
      <w:tr>
        <w:trPr>
          <w:trHeight w:val="213"/>
        </w:trPr>
        <w:tc>
          <w:tcPr>
            <w:tcW w:w="5320" w:type="dxa"/>
            <w:vAlign w:val="bottom"/>
          </w:tcPr>
          <w:p>
            <w:pPr>
              <w:ind w:left="140"/>
              <w:spacing w:after="0"/>
              <w:rPr>
                <w:sz w:val="20"/>
                <w:szCs w:val="20"/>
                <w:color w:val="auto"/>
              </w:rPr>
            </w:pPr>
            <w:r>
              <w:rPr>
                <w:rFonts w:ascii="Arial" w:cs="Arial" w:eastAsia="Arial" w:hAnsi="Arial"/>
                <w:sz w:val="16"/>
                <w:szCs w:val="16"/>
                <w:color w:val="auto"/>
              </w:rPr>
              <w:t>Effect of dilutive securities:</w:t>
            </w: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Restricted stock units</w:t>
            </w:r>
          </w:p>
        </w:tc>
        <w:tc>
          <w:tcPr>
            <w:tcW w:w="8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r>
      <w:tr>
        <w:trPr>
          <w:trHeight w:val="213"/>
        </w:trPr>
        <w:tc>
          <w:tcPr>
            <w:tcW w:w="5320" w:type="dxa"/>
            <w:vAlign w:val="bottom"/>
          </w:tcPr>
          <w:p>
            <w:pPr>
              <w:ind w:left="140"/>
              <w:spacing w:after="0"/>
              <w:rPr>
                <w:sz w:val="20"/>
                <w:szCs w:val="20"/>
                <w:color w:val="auto"/>
              </w:rPr>
            </w:pPr>
            <w:r>
              <w:rPr>
                <w:rFonts w:ascii="Arial" w:cs="Arial" w:eastAsia="Arial" w:hAnsi="Arial"/>
                <w:sz w:val="16"/>
                <w:szCs w:val="16"/>
                <w:color w:val="auto"/>
              </w:rPr>
              <w:t>Diluted</w:t>
            </w:r>
          </w:p>
        </w:tc>
        <w:tc>
          <w:tcPr>
            <w:tcW w:w="8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5"/>
              </w:rPr>
              <w:t>87,421</w:t>
            </w:r>
          </w:p>
        </w:tc>
        <w:tc>
          <w:tcPr>
            <w:tcW w:w="10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5"/>
              </w:rPr>
              <w:t>78,924</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87,443</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79,186</w:t>
            </w: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3"/>
        </w:trPr>
        <w:tc>
          <w:tcPr>
            <w:tcW w:w="53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13"/>
        </w:trPr>
        <w:tc>
          <w:tcPr>
            <w:tcW w:w="5320" w:type="dxa"/>
            <w:vAlign w:val="bottom"/>
          </w:tcPr>
          <w:p>
            <w:pPr>
              <w:ind w:left="20"/>
              <w:spacing w:after="0"/>
              <w:rPr>
                <w:sz w:val="20"/>
                <w:szCs w:val="20"/>
                <w:color w:val="auto"/>
              </w:rPr>
            </w:pPr>
            <w:r>
              <w:rPr>
                <w:rFonts w:ascii="Arial" w:cs="Arial" w:eastAsia="Arial" w:hAnsi="Arial"/>
                <w:sz w:val="16"/>
                <w:szCs w:val="16"/>
                <w:b w:val="1"/>
                <w:bCs w:val="1"/>
                <w:color w:val="auto"/>
              </w:rPr>
              <w:t>Net income per common share:</w:t>
            </w: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44"/>
        </w:trPr>
        <w:tc>
          <w:tcPr>
            <w:tcW w:w="5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Basic</w:t>
            </w: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0.78</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0.71</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5320" w:type="dxa"/>
            <w:vAlign w:val="bottom"/>
          </w:tcPr>
          <w:p>
            <w:pPr>
              <w:ind w:left="140"/>
              <w:spacing w:after="0"/>
              <w:rPr>
                <w:sz w:val="20"/>
                <w:szCs w:val="20"/>
                <w:color w:val="auto"/>
              </w:rPr>
            </w:pPr>
            <w:r>
              <w:rPr>
                <w:rFonts w:ascii="Arial" w:cs="Arial" w:eastAsia="Arial" w:hAnsi="Arial"/>
                <w:sz w:val="16"/>
                <w:szCs w:val="16"/>
                <w:color w:val="auto"/>
              </w:rPr>
              <w:t>Diluted</w:t>
            </w:r>
          </w:p>
        </w:tc>
        <w:tc>
          <w:tcPr>
            <w:tcW w:w="8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0.78</w:t>
            </w:r>
          </w:p>
        </w:tc>
        <w:tc>
          <w:tcPr>
            <w:tcW w:w="100" w:type="dxa"/>
            <w:vAlign w:val="bottom"/>
          </w:tcPr>
          <w:p>
            <w:pPr>
              <w:spacing w:after="0"/>
              <w:rPr>
                <w:sz w:val="16"/>
                <w:szCs w:val="16"/>
                <w:color w:val="auto"/>
              </w:rPr>
            </w:pPr>
          </w:p>
        </w:tc>
        <w:tc>
          <w:tcPr>
            <w:tcW w:w="8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0.32</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0.71</w:t>
            </w:r>
          </w:p>
        </w:tc>
      </w:tr>
      <w:tr>
        <w:trPr>
          <w:trHeight w:val="20"/>
        </w:trPr>
        <w:tc>
          <w:tcPr>
            <w:tcW w:w="53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At June 30, 2021, United had no potentially dilutive instruments outstanding that were not included in the above analysis. At June 30, 2020, United had potentially dilutive instruments outstanding in the form of 154,795 shares of common stock issuable upon vesting of restrictive stock units.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Regulatory Matters</w:t>
      </w:r>
    </w:p>
    <w:p>
      <w:pPr>
        <w:spacing w:after="0" w:line="2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of June 30, 2021, United and the Bank were categorized as well-capitalized under the regulatory framework for prompt corrective action in effect at such time. To be categorized as well-capitalized at June 30, 2021, United and the Bank must have exceeded the well-capitalized guideline ratios in effect at such time, as set forth in the table below, and have met certain other requirements. Management believes that United and the Bank exceeded all well-capitalized requirements at June 30, 2021, and there have been no conditions or events since quarter-end that would change the status of well-capitalized.</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Regulatory capital ratios at June 30, 2021 and December 31, 2020, along with the minimum amounts required for capital adequacy purposes and to be well-capitalized under prompt corrective action provisions in effect at such times are presented below for United and the Bank </w:t>
      </w:r>
      <w:r>
        <w:rPr>
          <w:rFonts w:ascii="Arial" w:cs="Arial" w:eastAsia="Arial" w:hAnsi="Arial"/>
          <w:sz w:val="16"/>
          <w:szCs w:val="16"/>
          <w:i w:val="1"/>
          <w:iCs w:val="1"/>
          <w:color w:val="auto"/>
        </w:rPr>
        <w:t>(dollars in thousands)</w:t>
      </w:r>
      <w:r>
        <w:rPr>
          <w:rFonts w:ascii="Arial" w:cs="Arial" w:eastAsia="Arial" w:hAnsi="Arial"/>
          <w:sz w:val="16"/>
          <w:szCs w:val="16"/>
          <w:color w:val="auto"/>
        </w:rPr>
        <w:t>:</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2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3"/>
              </w:rPr>
              <w:t>United Community Banks, Inc.</w:t>
            </w:r>
          </w:p>
        </w:tc>
        <w:tc>
          <w:tcPr>
            <w:tcW w:w="240" w:type="dxa"/>
            <w:vAlign w:val="bottom"/>
          </w:tcPr>
          <w:p>
            <w:pPr>
              <w:spacing w:after="0"/>
              <w:rPr>
                <w:sz w:val="16"/>
                <w:szCs w:val="16"/>
                <w:color w:val="auto"/>
              </w:rPr>
            </w:pPr>
          </w:p>
        </w:tc>
        <w:tc>
          <w:tcPr>
            <w:tcW w:w="2560" w:type="dxa"/>
            <w:vAlign w:val="bottom"/>
            <w:gridSpan w:val="4"/>
            <w:vMerge w:val="restart"/>
          </w:tcPr>
          <w:p>
            <w:pPr>
              <w:jc w:val="right"/>
              <w:ind w:right="459"/>
              <w:spacing w:after="0"/>
              <w:rPr>
                <w:sz w:val="20"/>
                <w:szCs w:val="20"/>
                <w:color w:val="auto"/>
              </w:rPr>
            </w:pPr>
            <w:r>
              <w:rPr>
                <w:rFonts w:ascii="Arial" w:cs="Arial" w:eastAsia="Arial" w:hAnsi="Arial"/>
                <w:sz w:val="16"/>
                <w:szCs w:val="16"/>
                <w:b w:val="1"/>
                <w:bCs w:val="1"/>
                <w:color w:val="auto"/>
              </w:rPr>
              <w:t>United Community Bank</w:t>
            </w:r>
          </w:p>
        </w:tc>
        <w:tc>
          <w:tcPr>
            <w:tcW w:w="0" w:type="dxa"/>
            <w:vAlign w:val="bottom"/>
          </w:tcPr>
          <w:p>
            <w:pPr>
              <w:spacing w:after="0"/>
              <w:rPr>
                <w:sz w:val="1"/>
                <w:szCs w:val="1"/>
                <w:color w:val="auto"/>
              </w:rPr>
            </w:pPr>
          </w:p>
        </w:tc>
      </w:tr>
      <w:tr>
        <w:trPr>
          <w:trHeight w:val="213"/>
        </w:trPr>
        <w:tc>
          <w:tcPr>
            <w:tcW w:w="2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2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89"/>
              </w:rPr>
              <w:t>(Consolidated)</w:t>
            </w:r>
          </w:p>
        </w:tc>
        <w:tc>
          <w:tcPr>
            <w:tcW w:w="240" w:type="dxa"/>
            <w:vAlign w:val="bottom"/>
          </w:tcPr>
          <w:p>
            <w:pPr>
              <w:spacing w:after="0"/>
              <w:rPr>
                <w:sz w:val="18"/>
                <w:szCs w:val="18"/>
                <w:color w:val="auto"/>
              </w:rPr>
            </w:pPr>
          </w:p>
        </w:tc>
        <w:tc>
          <w:tcPr>
            <w:tcW w:w="256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920" w:type="dxa"/>
            <w:vAlign w:val="bottom"/>
          </w:tcPr>
          <w:p>
            <w:pPr>
              <w:spacing w:after="0"/>
              <w:rPr>
                <w:sz w:val="13"/>
                <w:szCs w:val="13"/>
                <w:color w:val="auto"/>
              </w:rPr>
            </w:pPr>
          </w:p>
        </w:tc>
        <w:tc>
          <w:tcPr>
            <w:tcW w:w="1280" w:type="dxa"/>
            <w:vAlign w:val="bottom"/>
            <w:tcBorders>
              <w:top w:val="single" w:sz="8" w:color="auto"/>
            </w:tcBorders>
            <w:gridSpan w:val="2"/>
            <w:vMerge w:val="restart"/>
          </w:tcPr>
          <w:p>
            <w:pPr>
              <w:ind w:left="160"/>
              <w:spacing w:after="0"/>
              <w:rPr>
                <w:sz w:val="20"/>
                <w:szCs w:val="20"/>
                <w:color w:val="auto"/>
              </w:rPr>
            </w:pPr>
            <w:r>
              <w:rPr>
                <w:rFonts w:ascii="Arial" w:cs="Arial" w:eastAsia="Arial" w:hAnsi="Arial"/>
                <w:sz w:val="16"/>
                <w:szCs w:val="16"/>
                <w:b w:val="1"/>
                <w:bCs w:val="1"/>
                <w:color w:val="auto"/>
              </w:rPr>
              <w:t xml:space="preserve">Minimum </w:t>
            </w:r>
            <w:r>
              <w:rPr>
                <w:rFonts w:ascii="Arial" w:cs="Arial" w:eastAsia="Arial" w:hAnsi="Arial"/>
                <w:sz w:val="21"/>
                <w:szCs w:val="21"/>
                <w:b w:val="1"/>
                <w:bCs w:val="1"/>
                <w:color w:val="auto"/>
                <w:vertAlign w:val="superscript"/>
              </w:rPr>
              <w:t>(1)</w:t>
            </w:r>
          </w:p>
        </w:tc>
        <w:tc>
          <w:tcPr>
            <w:tcW w:w="120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w w:val="99"/>
              </w:rPr>
              <w:t>Well-</w:t>
            </w: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ind w:left="180"/>
              <w:spacing w:after="0" w:line="158" w:lineRule="exact"/>
              <w:rPr>
                <w:sz w:val="20"/>
                <w:szCs w:val="20"/>
                <w:color w:val="auto"/>
              </w:rPr>
            </w:pPr>
            <w:r>
              <w:rPr>
                <w:rFonts w:ascii="Arial" w:cs="Arial" w:eastAsia="Arial" w:hAnsi="Arial"/>
                <w:sz w:val="16"/>
                <w:szCs w:val="16"/>
                <w:b w:val="1"/>
                <w:bCs w:val="1"/>
                <w:color w:val="auto"/>
              </w:rPr>
              <w:t>June 30,</w:t>
            </w:r>
          </w:p>
        </w:tc>
        <w:tc>
          <w:tcPr>
            <w:tcW w:w="1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139"/>
              <w:spacing w:after="0" w:line="158" w:lineRule="exact"/>
              <w:rPr>
                <w:sz w:val="20"/>
                <w:szCs w:val="20"/>
                <w:color w:val="auto"/>
              </w:rPr>
            </w:pPr>
            <w:r>
              <w:rPr>
                <w:rFonts w:ascii="Arial" w:cs="Arial" w:eastAsia="Arial" w:hAnsi="Arial"/>
                <w:sz w:val="16"/>
                <w:szCs w:val="16"/>
                <w:b w:val="1"/>
                <w:bCs w:val="1"/>
                <w:color w:val="auto"/>
                <w:w w:val="92"/>
              </w:rPr>
              <w:t>December 31,</w:t>
            </w: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tcPr>
          <w:p>
            <w:pPr>
              <w:ind w:left="140"/>
              <w:spacing w:after="0" w:line="158" w:lineRule="exact"/>
              <w:rPr>
                <w:sz w:val="20"/>
                <w:szCs w:val="20"/>
                <w:color w:val="auto"/>
              </w:rPr>
            </w:pPr>
            <w:r>
              <w:rPr>
                <w:rFonts w:ascii="Arial" w:cs="Arial" w:eastAsia="Arial" w:hAnsi="Arial"/>
                <w:sz w:val="16"/>
                <w:szCs w:val="16"/>
                <w:b w:val="1"/>
                <w:bCs w:val="1"/>
                <w:color w:val="auto"/>
              </w:rPr>
              <w:t>June 30,</w:t>
            </w:r>
          </w:p>
        </w:tc>
        <w:tc>
          <w:tcPr>
            <w:tcW w:w="1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139"/>
              <w:spacing w:after="0" w:line="158" w:lineRule="exact"/>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Capitalized</w:t>
            </w:r>
          </w:p>
        </w:tc>
        <w:tc>
          <w:tcPr>
            <w:tcW w:w="200" w:type="dxa"/>
            <w:vAlign w:val="bottom"/>
          </w:tcPr>
          <w:p>
            <w:pPr>
              <w:spacing w:after="0"/>
              <w:rPr>
                <w:sz w:val="18"/>
                <w:szCs w:val="18"/>
                <w:color w:val="auto"/>
              </w:rPr>
            </w:pPr>
          </w:p>
        </w:tc>
        <w:tc>
          <w:tcPr>
            <w:tcW w:w="1140" w:type="dxa"/>
            <w:vAlign w:val="bottom"/>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6"/>
        </w:trPr>
        <w:tc>
          <w:tcPr>
            <w:tcW w:w="2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Risk-based ratios:</w:t>
            </w: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920" w:type="dxa"/>
            <w:vAlign w:val="bottom"/>
          </w:tcPr>
          <w:p>
            <w:pPr>
              <w:ind w:left="140"/>
              <w:spacing w:after="0"/>
              <w:rPr>
                <w:sz w:val="20"/>
                <w:szCs w:val="20"/>
                <w:color w:val="auto"/>
              </w:rPr>
            </w:pPr>
            <w:r>
              <w:rPr>
                <w:rFonts w:ascii="Arial" w:cs="Arial" w:eastAsia="Arial" w:hAnsi="Arial"/>
                <w:sz w:val="16"/>
                <w:szCs w:val="16"/>
                <w:color w:val="auto"/>
              </w:rPr>
              <w:t>CET1 capital</w:t>
            </w:r>
          </w:p>
        </w:tc>
        <w:tc>
          <w:tcPr>
            <w:tcW w:w="1180" w:type="dxa"/>
            <w:vAlign w:val="bottom"/>
          </w:tcPr>
          <w:p>
            <w:pPr>
              <w:ind w:left="780"/>
              <w:spacing w:after="0"/>
              <w:rPr>
                <w:sz w:val="20"/>
                <w:szCs w:val="20"/>
                <w:color w:val="auto"/>
              </w:rPr>
            </w:pPr>
            <w:r>
              <w:rPr>
                <w:rFonts w:ascii="Arial" w:cs="Arial" w:eastAsia="Arial" w:hAnsi="Arial"/>
                <w:sz w:val="16"/>
                <w:szCs w:val="16"/>
                <w:color w:val="auto"/>
                <w:w w:val="92"/>
              </w:rPr>
              <w:t>4.5 %</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6.5 %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12.59 %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12.31 %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13.21 %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13.31 %</w:t>
            </w: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Tier 1 capital</w:t>
            </w:r>
          </w:p>
        </w:tc>
        <w:tc>
          <w:tcPr>
            <w:tcW w:w="1180" w:type="dxa"/>
            <w:vAlign w:val="bottom"/>
            <w:shd w:val="clear" w:color="auto" w:fill="CCEEFF"/>
          </w:tcPr>
          <w:p>
            <w:pPr>
              <w:ind w:left="780"/>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13.34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13.31</w:t>
            </w:r>
          </w:p>
        </w:tc>
        <w:tc>
          <w:tcPr>
            <w:tcW w:w="0" w:type="dxa"/>
            <w:vAlign w:val="bottom"/>
          </w:tcPr>
          <w:p>
            <w:pPr>
              <w:spacing w:after="0"/>
              <w:rPr>
                <w:sz w:val="1"/>
                <w:szCs w:val="1"/>
                <w:color w:val="auto"/>
              </w:rPr>
            </w:pPr>
          </w:p>
        </w:tc>
      </w:tr>
      <w:tr>
        <w:trPr>
          <w:trHeight w:val="213"/>
        </w:trPr>
        <w:tc>
          <w:tcPr>
            <w:tcW w:w="2920" w:type="dxa"/>
            <w:vAlign w:val="bottom"/>
          </w:tcPr>
          <w:p>
            <w:pPr>
              <w:ind w:left="140"/>
              <w:spacing w:after="0"/>
              <w:rPr>
                <w:sz w:val="20"/>
                <w:szCs w:val="20"/>
                <w:color w:val="auto"/>
              </w:rPr>
            </w:pPr>
            <w:r>
              <w:rPr>
                <w:rFonts w:ascii="Arial" w:cs="Arial" w:eastAsia="Arial" w:hAnsi="Arial"/>
                <w:sz w:val="16"/>
                <w:szCs w:val="16"/>
                <w:color w:val="auto"/>
              </w:rPr>
              <w:t>Total capital</w:t>
            </w:r>
          </w:p>
        </w:tc>
        <w:tc>
          <w:tcPr>
            <w:tcW w:w="1180" w:type="dxa"/>
            <w:vAlign w:val="bottom"/>
          </w:tcPr>
          <w:p>
            <w:pPr>
              <w:ind w:left="780"/>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15.09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15.15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14.03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14.28</w:t>
            </w: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Leverage ratio</w:t>
            </w:r>
          </w:p>
        </w:tc>
        <w:tc>
          <w:tcPr>
            <w:tcW w:w="1180" w:type="dxa"/>
            <w:vAlign w:val="bottom"/>
            <w:shd w:val="clear" w:color="auto" w:fill="CCEEFF"/>
          </w:tcPr>
          <w:p>
            <w:pPr>
              <w:ind w:left="780"/>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9.26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9.28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9.42</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CET1 capital</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1,604,725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1,506,750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1,679,004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1,625,292</w:t>
            </w:r>
          </w:p>
        </w:tc>
        <w:tc>
          <w:tcPr>
            <w:tcW w:w="0" w:type="dxa"/>
            <w:vAlign w:val="bottom"/>
          </w:tcPr>
          <w:p>
            <w:pPr>
              <w:spacing w:after="0"/>
              <w:rPr>
                <w:sz w:val="1"/>
                <w:szCs w:val="1"/>
                <w:color w:val="auto"/>
              </w:rPr>
            </w:pPr>
          </w:p>
        </w:tc>
      </w:tr>
      <w:tr>
        <w:trPr>
          <w:trHeight w:val="213"/>
        </w:trPr>
        <w:tc>
          <w:tcPr>
            <w:tcW w:w="2920" w:type="dxa"/>
            <w:vAlign w:val="bottom"/>
          </w:tcPr>
          <w:p>
            <w:pPr>
              <w:ind w:left="20"/>
              <w:spacing w:after="0"/>
              <w:rPr>
                <w:sz w:val="20"/>
                <w:szCs w:val="20"/>
                <w:color w:val="auto"/>
              </w:rPr>
            </w:pPr>
            <w:r>
              <w:rPr>
                <w:rFonts w:ascii="Arial" w:cs="Arial" w:eastAsia="Arial" w:hAnsi="Arial"/>
                <w:sz w:val="16"/>
                <w:szCs w:val="16"/>
                <w:color w:val="auto"/>
              </w:rPr>
              <w:t>Tier 1 capital</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1,701,147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1,603,172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1,679,004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1,625,292</w:t>
            </w: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capital</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1,924,680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1,854,368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1,782,537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1,743,045</w:t>
            </w:r>
          </w:p>
        </w:tc>
        <w:tc>
          <w:tcPr>
            <w:tcW w:w="0" w:type="dxa"/>
            <w:vAlign w:val="bottom"/>
          </w:tcPr>
          <w:p>
            <w:pPr>
              <w:spacing w:after="0"/>
              <w:rPr>
                <w:sz w:val="1"/>
                <w:szCs w:val="1"/>
                <w:color w:val="auto"/>
              </w:rPr>
            </w:pPr>
          </w:p>
        </w:tc>
      </w:tr>
      <w:tr>
        <w:trPr>
          <w:trHeight w:val="213"/>
        </w:trPr>
        <w:tc>
          <w:tcPr>
            <w:tcW w:w="2920" w:type="dxa"/>
            <w:vAlign w:val="bottom"/>
          </w:tcPr>
          <w:p>
            <w:pPr>
              <w:ind w:left="20"/>
              <w:spacing w:after="0"/>
              <w:rPr>
                <w:sz w:val="20"/>
                <w:szCs w:val="20"/>
                <w:color w:val="auto"/>
              </w:rPr>
            </w:pPr>
            <w:r>
              <w:rPr>
                <w:rFonts w:ascii="Arial" w:cs="Arial" w:eastAsia="Arial" w:hAnsi="Arial"/>
                <w:sz w:val="16"/>
                <w:szCs w:val="16"/>
                <w:color w:val="auto"/>
              </w:rPr>
              <w:t>Risk-weighted assets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12,750,755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12,240,440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12,705,960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12,207,940</w:t>
            </w: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7"/>
              </w:rPr>
              <w:t>Average total assets for the leverage ratio</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18,369,878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17,276,853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18,334,952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17,246,878</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160" w:hanging="152"/>
        <w:spacing w:after="0"/>
        <w:tabs>
          <w:tab w:leader="none" w:pos="1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As of June 30, 2021 and December 31, 2020 the additional capital conservation buffer in effect was 2.50%</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Commitments and Contingencies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United is party to financial instruments with off-balance sheet risk in the normal course of business to meet the financing needs of its customers. These financial instruments include commitments to extend credit and letters of credit. These instruments involve, to varying degrees, elements of credit risk in excess of the amount recognized in the balance sheet. The contract amounts of these instruments reflect the extent of involvement United has in particular classes of financial instruments. The exposure to credit loss in the event of nonperformance by the other party to the financial instrument for commitments to extend credit and letters of credit written is represented by the contractual amount of these instruments. United uses the same credit policies in making commitments and conditional obligations as it uses for underwriting on-balance sheet instruments. In most cases, collateral or other security is required to support financial instruments with credit risk.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summarizes the contractual amount of off-balance sheet instruments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 2021</w:t>
            </w:r>
          </w:p>
        </w:tc>
        <w:tc>
          <w:tcPr>
            <w:tcW w:w="200" w:type="dxa"/>
            <w:vAlign w:val="bottom"/>
          </w:tcPr>
          <w:p>
            <w:pPr>
              <w:spacing w:after="0"/>
              <w:rPr>
                <w:sz w:val="18"/>
                <w:szCs w:val="18"/>
                <w:color w:val="auto"/>
              </w:rPr>
            </w:pPr>
          </w:p>
        </w:tc>
        <w:tc>
          <w:tcPr>
            <w:tcW w:w="1680" w:type="dxa"/>
            <w:vAlign w:val="bottom"/>
          </w:tcPr>
          <w:p>
            <w:pPr>
              <w:jc w:val="right"/>
              <w:ind w:right="199"/>
              <w:spacing w:after="0"/>
              <w:rPr>
                <w:sz w:val="20"/>
                <w:szCs w:val="20"/>
                <w:color w:val="auto"/>
              </w:rPr>
            </w:pPr>
            <w:r>
              <w:rPr>
                <w:rFonts w:ascii="Arial" w:cs="Arial" w:eastAsia="Arial" w:hAnsi="Arial"/>
                <w:sz w:val="16"/>
                <w:szCs w:val="16"/>
                <w:b w:val="1"/>
                <w:bCs w:val="1"/>
                <w:color w:val="auto"/>
                <w:w w:val="95"/>
              </w:rPr>
              <w:t>December 31, 2020</w:t>
            </w:r>
          </w:p>
        </w:tc>
      </w:tr>
      <w:tr>
        <w:trPr>
          <w:trHeight w:val="213"/>
        </w:trPr>
        <w:tc>
          <w:tcPr>
            <w:tcW w:w="7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Financial instruments whose contract amounts represent credit risk:</w:t>
            </w:r>
          </w:p>
        </w:tc>
        <w:tc>
          <w:tcPr>
            <w:tcW w:w="28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r>
      <w:tr>
        <w:trPr>
          <w:trHeight w:val="213"/>
        </w:trPr>
        <w:tc>
          <w:tcPr>
            <w:tcW w:w="7380" w:type="dxa"/>
            <w:vAlign w:val="bottom"/>
          </w:tcPr>
          <w:p>
            <w:pPr>
              <w:ind w:left="140"/>
              <w:spacing w:after="0"/>
              <w:rPr>
                <w:sz w:val="20"/>
                <w:szCs w:val="20"/>
                <w:color w:val="auto"/>
              </w:rPr>
            </w:pPr>
            <w:r>
              <w:rPr>
                <w:rFonts w:ascii="Arial" w:cs="Arial" w:eastAsia="Arial" w:hAnsi="Arial"/>
                <w:sz w:val="16"/>
                <w:szCs w:val="16"/>
                <w:color w:val="auto"/>
              </w:rPr>
              <w:t>Commitments to extend credit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3,259,470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3,052,657</w:t>
            </w:r>
          </w:p>
        </w:tc>
      </w:tr>
      <w:tr>
        <w:trPr>
          <w:trHeight w:val="219"/>
        </w:trPr>
        <w:tc>
          <w:tcPr>
            <w:tcW w:w="7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Letters of credit</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31,748</w:t>
            </w:r>
          </w:p>
        </w:tc>
      </w:tr>
    </w:tbl>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United holds minor investments in certain limited partnerships for Community Reinvestment Act purposes. As of June 30, 2021, United had committed to fund an additional $8.43 million related to future capital calls that are not reflected in the consolidated balance sheet.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United, in the normal course of business, is subject to various pending and threatened lawsuits in which claims for monetary damages are asserted. Although it is not possible to predict the outcome of these lawsuits, or the range of any possible loss, management, after</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consultation with legal counsel, does not anticipate that the ultimate aggregate liability, if any, arising from these lawsuits will have a material adverse effect on United’s financial position or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Acquisitions</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Subsequent to quarter-end, on July 6, 2021, United completed the acquisition of FinTrust Capital Partners, LLC, and its operating subsidiaries, FinTrust Capital Advisors, LLC, FinTrust Capital Benefit Group, LLC and FinTrust Brokerage Services, LLC, collectively referred to as “FinTrust”. FinTrust is an investment advisory firm headquartered in Greenville, South Carolina, with additional locations in Anderson, South Carolina, and Athens and Macon, Georgia. The firm provides wealth and investment management services to individuals and institutions within its markets. As of June 30, 2021, FinTrust had assets under management of $2.09 billion across its advisory, retirement planning and brokerage businesses.</w:t>
      </w:r>
    </w:p>
    <w:p>
      <w:pPr>
        <w:spacing w:after="0" w:line="190"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Under the terms of the merger agreement, FinTrust shareholders received $22.0 million in total consideration, of which $4.40 million was United common stock, $9.90 million was cash and $7.70 million was contingent consideration. United issued 132,299 shares of common stock to FinTrust shareholders in the acquisition. The acquisition will be accounted for as a business combination. Due to the timing of the acquisition, United is currently in the process of completing the purchase accounting and has not made all of the remaining required disclosures, such as the fair value of assets acquired and supplemental pro forma information, which will be disclosed in subsequent filings.</w:t>
      </w:r>
    </w:p>
    <w:p>
      <w:pPr>
        <w:spacing w:after="0" w:line="20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On May 27, 2021, United announced an agreement to acquire Aquesta Financial Holdings, Inc. and its wholly-owned subsidiary, Aquesta Bank, collectively referred to as “Aquesta”. Aquesta is headquartered in Cornelius, North Carolina and operates a network of nine branches primarily located in the Charlotte metropolitan area in addition to locations in Wilmington and Raleigh, North Carolina, as well as Greenville and Charleston, South Carolina. As of June 30, 2021, Aquesta reported total assets of $736 million, total loans of $524 million and total deposits of $641 million. The merger, which is subject to regulatory approval, the approval of Aquesta shareholders, and other customary conditions, is expected to close in the fourth quarter of 2021.</w:t>
      </w:r>
    </w:p>
    <w:p>
      <w:pPr>
        <w:spacing w:after="0" w:line="20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Subsequent to quarter-end, on July 14, 2021, United announced an agreement to acquire Reliant Bancorp, Inc. and its wholly-owned subsidiary, Reliant Bank, collectively referred to as “Reliant”. Reliant is headquartered in Brentwood, Tennessee, a suburb of Nashville, Tennessee and operates a 25 branch network in Tennessee, located primarily in the Nashville area, as well as branches in Clarksville and Chattanooga. It also has a manufactured housing finance group based in Knoxville. As of June 30, 2021, Reliant reported total assets of $3.10 billion, total loans of $2.32 billion, and total deposits of $2.63 billion. The merger, which is subject to regulatory approval, the approval of Reliant shareholders, and other customary conditions, is expected to close in the first quarter of 2022.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Subsequent Events</w:t>
      </w:r>
    </w:p>
    <w:p>
      <w:pPr>
        <w:spacing w:after="0" w:line="2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Effective July 1, 2021, the Bank moved its headquarters from Blairsville, Georgia to Greenville, South Carolina and became a South Carolina state-chartered bank subject to examination and reporting requirements of the South Carolina Board of Financial Institutions. Prior to that date, the Bank was a Georgia state-chartered bank subject to examination and reporting requirements of the Georgia Department of Banking and Finance. Also effective July 1, 2021, the Holding Company elected to become a financial holding company, which allows for engagement in a broader range of financial activities.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third quarter of 2021, through August 5, 2021, United repurchased 309,599 shares of common stock for $9.00 million in accordance with its common stock repurchase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is a discussion of our financial condition at June 30, 2021 and December 31, 2020 and our results of operations for the three and six months ended June 30, 2021 and 2020. The purpose of this discussion is to focus on information about our financial condition and results of operations which is not otherwise apparent from our consolidated financial statements and is intended to provide insight into our results of operations and financial condition. The following discussion and analysis should be read along with our consolidated financial statements and related notes included in Part I - Item 1 of this Report, “Cautionary Note Regarding Forward-Looking Statements” and the risk factors discussed in our 2020 10-K, and the other reports we have filed with the SEC after we filed the 2020 10-K.</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Unless the context otherwise requires, the terms “we,” “our,” “us” refer to United on a consolidated basis. References to the Holding Company refer to United Community Banks, Inc. on an unconsolidated basis.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offer a wide array of commercial and consumer banking services and investment advisory services through a 162 branch network throughout Georgia, South Carolina, North Carolina, Tennessee and Florida. We have grown organically as well as through strategic acquisitions. At June 30, 2021, we had consolidated total assets of $18.9 billion and 2,440 full-time equivalent employees.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Mergers and Acquisitions</w:t>
      </w:r>
    </w:p>
    <w:p>
      <w:pPr>
        <w:spacing w:after="0" w:line="23" w:lineRule="exact"/>
        <w:rPr>
          <w:sz w:val="20"/>
          <w:szCs w:val="20"/>
          <w:color w:val="auto"/>
        </w:rPr>
      </w:pPr>
    </w:p>
    <w:p>
      <w:pPr>
        <w:jc w:val="both"/>
        <w:ind w:left="660" w:hanging="328"/>
        <w:spacing w:after="0" w:line="277" w:lineRule="auto"/>
        <w:tabs>
          <w:tab w:leader="none" w:pos="655" w:val="left"/>
        </w:tabs>
        <w:numPr>
          <w:ilvl w:val="0"/>
          <w:numId w:val="7"/>
        </w:numPr>
        <w:rPr>
          <w:rFonts w:ascii="Arial" w:cs="Arial" w:eastAsia="Arial" w:hAnsi="Arial"/>
          <w:sz w:val="17"/>
          <w:szCs w:val="17"/>
          <w:color w:val="auto"/>
        </w:rPr>
      </w:pPr>
      <w:r>
        <w:rPr>
          <w:rFonts w:ascii="Arial" w:cs="Arial" w:eastAsia="Arial" w:hAnsi="Arial"/>
          <w:sz w:val="17"/>
          <w:szCs w:val="17"/>
          <w:color w:val="auto"/>
        </w:rPr>
        <w:t>On July 1, 2020, we acquired Three Shores including its wholly-owned banking subsidiary, Seaside, headquartered in Orlando, Florida. Seaside was a premier commercial lender with a strong wealth management platform and operated a 14-branch network located in key Florida metropolitan markets. We acquired $2.13 billion of assets and assumed $1.99 billion of liabilities in the acquisition.</w:t>
      </w:r>
    </w:p>
    <w:p>
      <w:pPr>
        <w:spacing w:after="0" w:line="199" w:lineRule="exact"/>
        <w:rPr>
          <w:rFonts w:ascii="Arial" w:cs="Arial" w:eastAsia="Arial" w:hAnsi="Arial"/>
          <w:sz w:val="17"/>
          <w:szCs w:val="17"/>
          <w:color w:val="auto"/>
        </w:rPr>
      </w:pPr>
    </w:p>
    <w:p>
      <w:pPr>
        <w:jc w:val="both"/>
        <w:ind w:left="660" w:hanging="328"/>
        <w:spacing w:after="0" w:line="255"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Subsequent to quarter-end, on July 6, 2021, we acquired FinTrust Capital Partners, LLC, and its operating subsidiaries FinTrust Capital Advisors, LLC, FinTrust Capital Benefit Group, LLC and FinTrust Brokerage Services, LLC, collectively referred to as “FinTrust”. FinTrust is an investment advisory firm headquartered in Greenville, South Carolina, with additional locations in Anderson, South Carolina, and Athens and Macon, Georgia. The firm provides wealth and investment management services to individuals and institutions within its markets, which expands our Advisory Services division. As of June 30, 2021, FinTrust had assets under management of $2.09 billion across its advisory, retirement planning and brokerage businesses.</w:t>
      </w:r>
    </w:p>
    <w:p>
      <w:pPr>
        <w:spacing w:after="0" w:line="219" w:lineRule="exact"/>
        <w:rPr>
          <w:rFonts w:ascii="Arial" w:cs="Arial" w:eastAsia="Arial" w:hAnsi="Arial"/>
          <w:sz w:val="18"/>
          <w:szCs w:val="18"/>
          <w:color w:val="auto"/>
        </w:rPr>
      </w:pPr>
    </w:p>
    <w:p>
      <w:pPr>
        <w:jc w:val="both"/>
        <w:ind w:left="660" w:hanging="328"/>
        <w:spacing w:after="0" w:line="296" w:lineRule="auto"/>
        <w:tabs>
          <w:tab w:leader="none" w:pos="655" w:val="left"/>
        </w:tabs>
        <w:numPr>
          <w:ilvl w:val="0"/>
          <w:numId w:val="7"/>
        </w:numPr>
        <w:rPr>
          <w:rFonts w:ascii="Arial" w:cs="Arial" w:eastAsia="Arial" w:hAnsi="Arial"/>
          <w:sz w:val="16"/>
          <w:szCs w:val="16"/>
          <w:color w:val="auto"/>
        </w:rPr>
      </w:pPr>
      <w:r>
        <w:rPr>
          <w:rFonts w:ascii="Arial" w:cs="Arial" w:eastAsia="Arial" w:hAnsi="Arial"/>
          <w:sz w:val="16"/>
          <w:szCs w:val="16"/>
          <w:color w:val="auto"/>
        </w:rPr>
        <w:t>On May 27, 2021, we announced an agreement to acquire Aquesta Financial Holdings, Inc. and its wholly-owned subsidiary, Aquesta Bank, collectively referred to as “Aquesta”, which we plan to complete in October of 2021. Aquesta is headquartered in Cornelius, North Carolina. The bank’s high-touch customer service is delivered to retail and business customers through a network of nine branches primarily located in the Charlotte metropolitan area in addition to locations in Wilmington and Raleigh, North Carolina, as well as Greenville and Charleston, South Carolina. As of June 30, 2021, Aquesta reported total assets of $736 million, total loans of $524 million and total deposits of $641 million.</w:t>
      </w:r>
    </w:p>
    <w:p>
      <w:pPr>
        <w:spacing w:after="0" w:line="188" w:lineRule="exact"/>
        <w:rPr>
          <w:rFonts w:ascii="Arial" w:cs="Arial" w:eastAsia="Arial" w:hAnsi="Arial"/>
          <w:sz w:val="16"/>
          <w:szCs w:val="16"/>
          <w:color w:val="auto"/>
        </w:rPr>
      </w:pPr>
    </w:p>
    <w:p>
      <w:pPr>
        <w:jc w:val="both"/>
        <w:ind w:left="660" w:hanging="328"/>
        <w:spacing w:after="0" w:line="275" w:lineRule="auto"/>
        <w:tabs>
          <w:tab w:leader="none" w:pos="655" w:val="left"/>
        </w:tabs>
        <w:numPr>
          <w:ilvl w:val="0"/>
          <w:numId w:val="7"/>
        </w:numPr>
        <w:rPr>
          <w:rFonts w:ascii="Arial" w:cs="Arial" w:eastAsia="Arial" w:hAnsi="Arial"/>
          <w:sz w:val="17"/>
          <w:szCs w:val="17"/>
          <w:color w:val="auto"/>
        </w:rPr>
      </w:pPr>
      <w:r>
        <w:rPr>
          <w:rFonts w:ascii="Arial" w:cs="Arial" w:eastAsia="Arial" w:hAnsi="Arial"/>
          <w:sz w:val="17"/>
          <w:szCs w:val="17"/>
          <w:color w:val="auto"/>
        </w:rPr>
        <w:t>On July 14, 2021, we announced an agreement to acquire Reliant Bancorp, Inc. and its wholly-owned subsidiary, Reliant Bank, collectively referred to as “Reliant”, which we plan to complete in the first quarter of 2022. Reliant is headquartered in Brentwood, Tennessee, a suburb of Nashville, Tennessee and operates a 25 branch network in Tennessee, located primarily in some of the Nashville area’s most attractive markets, as well as in Clarksville and Chattanooga. It also has a manufactured housing finance group based in Knoxville. As of June 30, 2021, Reliant reported total assets of $3.10 billion, total loans of $2.32 billion, and total deposits of $2.63 billion.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COVID-19</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second quarter of 2021, as a result of the widespread distribution of COVID-19 vaccinations and reduction in COVID-19 cases nationally and within our markets, we substantially returned to normal retail operations by reopening the majority of our branch lobbies. We continue to monitor the impact of the COVID-19 pandemic on our business and to offer assistance to our customers affected by its economic effects, through payment deferrals and participation in the CARES Act and PPP loan program. Loans with active COVID-19 payment deferrals have declined dramatically, with $17.8 million outstanding at June 30, 2021, a 75% reduction since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auto"/>
        </w:rPr>
        <w:t>Other</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Effective July 1, 2021, the Bank moved its headquarters from Blairsville, Georgia to Greenville, South Carolina and became a South Carolina state-chartered bank subject to examination and reporting requirements of the South Carolina Board of Financial Institutions. Prior to that, the Bank was a Georgia state-chartered bank subject to examination and reporting requirements of the Georgia Department of Banking and Finance. Also effective July 1, 2021, the Holding Company, which remains headquartered in Blairsville, Georgia, elected to become a financial holding company, which allows us to engage in a broader range of financial activities. Neither of these changes had a material impact on our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reported net income and diluted earnings per common share of $70.3 million and $0.78, respectively, for the second quarter of 2021 compared to $25.1 million and $0.32, respectively, for the same period in 2020. Operating net income (non-GAAP), which excludes merger-related and other charges, was $71.1 million for the second quarter of 2021, compared to $25.4 million for the same period in 2020. The increase in net income and operating net income was driven by increased net interest revenue and a release of provision for credit losses partly offset by a decrease in noninterest income and an increase in noninterest expense during the second quarter of 2021.</w:t>
      </w:r>
    </w:p>
    <w:p>
      <w:pPr>
        <w:spacing w:after="0" w:line="10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Net interest revenue increased to $138 million for the second quarter of 2021, compared to $109 million for the second quarter of 2020, due to several factors including loan growth, much of which resulted from the addition of PPP loans and loans acquired from Three Shores, accelerated recognition of net deferred fees on forgiven and repaid PPP loans and a more favorable deposit mix. The net interest margin decreased to 3.19% for the three months ended June 30, 2021 from 3.42% for the same period in 2020 primarily due to the effect of falling interest rates on our asset sensitive balance sheet and a change in the composition of interest-earning assets as we strategically increased our securities portfolio to deploy excess liquidity from strong deposit growth.</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recorded a negative provision for credit losses of $13.6 million for the second quarter of 2021, compared to $33.5 million of provision expense for the second quarter of 2020. The negative provision in 2021 resulted from a downward adjustment to the ACL, reflecting an improved economic forecast. The provision for credit losses for the second quarter of 2020 reflected the expected macroeconomic effects of the COVID-19 pandemic and associated increase in charge-offs. We recognized net recoveries for the second quarter of 2021 of $456,000 compared to $6.15 million of net charge-offs for the same period in 2020.</w:t>
      </w:r>
    </w:p>
    <w:p>
      <w:pPr>
        <w:spacing w:after="0" w:line="21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Noninterest income of $35.8 million for the second quarter of 2021 was down $4.40 million, or 11%, from the second quarter of 2020. Gains on sales of mortgage loans and related fees drove most of the decrease, down $12.5 million compared to the same period of 2020. The decrease reflects the demand in the real estate mortgage market, which, while still strong, has started to level out after the initial surge in response to falling interest rates in early 2020. This decrease was partially offset by increases in gains on sales of other loans, driven by higher sales volume of SBA/USDA and equipment financing receivables, and wealth management fees, which reflects the addition of Three Shores’ wealth management business.</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second quarter of 2021, noninterest expenses of $95.5 million increased $11.6 million, or 14%, compared to the same period of 2020. The increase was primarily attributable to a $7.60 million increase in salaries and employee benefits, which was driven by several factors, including the inclusion of Three Shores employees, higher mortgage commissions, incentives and bonus accruals as a result of strong production during the period and annual merit increases effective in April of 2021.</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six months ended June 30, 2021 and 2020, we reported net income of $144 million and $57.0 million, respectively, and diluted earnings per common share of $1.60 and $0.71, respectively. Operating net income (non-GAAP) for the six months ended June 30, 2021 and 2020, of $146 million and $57.9 million, respectively, excluded merger-related charges for both periods. Net interest revenue and net interest margin for the six months ended June 30, 2021 were $270 million and 3.20%, respectively, compared to $228 million and 3.73%, respectively, for the same period in 2020. Results of operations for the six months ended June 30, 2021 were largely driven by the same factors affecting the quarter and are discussed in further detail throughout the following sections of MD&amp;A.</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accounting and reporting policies are in accordance with GAAP and conform to general practices within the banking industry. Our more critical accounting and reporting policies include accounting for the ACL and fair value measurements, both of which involve the use of estimates and require significant judgments by management. Different assumptions in the application of these policies could result in material changes in our consolidated financial position or consolidated results of operations. Our critical accounting policies are discussed in MD&amp;A in our 2020 10-K. There have been no significant changes to our critical accounting policies in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Non-GAAP Reconciliation and Explanation</w:t>
      </w:r>
    </w:p>
    <w:p>
      <w:pPr>
        <w:spacing w:after="0" w:line="25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Report contains financial information determined by methods other than in accordance with GAAP. Such non-GAAP financial information includes the following measures: “tangible book value per common share,” and “tangible common equity to tangible assets.” In addition, management presents non-GAAP operating performance measures, which exclude merger-related and other items that are not part of our ongoing business operations. Operating performance measures include “expenses – operating,” “net income – operating,” “diluted income per common share – operating,” “return on common equity – operating,” “return on tangible common equity – operating,” “return on assets – operating,” “dividend payout ratio – operating” and “efficiency ratio – operating.” Management has developed internal policies and procedures to accurately capture and account for merger-related and other charges and those charges are reviewed with the Audit Committee of our Board each quarter. Management uses these non-GAAP measures because it believes they provide useful supplemental information for evaluating our operations and performance over periods of time, as well as in managing and evaluating our business and in discussions about our operations and performance. Management believes these non-GAAP measures may also provide users of our financial information with a meaningful measure for assessing our financial results and credit trends, as well as a comparison to financial results for prior periods. Nevertheless, non-GAAP measures have inherent limitations, are not required to be uniformly applied and are not audited. These non-GAAP measures should be viewed in addition to, and not as an alternative to or substitute for, measures determined in accordance with GAAP. In addition, because non-GAAP measures are not standardized, it may not be possible to compare our non-GAAP measures to similarly titled measures used by other companies. To the extent applicable, reconciliations of these non-GAAP measures to the most directly comparable measures as reported in accordance with GAAP are included in Table 1 of MD&amp;A.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5" w:name="page36"/>
    <w:bookmarkEnd w:id="35"/>
    <w:p>
      <w:pPr>
        <w:ind w:left="20"/>
        <w:spacing w:after="0"/>
        <w:rPr>
          <w:sz w:val="20"/>
          <w:szCs w:val="20"/>
          <w:color w:val="auto"/>
        </w:rPr>
      </w:pPr>
      <w:r>
        <w:rPr>
          <w:rFonts w:ascii="Arial" w:cs="Arial" w:eastAsia="Arial" w:hAnsi="Arial"/>
          <w:sz w:val="13"/>
          <w:szCs w:val="13"/>
          <w:b w:val="1"/>
          <w:bCs w:val="1"/>
          <w:color w:val="auto"/>
        </w:rPr>
        <w:t>UNITED COMMUNITY BANKS, INC.</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Table 1 - Financial Highlights</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Selected Financial Information</w:t>
      </w:r>
    </w:p>
    <w:p>
      <w:pPr>
        <w:spacing w:after="0" w:line="30" w:lineRule="exact"/>
        <w:rPr>
          <w:sz w:val="20"/>
          <w:szCs w:val="20"/>
          <w:color w:val="auto"/>
        </w:rPr>
      </w:pPr>
    </w:p>
    <w:p>
      <w:pPr>
        <w:ind w:left="60"/>
        <w:spacing w:after="0"/>
        <w:rPr>
          <w:sz w:val="20"/>
          <w:szCs w:val="20"/>
          <w:color w:val="auto"/>
        </w:rPr>
      </w:pPr>
      <w:r>
        <w:rPr>
          <w:rFonts w:ascii="Arial" w:cs="Arial" w:eastAsia="Arial" w:hAnsi="Arial"/>
          <w:sz w:val="13"/>
          <w:szCs w:val="13"/>
          <w:i w:val="1"/>
          <w:iCs w:val="1"/>
          <w:color w:val="auto"/>
        </w:rPr>
        <w:t>(in thousands, except per share data)</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7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3"/>
            <w:vMerge w:val="restart"/>
          </w:tcPr>
          <w:p>
            <w:pPr>
              <w:jc w:val="right"/>
              <w:ind w:right="37"/>
              <w:spacing w:after="0"/>
              <w:rPr>
                <w:sz w:val="20"/>
                <w:szCs w:val="20"/>
                <w:color w:val="auto"/>
              </w:rPr>
            </w:pPr>
            <w:r>
              <w:rPr>
                <w:rFonts w:ascii="Arial" w:cs="Arial" w:eastAsia="Arial" w:hAnsi="Arial"/>
                <w:sz w:val="13"/>
                <w:szCs w:val="13"/>
                <w:b w:val="1"/>
                <w:bCs w:val="1"/>
                <w:color w:val="auto"/>
              </w:rPr>
              <w:t>2021</w:t>
            </w:r>
          </w:p>
        </w:tc>
        <w:tc>
          <w:tcPr>
            <w:tcW w:w="6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vMerge w:val="restart"/>
          </w:tcPr>
          <w:p>
            <w:pPr>
              <w:jc w:val="right"/>
              <w:ind w:right="237"/>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5"/>
              </w:rPr>
              <w:t>Second</w:t>
            </w:r>
          </w:p>
        </w:tc>
        <w:tc>
          <w:tcPr>
            <w:tcW w:w="1860" w:type="dxa"/>
            <w:vAlign w:val="bottom"/>
            <w:tcBorders>
              <w:top w:val="single" w:sz="8" w:color="auto"/>
            </w:tcBorders>
            <w:gridSpan w:val="5"/>
          </w:tcPr>
          <w:p>
            <w:pPr>
              <w:jc w:val="right"/>
              <w:ind w:right="17"/>
              <w:spacing w:after="0" w:line="131" w:lineRule="exact"/>
              <w:rPr>
                <w:sz w:val="20"/>
                <w:szCs w:val="20"/>
                <w:color w:val="auto"/>
              </w:rPr>
            </w:pPr>
            <w:r>
              <w:rPr>
                <w:rFonts w:ascii="Arial" w:cs="Arial" w:eastAsia="Arial" w:hAnsi="Arial"/>
                <w:sz w:val="13"/>
                <w:szCs w:val="13"/>
                <w:b w:val="1"/>
                <w:bCs w:val="1"/>
                <w:color w:val="auto"/>
                <w:w w:val="90"/>
              </w:rPr>
              <w:t>For the Six Months Ended June</w:t>
            </w: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3"/>
            <w:vMerge w:val="continue"/>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gridSpan w:val="3"/>
          </w:tcPr>
          <w:p>
            <w:pPr>
              <w:jc w:val="right"/>
              <w:ind w:right="97"/>
              <w:spacing w:after="0" w:line="122" w:lineRule="exact"/>
              <w:rPr>
                <w:sz w:val="20"/>
                <w:szCs w:val="20"/>
                <w:color w:val="auto"/>
              </w:rPr>
            </w:pPr>
            <w:r>
              <w:rPr>
                <w:rFonts w:ascii="Arial" w:cs="Arial" w:eastAsia="Arial" w:hAnsi="Arial"/>
                <w:sz w:val="13"/>
                <w:szCs w:val="13"/>
                <w:b w:val="1"/>
                <w:bCs w:val="1"/>
                <w:color w:val="auto"/>
              </w:rPr>
              <w:t>30,</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74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gridSpan w:val="2"/>
          </w:tcPr>
          <w:p>
            <w:pPr>
              <w:jc w:val="center"/>
              <w:ind w:right="100"/>
              <w:spacing w:after="0" w:line="54" w:lineRule="exact"/>
              <w:rPr>
                <w:sz w:val="20"/>
                <w:szCs w:val="20"/>
                <w:color w:val="auto"/>
              </w:rPr>
            </w:pPr>
            <w:r>
              <w:rPr>
                <w:rFonts w:ascii="Arial" w:cs="Arial" w:eastAsia="Arial" w:hAnsi="Arial"/>
                <w:sz w:val="6"/>
                <w:szCs w:val="6"/>
                <w:b w:val="1"/>
                <w:bCs w:val="1"/>
                <w:color w:val="auto"/>
              </w:rPr>
              <w:t>Quarter</w:t>
            </w: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2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center"/>
              <w:ind w:right="260"/>
              <w:spacing w:after="0" w:line="129" w:lineRule="exact"/>
              <w:rPr>
                <w:sz w:val="20"/>
                <w:szCs w:val="20"/>
                <w:color w:val="auto"/>
              </w:rPr>
            </w:pPr>
            <w:r>
              <w:rPr>
                <w:rFonts w:ascii="Arial" w:cs="Arial" w:eastAsia="Arial" w:hAnsi="Arial"/>
                <w:sz w:val="13"/>
                <w:szCs w:val="13"/>
                <w:b w:val="1"/>
                <w:bCs w:val="1"/>
                <w:color w:val="auto"/>
                <w:w w:val="85"/>
              </w:rPr>
              <w:t>Second</w:t>
            </w:r>
          </w:p>
        </w:tc>
        <w:tc>
          <w:tcPr>
            <w:tcW w:w="98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First Quarter</w:t>
            </w:r>
          </w:p>
        </w:tc>
        <w:tc>
          <w:tcPr>
            <w:tcW w:w="140" w:type="dxa"/>
            <w:vAlign w:val="bottom"/>
          </w:tcPr>
          <w:p>
            <w:pPr>
              <w:spacing w:after="0"/>
              <w:rPr>
                <w:sz w:val="11"/>
                <w:szCs w:val="11"/>
                <w:color w:val="auto"/>
              </w:rPr>
            </w:pPr>
          </w:p>
        </w:tc>
        <w:tc>
          <w:tcPr>
            <w:tcW w:w="820" w:type="dxa"/>
            <w:vAlign w:val="bottom"/>
            <w:gridSpan w:val="2"/>
          </w:tcPr>
          <w:p>
            <w:pPr>
              <w:jc w:val="center"/>
              <w:ind w:right="240"/>
              <w:spacing w:after="0" w:line="129" w:lineRule="exact"/>
              <w:rPr>
                <w:sz w:val="20"/>
                <w:szCs w:val="20"/>
                <w:color w:val="auto"/>
              </w:rPr>
            </w:pPr>
            <w:r>
              <w:rPr>
                <w:rFonts w:ascii="Arial" w:cs="Arial" w:eastAsia="Arial" w:hAnsi="Arial"/>
                <w:sz w:val="13"/>
                <w:szCs w:val="13"/>
                <w:b w:val="1"/>
                <w:bCs w:val="1"/>
                <w:color w:val="auto"/>
                <w:w w:val="92"/>
              </w:rPr>
              <w:t>Fourth</w:t>
            </w:r>
          </w:p>
        </w:tc>
        <w:tc>
          <w:tcPr>
            <w:tcW w:w="98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Third Quarter</w:t>
            </w:r>
          </w:p>
        </w:tc>
        <w:tc>
          <w:tcPr>
            <w:tcW w:w="140" w:type="dxa"/>
            <w:vAlign w:val="bottom"/>
          </w:tcPr>
          <w:p>
            <w:pPr>
              <w:spacing w:after="0"/>
              <w:rPr>
                <w:sz w:val="11"/>
                <w:szCs w:val="11"/>
                <w:color w:val="auto"/>
              </w:rPr>
            </w:pPr>
          </w:p>
        </w:tc>
        <w:tc>
          <w:tcPr>
            <w:tcW w:w="720" w:type="dxa"/>
            <w:vAlign w:val="bottom"/>
          </w:tcPr>
          <w:p>
            <w:pPr>
              <w:jc w:val="right"/>
              <w:ind w:right="177"/>
              <w:spacing w:after="0" w:line="129" w:lineRule="exact"/>
              <w:rPr>
                <w:sz w:val="20"/>
                <w:szCs w:val="20"/>
                <w:color w:val="auto"/>
              </w:rPr>
            </w:pPr>
            <w:r>
              <w:rPr>
                <w:rFonts w:ascii="Arial" w:cs="Arial" w:eastAsia="Arial" w:hAnsi="Arial"/>
                <w:sz w:val="13"/>
                <w:szCs w:val="13"/>
                <w:b w:val="1"/>
                <w:bCs w:val="1"/>
                <w:color w:val="auto"/>
                <w:w w:val="97"/>
              </w:rPr>
              <w:t>Second</w:t>
            </w:r>
          </w:p>
        </w:tc>
        <w:tc>
          <w:tcPr>
            <w:tcW w:w="980" w:type="dxa"/>
            <w:vAlign w:val="bottom"/>
            <w:gridSpan w:val="2"/>
          </w:tcPr>
          <w:p>
            <w:pPr>
              <w:jc w:val="center"/>
              <w:ind w:left="37"/>
              <w:spacing w:after="0" w:line="129" w:lineRule="exact"/>
              <w:rPr>
                <w:sz w:val="20"/>
                <w:szCs w:val="20"/>
                <w:color w:val="auto"/>
              </w:rPr>
            </w:pPr>
            <w:r>
              <w:rPr>
                <w:rFonts w:ascii="Arial" w:cs="Arial" w:eastAsia="Arial" w:hAnsi="Arial"/>
                <w:sz w:val="13"/>
                <w:szCs w:val="13"/>
                <w:b w:val="1"/>
                <w:bCs w:val="1"/>
                <w:color w:val="auto"/>
                <w:w w:val="86"/>
              </w:rPr>
              <w:t>2021 - 2020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vMerge w:val="restart"/>
          </w:tcPr>
          <w:p>
            <w:pPr>
              <w:jc w:val="right"/>
              <w:ind w:right="257"/>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vMerge w:val="restart"/>
          </w:tcPr>
          <w:p>
            <w:pPr>
              <w:jc w:val="right"/>
              <w:ind w:right="237"/>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1"/>
                <w:szCs w:val="11"/>
                <w:color w:val="auto"/>
              </w:rPr>
            </w:pPr>
          </w:p>
        </w:tc>
        <w:tc>
          <w:tcPr>
            <w:tcW w:w="680" w:type="dxa"/>
            <w:vAlign w:val="bottom"/>
          </w:tcPr>
          <w:p>
            <w:pPr>
              <w:jc w:val="right"/>
              <w:ind w:right="157"/>
              <w:spacing w:after="0" w:line="129" w:lineRule="exact"/>
              <w:rPr>
                <w:sz w:val="20"/>
                <w:szCs w:val="20"/>
                <w:color w:val="auto"/>
              </w:rPr>
            </w:pPr>
            <w:r>
              <w:rPr>
                <w:rFonts w:ascii="Arial" w:cs="Arial" w:eastAsia="Arial" w:hAnsi="Arial"/>
                <w:sz w:val="13"/>
                <w:szCs w:val="13"/>
                <w:b w:val="1"/>
                <w:bCs w:val="1"/>
                <w:color w:val="auto"/>
              </w:rPr>
              <w:t>YTD</w:t>
            </w:r>
          </w:p>
        </w:tc>
        <w:tc>
          <w:tcPr>
            <w:tcW w:w="0" w:type="dxa"/>
            <w:vAlign w:val="bottom"/>
          </w:tcPr>
          <w:p>
            <w:pPr>
              <w:spacing w:after="0"/>
              <w:rPr>
                <w:sz w:val="1"/>
                <w:szCs w:val="1"/>
                <w:color w:val="auto"/>
              </w:rPr>
            </w:pPr>
          </w:p>
        </w:tc>
      </w:tr>
      <w:tr>
        <w:trPr>
          <w:trHeight w:val="169"/>
        </w:trPr>
        <w:tc>
          <w:tcPr>
            <w:tcW w:w="2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3"/>
              </w:rPr>
              <w:t>Quarter</w:t>
            </w:r>
          </w:p>
        </w:tc>
        <w:tc>
          <w:tcPr>
            <w:tcW w:w="9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3"/>
              </w:rPr>
              <w:t>Quarter</w:t>
            </w:r>
          </w:p>
        </w:tc>
        <w:tc>
          <w:tcPr>
            <w:tcW w:w="9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157"/>
              <w:spacing w:after="0"/>
              <w:rPr>
                <w:sz w:val="20"/>
                <w:szCs w:val="20"/>
                <w:color w:val="auto"/>
              </w:rPr>
            </w:pPr>
            <w:r>
              <w:rPr>
                <w:rFonts w:ascii="Arial" w:cs="Arial" w:eastAsia="Arial" w:hAnsi="Arial"/>
                <w:sz w:val="13"/>
                <w:szCs w:val="13"/>
                <w:b w:val="1"/>
                <w:bCs w:val="1"/>
                <w:color w:val="auto"/>
              </w:rPr>
              <w:t>Quarter</w:t>
            </w:r>
          </w:p>
        </w:tc>
        <w:tc>
          <w:tcPr>
            <w:tcW w:w="10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3"/>
              </w:rPr>
              <w:t>Change</w:t>
            </w:r>
          </w:p>
        </w:tc>
        <w:tc>
          <w:tcPr>
            <w:tcW w:w="2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68"/>
        </w:trPr>
        <w:tc>
          <w:tcPr>
            <w:tcW w:w="2740" w:type="dxa"/>
            <w:vAlign w:val="bottom"/>
          </w:tcPr>
          <w:p>
            <w:pPr>
              <w:ind w:left="20"/>
              <w:spacing w:after="0"/>
              <w:rPr>
                <w:sz w:val="20"/>
                <w:szCs w:val="20"/>
                <w:color w:val="auto"/>
              </w:rPr>
            </w:pPr>
            <w:r>
              <w:rPr>
                <w:rFonts w:ascii="Arial" w:cs="Arial" w:eastAsia="Arial" w:hAnsi="Arial"/>
                <w:sz w:val="13"/>
                <w:szCs w:val="13"/>
                <w:b w:val="1"/>
                <w:bCs w:val="1"/>
                <w:color w:val="auto"/>
              </w:rPr>
              <w:t>INCOME SUMMARY</w:t>
            </w:r>
          </w:p>
        </w:tc>
        <w:tc>
          <w:tcPr>
            <w:tcW w:w="1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revenue</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145,809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141,542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156,071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141,773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123,605</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287,351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260,152</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7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Interest expense</w:t>
            </w: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7,433</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9,478</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10,676</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13,319</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14,301</w:t>
            </w:r>
          </w:p>
        </w:tc>
        <w:tc>
          <w:tcPr>
            <w:tcW w:w="10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16,911</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32,242</w:t>
            </w:r>
          </w:p>
        </w:tc>
        <w:tc>
          <w:tcPr>
            <w:tcW w:w="12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interest revenue</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138,376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132,064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145,395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128,454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109,304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27 %</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270,440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227,910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19 %</w:t>
            </w:r>
          </w:p>
        </w:tc>
        <w:tc>
          <w:tcPr>
            <w:tcW w:w="0" w:type="dxa"/>
            <w:vAlign w:val="bottom"/>
          </w:tcPr>
          <w:p>
            <w:pPr>
              <w:spacing w:after="0"/>
              <w:rPr>
                <w:sz w:val="1"/>
                <w:szCs w:val="1"/>
                <w:color w:val="auto"/>
              </w:rPr>
            </w:pPr>
          </w:p>
        </w:tc>
      </w:tr>
      <w:tr>
        <w:trPr>
          <w:trHeight w:val="168"/>
        </w:trPr>
        <w:tc>
          <w:tcPr>
            <w:tcW w:w="2740" w:type="dxa"/>
            <w:vAlign w:val="bottom"/>
          </w:tcPr>
          <w:p>
            <w:pPr>
              <w:ind w:left="20"/>
              <w:spacing w:after="0"/>
              <w:rPr>
                <w:sz w:val="20"/>
                <w:szCs w:val="20"/>
                <w:color w:val="auto"/>
              </w:rPr>
            </w:pPr>
            <w:r>
              <w:rPr>
                <w:rFonts w:ascii="Arial" w:cs="Arial" w:eastAsia="Arial" w:hAnsi="Arial"/>
                <w:sz w:val="13"/>
                <w:szCs w:val="13"/>
                <w:color w:val="auto"/>
              </w:rPr>
              <w:t>(Release of) provision for credit losses</w:t>
            </w:r>
          </w:p>
        </w:tc>
        <w:tc>
          <w:tcPr>
            <w:tcW w:w="160" w:type="dxa"/>
            <w:vAlign w:val="bottom"/>
          </w:tcPr>
          <w:p>
            <w:pPr>
              <w:spacing w:after="0"/>
              <w:rPr>
                <w:sz w:val="14"/>
                <w:szCs w:val="14"/>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(13,588)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(12,281)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2,907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21,793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33,543</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(25,869)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55,734</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Noninterest income</w:t>
            </w:r>
          </w:p>
        </w:tc>
        <w:tc>
          <w:tcPr>
            <w:tcW w:w="16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35,841</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44,705</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41,375</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48,682</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40,238</w:t>
            </w:r>
          </w:p>
        </w:tc>
        <w:tc>
          <w:tcPr>
            <w:tcW w:w="980" w:type="dxa"/>
            <w:vAlign w:val="bottom"/>
            <w:gridSpan w:val="2"/>
            <w:shd w:val="clear" w:color="auto" w:fill="CCEEFF"/>
          </w:tcPr>
          <w:p>
            <w:pPr>
              <w:jc w:val="right"/>
              <w:ind w:right="88"/>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80,546</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66,052</w:t>
            </w:r>
          </w:p>
        </w:tc>
        <w:tc>
          <w:tcPr>
            <w:tcW w:w="800" w:type="dxa"/>
            <w:vAlign w:val="bottom"/>
            <w:gridSpan w:val="2"/>
            <w:shd w:val="clear" w:color="auto" w:fill="CCEEFF"/>
          </w:tcPr>
          <w:p>
            <w:pPr>
              <w:jc w:val="right"/>
              <w:ind w:right="97"/>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61"/>
        </w:trPr>
        <w:tc>
          <w:tcPr>
            <w:tcW w:w="2740" w:type="dxa"/>
            <w:vAlign w:val="bottom"/>
          </w:tcPr>
          <w:p>
            <w:pPr>
              <w:ind w:left="140"/>
              <w:spacing w:after="0"/>
              <w:rPr>
                <w:sz w:val="20"/>
                <w:szCs w:val="20"/>
                <w:color w:val="auto"/>
              </w:rPr>
            </w:pPr>
            <w:r>
              <w:rPr>
                <w:rFonts w:ascii="Arial" w:cs="Arial" w:eastAsia="Arial" w:hAnsi="Arial"/>
                <w:sz w:val="13"/>
                <w:szCs w:val="13"/>
                <w:b w:val="1"/>
                <w:bCs w:val="1"/>
                <w:color w:val="auto"/>
              </w:rPr>
              <w:t>Total revenue</w:t>
            </w:r>
          </w:p>
        </w:tc>
        <w:tc>
          <w:tcPr>
            <w:tcW w:w="160" w:type="dxa"/>
            <w:vAlign w:val="bottom"/>
          </w:tcPr>
          <w:p>
            <w:pPr>
              <w:spacing w:after="0"/>
              <w:rPr>
                <w:sz w:val="14"/>
                <w:szCs w:val="14"/>
                <w:color w:val="auto"/>
              </w:rPr>
            </w:pPr>
          </w:p>
        </w:tc>
        <w:tc>
          <w:tcPr>
            <w:tcW w:w="720" w:type="dxa"/>
            <w:vAlign w:val="bottom"/>
          </w:tcPr>
          <w:p>
            <w:pPr>
              <w:jc w:val="right"/>
              <w:ind w:right="117"/>
              <w:spacing w:after="0"/>
              <w:rPr>
                <w:sz w:val="20"/>
                <w:szCs w:val="20"/>
                <w:color w:val="auto"/>
              </w:rPr>
            </w:pPr>
            <w:r>
              <w:rPr>
                <w:rFonts w:ascii="Arial" w:cs="Arial" w:eastAsia="Arial" w:hAnsi="Arial"/>
                <w:sz w:val="13"/>
                <w:szCs w:val="13"/>
                <w:color w:val="auto"/>
              </w:rPr>
              <w:t>187,805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189,050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183,863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155,343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115,999</w:t>
            </w:r>
          </w:p>
        </w:tc>
        <w:tc>
          <w:tcPr>
            <w:tcW w:w="980" w:type="dxa"/>
            <w:vAlign w:val="bottom"/>
            <w:gridSpan w:val="2"/>
          </w:tcPr>
          <w:p>
            <w:pPr>
              <w:jc w:val="right"/>
              <w:ind w:right="128"/>
              <w:spacing w:after="0"/>
              <w:rPr>
                <w:sz w:val="20"/>
                <w:szCs w:val="20"/>
                <w:color w:val="auto"/>
              </w:rPr>
            </w:pPr>
            <w:r>
              <w:rPr>
                <w:rFonts w:ascii="Arial" w:cs="Arial" w:eastAsia="Arial" w:hAnsi="Arial"/>
                <w:sz w:val="13"/>
                <w:szCs w:val="13"/>
                <w:color w:val="auto"/>
              </w:rPr>
              <w:t>62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376,855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238,228</w:t>
            </w:r>
          </w:p>
        </w:tc>
        <w:tc>
          <w:tcPr>
            <w:tcW w:w="800" w:type="dxa"/>
            <w:vAlign w:val="bottom"/>
            <w:gridSpan w:val="2"/>
          </w:tcPr>
          <w:p>
            <w:pPr>
              <w:jc w:val="right"/>
              <w:ind w:right="97"/>
              <w:spacing w:after="0"/>
              <w:rPr>
                <w:sz w:val="20"/>
                <w:szCs w:val="20"/>
                <w:color w:val="auto"/>
              </w:rPr>
            </w:pPr>
            <w:r>
              <w:rPr>
                <w:rFonts w:ascii="Arial" w:cs="Arial" w:eastAsia="Arial" w:hAnsi="Arial"/>
                <w:sz w:val="13"/>
                <w:szCs w:val="13"/>
                <w:color w:val="auto"/>
              </w:rPr>
              <w:t>58</w:t>
            </w:r>
          </w:p>
        </w:tc>
        <w:tc>
          <w:tcPr>
            <w:tcW w:w="0" w:type="dxa"/>
            <w:vAlign w:val="bottom"/>
          </w:tcPr>
          <w:p>
            <w:pPr>
              <w:spacing w:after="0"/>
              <w:rPr>
                <w:sz w:val="1"/>
                <w:szCs w:val="1"/>
                <w:color w:val="auto"/>
              </w:rPr>
            </w:pPr>
          </w:p>
        </w:tc>
      </w:tr>
      <w:tr>
        <w:trPr>
          <w:trHeight w:val="183"/>
        </w:trPr>
        <w:tc>
          <w:tcPr>
            <w:tcW w:w="2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Expenses</w:t>
            </w:r>
          </w:p>
        </w:tc>
        <w:tc>
          <w:tcPr>
            <w:tcW w:w="16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95,540</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95,194</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106,490</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95,981</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83,980</w:t>
            </w:r>
          </w:p>
        </w:tc>
        <w:tc>
          <w:tcPr>
            <w:tcW w:w="980" w:type="dxa"/>
            <w:vAlign w:val="bottom"/>
            <w:gridSpan w:val="2"/>
            <w:shd w:val="clear" w:color="auto" w:fill="CCEEFF"/>
          </w:tcPr>
          <w:p>
            <w:pPr>
              <w:jc w:val="right"/>
              <w:ind w:right="128"/>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190,734</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165,518</w:t>
            </w:r>
          </w:p>
        </w:tc>
        <w:tc>
          <w:tcPr>
            <w:tcW w:w="800" w:type="dxa"/>
            <w:vAlign w:val="bottom"/>
            <w:gridSpan w:val="2"/>
            <w:shd w:val="clear" w:color="auto" w:fill="CCEEFF"/>
          </w:tcPr>
          <w:p>
            <w:pPr>
              <w:jc w:val="right"/>
              <w:ind w:right="97"/>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61"/>
        </w:trPr>
        <w:tc>
          <w:tcPr>
            <w:tcW w:w="2740" w:type="dxa"/>
            <w:vAlign w:val="bottom"/>
          </w:tcPr>
          <w:p>
            <w:pPr>
              <w:ind w:left="140"/>
              <w:spacing w:after="0"/>
              <w:rPr>
                <w:sz w:val="20"/>
                <w:szCs w:val="20"/>
                <w:color w:val="auto"/>
              </w:rPr>
            </w:pPr>
            <w:r>
              <w:rPr>
                <w:rFonts w:ascii="Arial" w:cs="Arial" w:eastAsia="Arial" w:hAnsi="Arial"/>
                <w:sz w:val="13"/>
                <w:szCs w:val="13"/>
                <w:color w:val="auto"/>
              </w:rPr>
              <w:t>Income before income tax expense</w:t>
            </w:r>
          </w:p>
        </w:tc>
        <w:tc>
          <w:tcPr>
            <w:tcW w:w="160" w:type="dxa"/>
            <w:vAlign w:val="bottom"/>
          </w:tcPr>
          <w:p>
            <w:pPr>
              <w:spacing w:after="0"/>
              <w:rPr>
                <w:sz w:val="14"/>
                <w:szCs w:val="14"/>
                <w:color w:val="auto"/>
              </w:rPr>
            </w:pPr>
          </w:p>
        </w:tc>
        <w:tc>
          <w:tcPr>
            <w:tcW w:w="720" w:type="dxa"/>
            <w:vAlign w:val="bottom"/>
          </w:tcPr>
          <w:p>
            <w:pPr>
              <w:jc w:val="right"/>
              <w:ind w:right="117"/>
              <w:spacing w:after="0"/>
              <w:rPr>
                <w:sz w:val="20"/>
                <w:szCs w:val="20"/>
                <w:color w:val="auto"/>
              </w:rPr>
            </w:pPr>
            <w:r>
              <w:rPr>
                <w:rFonts w:ascii="Arial" w:cs="Arial" w:eastAsia="Arial" w:hAnsi="Arial"/>
                <w:sz w:val="13"/>
                <w:szCs w:val="13"/>
                <w:color w:val="auto"/>
              </w:rPr>
              <w:t>92,265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93,856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77,373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59,362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32,019</w:t>
            </w:r>
          </w:p>
        </w:tc>
        <w:tc>
          <w:tcPr>
            <w:tcW w:w="980" w:type="dxa"/>
            <w:vAlign w:val="bottom"/>
            <w:gridSpan w:val="2"/>
          </w:tcPr>
          <w:p>
            <w:pPr>
              <w:jc w:val="right"/>
              <w:ind w:right="128"/>
              <w:spacing w:after="0"/>
              <w:rPr>
                <w:sz w:val="20"/>
                <w:szCs w:val="20"/>
                <w:color w:val="auto"/>
              </w:rPr>
            </w:pPr>
            <w:r>
              <w:rPr>
                <w:rFonts w:ascii="Arial" w:cs="Arial" w:eastAsia="Arial" w:hAnsi="Arial"/>
                <w:sz w:val="13"/>
                <w:szCs w:val="13"/>
                <w:color w:val="auto"/>
              </w:rPr>
              <w:t>188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186,121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72,710</w:t>
            </w:r>
          </w:p>
        </w:tc>
        <w:tc>
          <w:tcPr>
            <w:tcW w:w="800" w:type="dxa"/>
            <w:vAlign w:val="bottom"/>
            <w:gridSpan w:val="2"/>
          </w:tcPr>
          <w:p>
            <w:pPr>
              <w:jc w:val="right"/>
              <w:ind w:right="97"/>
              <w:spacing w:after="0"/>
              <w:rPr>
                <w:sz w:val="20"/>
                <w:szCs w:val="20"/>
                <w:color w:val="auto"/>
              </w:rPr>
            </w:pPr>
            <w:r>
              <w:rPr>
                <w:rFonts w:ascii="Arial" w:cs="Arial" w:eastAsia="Arial" w:hAnsi="Arial"/>
                <w:sz w:val="13"/>
                <w:szCs w:val="13"/>
                <w:color w:val="auto"/>
              </w:rPr>
              <w:t>156</w:t>
            </w:r>
          </w:p>
        </w:tc>
        <w:tc>
          <w:tcPr>
            <w:tcW w:w="0" w:type="dxa"/>
            <w:vAlign w:val="bottom"/>
          </w:tcPr>
          <w:p>
            <w:pPr>
              <w:spacing w:after="0"/>
              <w:rPr>
                <w:sz w:val="1"/>
                <w:szCs w:val="1"/>
                <w:color w:val="auto"/>
              </w:rPr>
            </w:pPr>
          </w:p>
        </w:tc>
      </w:tr>
      <w:tr>
        <w:trPr>
          <w:trHeight w:val="183"/>
        </w:trPr>
        <w:tc>
          <w:tcPr>
            <w:tcW w:w="2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 expense</w:t>
            </w:r>
          </w:p>
        </w:tc>
        <w:tc>
          <w:tcPr>
            <w:tcW w:w="16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22,005</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20,150</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17,871</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11,755</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6,923</w:t>
            </w:r>
          </w:p>
        </w:tc>
        <w:tc>
          <w:tcPr>
            <w:tcW w:w="980" w:type="dxa"/>
            <w:vAlign w:val="bottom"/>
            <w:gridSpan w:val="2"/>
            <w:shd w:val="clear" w:color="auto" w:fill="CCEEFF"/>
          </w:tcPr>
          <w:p>
            <w:pPr>
              <w:jc w:val="right"/>
              <w:ind w:right="128"/>
              <w:spacing w:after="0"/>
              <w:rPr>
                <w:sz w:val="20"/>
                <w:szCs w:val="20"/>
                <w:color w:val="auto"/>
              </w:rPr>
            </w:pPr>
            <w:r>
              <w:rPr>
                <w:rFonts w:ascii="Arial" w:cs="Arial" w:eastAsia="Arial" w:hAnsi="Arial"/>
                <w:sz w:val="13"/>
                <w:szCs w:val="13"/>
                <w:color w:val="auto"/>
              </w:rPr>
              <w:t>218</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42,155</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15,730</w:t>
            </w:r>
          </w:p>
        </w:tc>
        <w:tc>
          <w:tcPr>
            <w:tcW w:w="800" w:type="dxa"/>
            <w:vAlign w:val="bottom"/>
            <w:gridSpan w:val="2"/>
            <w:shd w:val="clear" w:color="auto" w:fill="CCEEFF"/>
          </w:tcPr>
          <w:p>
            <w:pPr>
              <w:jc w:val="right"/>
              <w:ind w:right="97"/>
              <w:spacing w:after="0"/>
              <w:rPr>
                <w:sz w:val="20"/>
                <w:szCs w:val="20"/>
                <w:color w:val="auto"/>
              </w:rPr>
            </w:pPr>
            <w:r>
              <w:rPr>
                <w:rFonts w:ascii="Arial" w:cs="Arial" w:eastAsia="Arial" w:hAnsi="Arial"/>
                <w:sz w:val="13"/>
                <w:szCs w:val="13"/>
                <w:color w:val="auto"/>
              </w:rPr>
              <w:t>168</w:t>
            </w:r>
          </w:p>
        </w:tc>
        <w:tc>
          <w:tcPr>
            <w:tcW w:w="0" w:type="dxa"/>
            <w:vAlign w:val="bottom"/>
          </w:tcPr>
          <w:p>
            <w:pPr>
              <w:spacing w:after="0"/>
              <w:rPr>
                <w:sz w:val="1"/>
                <w:szCs w:val="1"/>
                <w:color w:val="auto"/>
              </w:rPr>
            </w:pPr>
          </w:p>
        </w:tc>
      </w:tr>
      <w:tr>
        <w:trPr>
          <w:trHeight w:val="161"/>
        </w:trPr>
        <w:tc>
          <w:tcPr>
            <w:tcW w:w="2740" w:type="dxa"/>
            <w:vAlign w:val="bottom"/>
          </w:tcPr>
          <w:p>
            <w:pPr>
              <w:ind w:left="140"/>
              <w:spacing w:after="0"/>
              <w:rPr>
                <w:sz w:val="20"/>
                <w:szCs w:val="20"/>
                <w:color w:val="auto"/>
              </w:rPr>
            </w:pPr>
            <w:r>
              <w:rPr>
                <w:rFonts w:ascii="Arial" w:cs="Arial" w:eastAsia="Arial" w:hAnsi="Arial"/>
                <w:sz w:val="13"/>
                <w:szCs w:val="13"/>
                <w:b w:val="1"/>
                <w:bCs w:val="1"/>
                <w:color w:val="auto"/>
              </w:rPr>
              <w:t>Net income</w:t>
            </w:r>
          </w:p>
        </w:tc>
        <w:tc>
          <w:tcPr>
            <w:tcW w:w="160" w:type="dxa"/>
            <w:vAlign w:val="bottom"/>
          </w:tcPr>
          <w:p>
            <w:pPr>
              <w:spacing w:after="0"/>
              <w:rPr>
                <w:sz w:val="14"/>
                <w:szCs w:val="14"/>
                <w:color w:val="auto"/>
              </w:rPr>
            </w:pPr>
          </w:p>
        </w:tc>
        <w:tc>
          <w:tcPr>
            <w:tcW w:w="720" w:type="dxa"/>
            <w:vAlign w:val="bottom"/>
          </w:tcPr>
          <w:p>
            <w:pPr>
              <w:jc w:val="right"/>
              <w:ind w:right="117"/>
              <w:spacing w:after="0"/>
              <w:rPr>
                <w:sz w:val="20"/>
                <w:szCs w:val="20"/>
                <w:color w:val="auto"/>
              </w:rPr>
            </w:pPr>
            <w:r>
              <w:rPr>
                <w:rFonts w:ascii="Arial" w:cs="Arial" w:eastAsia="Arial" w:hAnsi="Arial"/>
                <w:sz w:val="13"/>
                <w:szCs w:val="13"/>
                <w:color w:val="auto"/>
              </w:rPr>
              <w:t>70,260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73,706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59,502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47,607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25,096</w:t>
            </w:r>
          </w:p>
        </w:tc>
        <w:tc>
          <w:tcPr>
            <w:tcW w:w="980" w:type="dxa"/>
            <w:vAlign w:val="bottom"/>
            <w:gridSpan w:val="2"/>
          </w:tcPr>
          <w:p>
            <w:pPr>
              <w:jc w:val="right"/>
              <w:ind w:right="128"/>
              <w:spacing w:after="0"/>
              <w:rPr>
                <w:sz w:val="20"/>
                <w:szCs w:val="20"/>
                <w:color w:val="auto"/>
              </w:rPr>
            </w:pPr>
            <w:r>
              <w:rPr>
                <w:rFonts w:ascii="Arial" w:cs="Arial" w:eastAsia="Arial" w:hAnsi="Arial"/>
                <w:sz w:val="13"/>
                <w:szCs w:val="13"/>
                <w:color w:val="auto"/>
              </w:rPr>
              <w:t>180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143,966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56,980</w:t>
            </w:r>
          </w:p>
        </w:tc>
        <w:tc>
          <w:tcPr>
            <w:tcW w:w="800" w:type="dxa"/>
            <w:vAlign w:val="bottom"/>
            <w:gridSpan w:val="2"/>
          </w:tcPr>
          <w:p>
            <w:pPr>
              <w:jc w:val="right"/>
              <w:ind w:right="97"/>
              <w:spacing w:after="0"/>
              <w:rPr>
                <w:sz w:val="20"/>
                <w:szCs w:val="20"/>
                <w:color w:val="auto"/>
              </w:rPr>
            </w:pPr>
            <w:r>
              <w:rPr>
                <w:rFonts w:ascii="Arial" w:cs="Arial" w:eastAsia="Arial" w:hAnsi="Arial"/>
                <w:sz w:val="13"/>
                <w:szCs w:val="13"/>
                <w:color w:val="auto"/>
              </w:rPr>
              <w:t>153</w:t>
            </w:r>
          </w:p>
        </w:tc>
        <w:tc>
          <w:tcPr>
            <w:tcW w:w="0" w:type="dxa"/>
            <w:vAlign w:val="bottom"/>
          </w:tcPr>
          <w:p>
            <w:pPr>
              <w:spacing w:after="0"/>
              <w:rPr>
                <w:sz w:val="1"/>
                <w:szCs w:val="1"/>
                <w:color w:val="auto"/>
              </w:rPr>
            </w:pPr>
          </w:p>
        </w:tc>
      </w:tr>
      <w:tr>
        <w:trPr>
          <w:trHeight w:val="183"/>
        </w:trPr>
        <w:tc>
          <w:tcPr>
            <w:tcW w:w="2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Merger-related and other charges</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1,078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1,543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2,452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3,361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397</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2,621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1,205</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740" w:type="dxa"/>
            <w:vAlign w:val="bottom"/>
          </w:tcPr>
          <w:p>
            <w:pPr>
              <w:ind w:left="20"/>
              <w:spacing w:after="0" w:line="122" w:lineRule="exact"/>
              <w:rPr>
                <w:sz w:val="20"/>
                <w:szCs w:val="20"/>
                <w:color w:val="auto"/>
              </w:rPr>
            </w:pPr>
            <w:r>
              <w:rPr>
                <w:rFonts w:ascii="Arial" w:cs="Arial" w:eastAsia="Arial" w:hAnsi="Arial"/>
                <w:sz w:val="13"/>
                <w:szCs w:val="13"/>
                <w:color w:val="auto"/>
              </w:rPr>
              <w:t>Income tax benefit of merger-related and other</w:t>
            </w:r>
          </w:p>
        </w:tc>
        <w:tc>
          <w:tcPr>
            <w:tcW w:w="160" w:type="dxa"/>
            <w:vAlign w:val="bottom"/>
          </w:tcPr>
          <w:p>
            <w:pPr>
              <w:spacing w:after="0"/>
              <w:rPr>
                <w:sz w:val="10"/>
                <w:szCs w:val="10"/>
                <w:color w:val="auto"/>
              </w:rPr>
            </w:pPr>
          </w:p>
        </w:tc>
        <w:tc>
          <w:tcPr>
            <w:tcW w:w="720" w:type="dxa"/>
            <w:vAlign w:val="bottom"/>
            <w:vMerge w:val="restart"/>
          </w:tcPr>
          <w:p>
            <w:pPr>
              <w:jc w:val="right"/>
              <w:ind w:right="77"/>
              <w:spacing w:after="0"/>
              <w:rPr>
                <w:sz w:val="20"/>
                <w:szCs w:val="20"/>
                <w:color w:val="auto"/>
              </w:rPr>
            </w:pPr>
            <w:r>
              <w:rPr>
                <w:rFonts w:ascii="Arial" w:cs="Arial" w:eastAsia="Arial" w:hAnsi="Arial"/>
                <w:sz w:val="13"/>
                <w:szCs w:val="13"/>
                <w:color w:val="auto"/>
              </w:rPr>
              <w:t>(246)</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vMerge w:val="restart"/>
          </w:tcPr>
          <w:p>
            <w:pPr>
              <w:jc w:val="right"/>
              <w:ind w:right="77"/>
              <w:spacing w:after="0"/>
              <w:rPr>
                <w:sz w:val="20"/>
                <w:szCs w:val="20"/>
                <w:color w:val="auto"/>
              </w:rPr>
            </w:pPr>
            <w:r>
              <w:rPr>
                <w:rFonts w:ascii="Arial" w:cs="Arial" w:eastAsia="Arial" w:hAnsi="Arial"/>
                <w:sz w:val="13"/>
                <w:szCs w:val="13"/>
                <w:color w:val="auto"/>
              </w:rPr>
              <w:t>(335)</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vMerge w:val="restart"/>
          </w:tcPr>
          <w:p>
            <w:pPr>
              <w:jc w:val="right"/>
              <w:ind w:right="77"/>
              <w:spacing w:after="0"/>
              <w:rPr>
                <w:sz w:val="20"/>
                <w:szCs w:val="20"/>
                <w:color w:val="auto"/>
              </w:rPr>
            </w:pPr>
            <w:r>
              <w:rPr>
                <w:rFonts w:ascii="Arial" w:cs="Arial" w:eastAsia="Arial" w:hAnsi="Arial"/>
                <w:sz w:val="13"/>
                <w:szCs w:val="13"/>
                <w:color w:val="auto"/>
              </w:rPr>
              <w:t>(552)</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vMerge w:val="restart"/>
          </w:tcPr>
          <w:p>
            <w:pPr>
              <w:jc w:val="right"/>
              <w:ind w:right="57"/>
              <w:spacing w:after="0"/>
              <w:rPr>
                <w:sz w:val="20"/>
                <w:szCs w:val="20"/>
                <w:color w:val="auto"/>
              </w:rPr>
            </w:pPr>
            <w:r>
              <w:rPr>
                <w:rFonts w:ascii="Arial" w:cs="Arial" w:eastAsia="Arial" w:hAnsi="Arial"/>
                <w:sz w:val="13"/>
                <w:szCs w:val="13"/>
                <w:color w:val="auto"/>
              </w:rPr>
              <w:t>(519)</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vMerge w:val="restart"/>
          </w:tcPr>
          <w:p>
            <w:pPr>
              <w:jc w:val="right"/>
              <w:ind w:right="77"/>
              <w:spacing w:after="0"/>
              <w:rPr>
                <w:sz w:val="20"/>
                <w:szCs w:val="20"/>
                <w:color w:val="auto"/>
              </w:rPr>
            </w:pPr>
            <w:r>
              <w:rPr>
                <w:rFonts w:ascii="Arial" w:cs="Arial" w:eastAsia="Arial" w:hAnsi="Arial"/>
                <w:sz w:val="13"/>
                <w:szCs w:val="13"/>
                <w:color w:val="auto"/>
              </w:rPr>
              <w:t>(87)</w:t>
            </w: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vMerge w:val="restart"/>
          </w:tcPr>
          <w:p>
            <w:pPr>
              <w:jc w:val="right"/>
              <w:ind w:right="77"/>
              <w:spacing w:after="0"/>
              <w:rPr>
                <w:sz w:val="20"/>
                <w:szCs w:val="20"/>
                <w:color w:val="auto"/>
              </w:rPr>
            </w:pPr>
            <w:r>
              <w:rPr>
                <w:rFonts w:ascii="Arial" w:cs="Arial" w:eastAsia="Arial" w:hAnsi="Arial"/>
                <w:sz w:val="13"/>
                <w:szCs w:val="13"/>
                <w:color w:val="auto"/>
              </w:rPr>
              <w:t>(581)</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vMerge w:val="restart"/>
          </w:tcPr>
          <w:p>
            <w:pPr>
              <w:jc w:val="right"/>
              <w:ind w:right="77"/>
              <w:spacing w:after="0"/>
              <w:rPr>
                <w:sz w:val="20"/>
                <w:szCs w:val="20"/>
                <w:color w:val="auto"/>
              </w:rPr>
            </w:pPr>
            <w:r>
              <w:rPr>
                <w:rFonts w:ascii="Arial" w:cs="Arial" w:eastAsia="Arial" w:hAnsi="Arial"/>
                <w:sz w:val="13"/>
                <w:szCs w:val="13"/>
                <w:color w:val="auto"/>
              </w:rPr>
              <w:t>(269)</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7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charges</w:t>
            </w: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740" w:type="dxa"/>
            <w:vAlign w:val="bottom"/>
            <w:tcBorders>
              <w:bottom w:val="single" w:sz="8" w:color="CCEEFF"/>
            </w:tcBorders>
            <w:shd w:val="clear" w:color="auto" w:fill="CCEEFF"/>
          </w:tcPr>
          <w:p>
            <w:pPr>
              <w:ind w:left="140"/>
              <w:spacing w:after="0" w:line="175" w:lineRule="exact"/>
              <w:rPr>
                <w:sz w:val="20"/>
                <w:szCs w:val="20"/>
                <w:color w:val="auto"/>
              </w:rPr>
            </w:pPr>
            <w:r>
              <w:rPr>
                <w:rFonts w:ascii="Arial" w:cs="Arial" w:eastAsia="Arial" w:hAnsi="Arial"/>
                <w:sz w:val="13"/>
                <w:szCs w:val="13"/>
                <w:b w:val="1"/>
                <w:bCs w:val="1"/>
                <w:color w:val="auto"/>
              </w:rPr>
              <w:t xml:space="preserve">Net income - operating </w:t>
            </w:r>
            <w:r>
              <w:rPr>
                <w:rFonts w:ascii="Arial" w:cs="Arial" w:eastAsia="Arial" w:hAnsi="Arial"/>
                <w:sz w:val="16"/>
                <w:szCs w:val="16"/>
                <w:b w:val="1"/>
                <w:bCs w:val="1"/>
                <w:color w:val="auto"/>
                <w:vertAlign w:val="superscript"/>
              </w:rPr>
              <w:t>(1)</w:t>
            </w: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72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b w:val="1"/>
                <w:bCs w:val="1"/>
                <w:color w:val="auto"/>
              </w:rPr>
              <w:t>71,092</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w w:val="82"/>
              </w:rPr>
              <w:t>$</w:t>
            </w:r>
          </w:p>
        </w:tc>
        <w:tc>
          <w:tcPr>
            <w:tcW w:w="6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b w:val="1"/>
                <w:bCs w:val="1"/>
                <w:color w:val="auto"/>
              </w:rPr>
              <w:t>74,914</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2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b w:val="1"/>
                <w:bCs w:val="1"/>
                <w:color w:val="auto"/>
              </w:rPr>
              <w:t>61,402</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w w:val="82"/>
              </w:rPr>
              <w:t>$</w:t>
            </w:r>
          </w:p>
        </w:tc>
        <w:tc>
          <w:tcPr>
            <w:tcW w:w="6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b w:val="1"/>
                <w:bCs w:val="1"/>
                <w:color w:val="auto"/>
              </w:rPr>
              <w:t>50,449</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2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b w:val="1"/>
                <w:bCs w:val="1"/>
                <w:color w:val="auto"/>
              </w:rPr>
              <w:t>25,406</w:t>
            </w:r>
          </w:p>
        </w:tc>
        <w:tc>
          <w:tcPr>
            <w:tcW w:w="98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3"/>
                <w:szCs w:val="13"/>
                <w:color w:val="auto"/>
              </w:rPr>
              <w:t>180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w w:val="82"/>
              </w:rPr>
              <w:t>$</w:t>
            </w:r>
          </w:p>
        </w:tc>
        <w:tc>
          <w:tcPr>
            <w:tcW w:w="6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b w:val="1"/>
                <w:bCs w:val="1"/>
                <w:color w:val="auto"/>
              </w:rPr>
              <w:t>146,006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w w:val="82"/>
              </w:rPr>
              <w:t>$</w:t>
            </w:r>
          </w:p>
        </w:tc>
        <w:tc>
          <w:tcPr>
            <w:tcW w:w="6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b w:val="1"/>
                <w:bCs w:val="1"/>
                <w:color w:val="auto"/>
              </w:rPr>
              <w:t>57,916</w:t>
            </w:r>
          </w:p>
        </w:tc>
        <w:tc>
          <w:tcPr>
            <w:tcW w:w="800" w:type="dxa"/>
            <w:vAlign w:val="bottom"/>
            <w:tcBorders>
              <w:bottom w:val="single" w:sz="8" w:color="CCEEFF"/>
            </w:tcBorders>
            <w:gridSpan w:val="2"/>
            <w:shd w:val="clear" w:color="auto" w:fill="CCEEFF"/>
          </w:tcPr>
          <w:p>
            <w:pPr>
              <w:jc w:val="right"/>
              <w:ind w:right="97"/>
              <w:spacing w:after="0"/>
              <w:rPr>
                <w:sz w:val="20"/>
                <w:szCs w:val="20"/>
                <w:color w:val="auto"/>
              </w:rPr>
            </w:pPr>
            <w:r>
              <w:rPr>
                <w:rFonts w:ascii="Arial" w:cs="Arial" w:eastAsia="Arial" w:hAnsi="Arial"/>
                <w:sz w:val="13"/>
                <w:szCs w:val="13"/>
                <w:color w:val="auto"/>
              </w:rPr>
              <w:t>152</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27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PERFORMANCE MEASURES</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740" w:type="dxa"/>
            <w:vAlign w:val="bottom"/>
          </w:tcPr>
          <w:p>
            <w:pPr>
              <w:ind w:left="140"/>
              <w:spacing w:after="0"/>
              <w:rPr>
                <w:sz w:val="20"/>
                <w:szCs w:val="20"/>
                <w:color w:val="auto"/>
              </w:rPr>
            </w:pPr>
            <w:r>
              <w:rPr>
                <w:rFonts w:ascii="Arial" w:cs="Arial" w:eastAsia="Arial" w:hAnsi="Arial"/>
                <w:sz w:val="13"/>
                <w:szCs w:val="13"/>
                <w:color w:val="auto"/>
              </w:rPr>
              <w:t>Per common share:</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7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Diluted net income - GAAP</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0.78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0.82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0.66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0.52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0.32</w:t>
            </w:r>
          </w:p>
        </w:tc>
        <w:tc>
          <w:tcPr>
            <w:tcW w:w="980" w:type="dxa"/>
            <w:vAlign w:val="bottom"/>
            <w:gridSpan w:val="2"/>
            <w:shd w:val="clear" w:color="auto" w:fill="CCEEFF"/>
          </w:tcPr>
          <w:p>
            <w:pPr>
              <w:jc w:val="right"/>
              <w:ind w:right="128"/>
              <w:spacing w:after="0"/>
              <w:rPr>
                <w:sz w:val="20"/>
                <w:szCs w:val="20"/>
                <w:color w:val="auto"/>
              </w:rPr>
            </w:pPr>
            <w:r>
              <w:rPr>
                <w:rFonts w:ascii="Arial" w:cs="Arial" w:eastAsia="Arial" w:hAnsi="Arial"/>
                <w:sz w:val="13"/>
                <w:szCs w:val="13"/>
                <w:color w:val="auto"/>
              </w:rPr>
              <w:t>144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1.60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0.71</w:t>
            </w:r>
          </w:p>
        </w:tc>
        <w:tc>
          <w:tcPr>
            <w:tcW w:w="800" w:type="dxa"/>
            <w:vAlign w:val="bottom"/>
            <w:gridSpan w:val="2"/>
            <w:shd w:val="clear" w:color="auto" w:fill="CCEEFF"/>
          </w:tcPr>
          <w:p>
            <w:pPr>
              <w:jc w:val="right"/>
              <w:ind w:right="97"/>
              <w:spacing w:after="0"/>
              <w:rPr>
                <w:sz w:val="20"/>
                <w:szCs w:val="20"/>
                <w:color w:val="auto"/>
              </w:rPr>
            </w:pPr>
            <w:r>
              <w:rPr>
                <w:rFonts w:ascii="Arial" w:cs="Arial" w:eastAsia="Arial" w:hAnsi="Arial"/>
                <w:sz w:val="13"/>
                <w:szCs w:val="13"/>
                <w:color w:val="auto"/>
              </w:rPr>
              <w:t>125</w:t>
            </w:r>
          </w:p>
        </w:tc>
        <w:tc>
          <w:tcPr>
            <w:tcW w:w="0" w:type="dxa"/>
            <w:vAlign w:val="bottom"/>
          </w:tcPr>
          <w:p>
            <w:pPr>
              <w:spacing w:after="0"/>
              <w:rPr>
                <w:sz w:val="1"/>
                <w:szCs w:val="1"/>
                <w:color w:val="auto"/>
              </w:rPr>
            </w:pPr>
          </w:p>
        </w:tc>
      </w:tr>
      <w:tr>
        <w:trPr>
          <w:trHeight w:val="176"/>
        </w:trPr>
        <w:tc>
          <w:tcPr>
            <w:tcW w:w="2740" w:type="dxa"/>
            <w:vAlign w:val="bottom"/>
          </w:tcPr>
          <w:p>
            <w:pPr>
              <w:ind w:left="220"/>
              <w:spacing w:after="0" w:line="175" w:lineRule="exact"/>
              <w:rPr>
                <w:sz w:val="20"/>
                <w:szCs w:val="20"/>
                <w:color w:val="auto"/>
              </w:rPr>
            </w:pPr>
            <w:r>
              <w:rPr>
                <w:rFonts w:ascii="Arial" w:cs="Arial" w:eastAsia="Arial" w:hAnsi="Arial"/>
                <w:sz w:val="13"/>
                <w:szCs w:val="13"/>
                <w:color w:val="auto"/>
              </w:rPr>
              <w:t xml:space="preserve">Diluted net income - operating </w:t>
            </w:r>
            <w:r>
              <w:rPr>
                <w:rFonts w:ascii="Arial" w:cs="Arial" w:eastAsia="Arial" w:hAnsi="Arial"/>
                <w:sz w:val="16"/>
                <w:szCs w:val="16"/>
                <w:color w:val="auto"/>
                <w:vertAlign w:val="superscript"/>
              </w:rPr>
              <w:t>(1)</w:t>
            </w:r>
          </w:p>
        </w:tc>
        <w:tc>
          <w:tcPr>
            <w:tcW w:w="160" w:type="dxa"/>
            <w:vAlign w:val="bottom"/>
          </w:tcPr>
          <w:p>
            <w:pPr>
              <w:spacing w:after="0"/>
              <w:rPr>
                <w:sz w:val="15"/>
                <w:szCs w:val="15"/>
                <w:color w:val="auto"/>
              </w:rPr>
            </w:pPr>
          </w:p>
        </w:tc>
        <w:tc>
          <w:tcPr>
            <w:tcW w:w="720" w:type="dxa"/>
            <w:vAlign w:val="bottom"/>
          </w:tcPr>
          <w:p>
            <w:pPr>
              <w:jc w:val="right"/>
              <w:ind w:right="117"/>
              <w:spacing w:after="0"/>
              <w:rPr>
                <w:sz w:val="20"/>
                <w:szCs w:val="20"/>
                <w:color w:val="auto"/>
              </w:rPr>
            </w:pPr>
            <w:r>
              <w:rPr>
                <w:rFonts w:ascii="Arial" w:cs="Arial" w:eastAsia="Arial" w:hAnsi="Arial"/>
                <w:sz w:val="13"/>
                <w:szCs w:val="13"/>
                <w:color w:val="auto"/>
              </w:rPr>
              <w:t>0.79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0.83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0.68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0.55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0.32</w:t>
            </w:r>
          </w:p>
        </w:tc>
        <w:tc>
          <w:tcPr>
            <w:tcW w:w="980" w:type="dxa"/>
            <w:vAlign w:val="bottom"/>
            <w:gridSpan w:val="2"/>
          </w:tcPr>
          <w:p>
            <w:pPr>
              <w:jc w:val="right"/>
              <w:ind w:right="128"/>
              <w:spacing w:after="0"/>
              <w:rPr>
                <w:sz w:val="20"/>
                <w:szCs w:val="20"/>
                <w:color w:val="auto"/>
              </w:rPr>
            </w:pPr>
            <w:r>
              <w:rPr>
                <w:rFonts w:ascii="Arial" w:cs="Arial" w:eastAsia="Arial" w:hAnsi="Arial"/>
                <w:sz w:val="13"/>
                <w:szCs w:val="13"/>
                <w:color w:val="auto"/>
              </w:rPr>
              <w:t>147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1.62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0.73</w:t>
            </w:r>
          </w:p>
        </w:tc>
        <w:tc>
          <w:tcPr>
            <w:tcW w:w="800" w:type="dxa"/>
            <w:vAlign w:val="bottom"/>
            <w:gridSpan w:val="2"/>
          </w:tcPr>
          <w:p>
            <w:pPr>
              <w:jc w:val="right"/>
              <w:ind w:right="97"/>
              <w:spacing w:after="0"/>
              <w:rPr>
                <w:sz w:val="20"/>
                <w:szCs w:val="20"/>
                <w:color w:val="auto"/>
              </w:rPr>
            </w:pPr>
            <w:r>
              <w:rPr>
                <w:rFonts w:ascii="Arial" w:cs="Arial" w:eastAsia="Arial" w:hAnsi="Arial"/>
                <w:sz w:val="13"/>
                <w:szCs w:val="13"/>
                <w:color w:val="auto"/>
              </w:rPr>
              <w:t>122</w:t>
            </w:r>
          </w:p>
        </w:tc>
        <w:tc>
          <w:tcPr>
            <w:tcW w:w="0" w:type="dxa"/>
            <w:vAlign w:val="bottom"/>
          </w:tcPr>
          <w:p>
            <w:pPr>
              <w:spacing w:after="0"/>
              <w:rPr>
                <w:sz w:val="1"/>
                <w:szCs w:val="1"/>
                <w:color w:val="auto"/>
              </w:rPr>
            </w:pPr>
          </w:p>
        </w:tc>
      </w:tr>
      <w:tr>
        <w:trPr>
          <w:trHeight w:val="175"/>
        </w:trPr>
        <w:tc>
          <w:tcPr>
            <w:tcW w:w="27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Cash dividends declared</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0.19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0.19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0.18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0.18</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0.18</w:t>
            </w:r>
          </w:p>
        </w:tc>
        <w:tc>
          <w:tcPr>
            <w:tcW w:w="980" w:type="dxa"/>
            <w:vAlign w:val="bottom"/>
            <w:gridSpan w:val="2"/>
            <w:shd w:val="clear" w:color="auto" w:fill="CCEEFF"/>
          </w:tcPr>
          <w:p>
            <w:pPr>
              <w:jc w:val="right"/>
              <w:ind w:right="128"/>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0.38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0.36</w:t>
            </w:r>
          </w:p>
        </w:tc>
        <w:tc>
          <w:tcPr>
            <w:tcW w:w="800" w:type="dxa"/>
            <w:vAlign w:val="bottom"/>
            <w:gridSpan w:val="2"/>
            <w:shd w:val="clear" w:color="auto" w:fill="CCEEFF"/>
          </w:tcPr>
          <w:p>
            <w:pPr>
              <w:jc w:val="right"/>
              <w:ind w:right="97"/>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68"/>
        </w:trPr>
        <w:tc>
          <w:tcPr>
            <w:tcW w:w="2740" w:type="dxa"/>
            <w:vAlign w:val="bottom"/>
          </w:tcPr>
          <w:p>
            <w:pPr>
              <w:ind w:left="220"/>
              <w:spacing w:after="0"/>
              <w:rPr>
                <w:sz w:val="20"/>
                <w:szCs w:val="20"/>
                <w:color w:val="auto"/>
              </w:rPr>
            </w:pPr>
            <w:r>
              <w:rPr>
                <w:rFonts w:ascii="Arial" w:cs="Arial" w:eastAsia="Arial" w:hAnsi="Arial"/>
                <w:sz w:val="13"/>
                <w:szCs w:val="13"/>
                <w:color w:val="auto"/>
              </w:rPr>
              <w:t>Book value</w:t>
            </w:r>
          </w:p>
        </w:tc>
        <w:tc>
          <w:tcPr>
            <w:tcW w:w="160" w:type="dxa"/>
            <w:vAlign w:val="bottom"/>
          </w:tcPr>
          <w:p>
            <w:pPr>
              <w:spacing w:after="0"/>
              <w:rPr>
                <w:sz w:val="14"/>
                <w:szCs w:val="14"/>
                <w:color w:val="auto"/>
              </w:rPr>
            </w:pPr>
          </w:p>
        </w:tc>
        <w:tc>
          <w:tcPr>
            <w:tcW w:w="720" w:type="dxa"/>
            <w:vAlign w:val="bottom"/>
          </w:tcPr>
          <w:p>
            <w:pPr>
              <w:jc w:val="right"/>
              <w:ind w:right="117"/>
              <w:spacing w:after="0"/>
              <w:rPr>
                <w:sz w:val="20"/>
                <w:szCs w:val="20"/>
                <w:color w:val="auto"/>
              </w:rPr>
            </w:pPr>
            <w:r>
              <w:rPr>
                <w:rFonts w:ascii="Arial" w:cs="Arial" w:eastAsia="Arial" w:hAnsi="Arial"/>
                <w:sz w:val="13"/>
                <w:szCs w:val="13"/>
                <w:color w:val="auto"/>
              </w:rPr>
              <w:t>22.81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22.15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21.90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21.45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21.22</w:t>
            </w:r>
          </w:p>
        </w:tc>
        <w:tc>
          <w:tcPr>
            <w:tcW w:w="980" w:type="dxa"/>
            <w:vAlign w:val="bottom"/>
            <w:gridSpan w:val="2"/>
          </w:tcPr>
          <w:p>
            <w:pPr>
              <w:jc w:val="right"/>
              <w:ind w:right="128"/>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22.81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21.22</w:t>
            </w:r>
          </w:p>
        </w:tc>
        <w:tc>
          <w:tcPr>
            <w:tcW w:w="800" w:type="dxa"/>
            <w:vAlign w:val="bottom"/>
            <w:gridSpan w:val="2"/>
          </w:tcPr>
          <w:p>
            <w:pPr>
              <w:jc w:val="right"/>
              <w:ind w:right="97"/>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83"/>
        </w:trPr>
        <w:tc>
          <w:tcPr>
            <w:tcW w:w="27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 xml:space="preserve">Tangible book value </w:t>
            </w:r>
            <w:r>
              <w:rPr>
                <w:rFonts w:ascii="Arial" w:cs="Arial" w:eastAsia="Arial" w:hAnsi="Arial"/>
                <w:sz w:val="16"/>
                <w:szCs w:val="16"/>
                <w:color w:val="auto"/>
                <w:vertAlign w:val="superscript"/>
              </w:rPr>
              <w:t>(3)</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18.49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17.83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17.56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17.09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16.95</w:t>
            </w:r>
          </w:p>
        </w:tc>
        <w:tc>
          <w:tcPr>
            <w:tcW w:w="980" w:type="dxa"/>
            <w:vAlign w:val="bottom"/>
            <w:gridSpan w:val="2"/>
            <w:shd w:val="clear" w:color="auto" w:fill="CCEEFF"/>
          </w:tcPr>
          <w:p>
            <w:pPr>
              <w:jc w:val="right"/>
              <w:ind w:right="128"/>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18.49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16.95</w:t>
            </w:r>
          </w:p>
        </w:tc>
        <w:tc>
          <w:tcPr>
            <w:tcW w:w="800" w:type="dxa"/>
            <w:vAlign w:val="bottom"/>
            <w:gridSpan w:val="2"/>
            <w:shd w:val="clear" w:color="auto" w:fill="CCEEFF"/>
          </w:tcPr>
          <w:p>
            <w:pPr>
              <w:jc w:val="right"/>
              <w:ind w:right="97"/>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68"/>
        </w:trPr>
        <w:tc>
          <w:tcPr>
            <w:tcW w:w="2740" w:type="dxa"/>
            <w:vAlign w:val="bottom"/>
          </w:tcPr>
          <w:p>
            <w:pPr>
              <w:ind w:left="140"/>
              <w:spacing w:after="0"/>
              <w:rPr>
                <w:sz w:val="20"/>
                <w:szCs w:val="20"/>
                <w:color w:val="auto"/>
              </w:rPr>
            </w:pPr>
            <w:r>
              <w:rPr>
                <w:rFonts w:ascii="Arial" w:cs="Arial" w:eastAsia="Arial" w:hAnsi="Arial"/>
                <w:sz w:val="13"/>
                <w:szCs w:val="13"/>
                <w:color w:val="auto"/>
              </w:rPr>
              <w:t>Key performance ratios:</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7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 xml:space="preserve">Return on common equity - GAAP </w:t>
            </w:r>
            <w:r>
              <w:rPr>
                <w:rFonts w:ascii="Arial" w:cs="Arial" w:eastAsia="Arial" w:hAnsi="Arial"/>
                <w:sz w:val="16"/>
                <w:szCs w:val="16"/>
                <w:color w:val="auto"/>
                <w:vertAlign w:val="superscript"/>
              </w:rPr>
              <w:t>(2)(4)</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14.08 %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15.37 %</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12.36 %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10.06 %</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6.17 %</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14.71 %</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7.01 %</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40" w:type="dxa"/>
            <w:vAlign w:val="bottom"/>
          </w:tcPr>
          <w:p>
            <w:pPr>
              <w:ind w:left="220"/>
              <w:spacing w:after="0" w:line="175" w:lineRule="exact"/>
              <w:rPr>
                <w:sz w:val="20"/>
                <w:szCs w:val="20"/>
                <w:color w:val="auto"/>
              </w:rPr>
            </w:pPr>
            <w:r>
              <w:rPr>
                <w:rFonts w:ascii="Arial" w:cs="Arial" w:eastAsia="Arial" w:hAnsi="Arial"/>
                <w:sz w:val="13"/>
                <w:szCs w:val="13"/>
                <w:color w:val="auto"/>
                <w:w w:val="97"/>
              </w:rPr>
              <w:t xml:space="preserve">Return on common equity - operating </w:t>
            </w:r>
            <w:r>
              <w:rPr>
                <w:rFonts w:ascii="Arial" w:cs="Arial" w:eastAsia="Arial" w:hAnsi="Arial"/>
                <w:sz w:val="16"/>
                <w:szCs w:val="16"/>
                <w:color w:val="auto"/>
                <w:w w:val="97"/>
                <w:vertAlign w:val="superscript"/>
              </w:rPr>
              <w:t>(1)(2)(4)</w:t>
            </w:r>
          </w:p>
        </w:tc>
        <w:tc>
          <w:tcPr>
            <w:tcW w:w="160" w:type="dxa"/>
            <w:vAlign w:val="bottom"/>
          </w:tcPr>
          <w:p>
            <w:pPr>
              <w:spacing w:after="0"/>
              <w:rPr>
                <w:sz w:val="15"/>
                <w:szCs w:val="15"/>
                <w:color w:val="auto"/>
              </w:rPr>
            </w:pPr>
          </w:p>
        </w:tc>
        <w:tc>
          <w:tcPr>
            <w:tcW w:w="720" w:type="dxa"/>
            <w:vAlign w:val="bottom"/>
          </w:tcPr>
          <w:p>
            <w:pPr>
              <w:jc w:val="right"/>
              <w:ind w:right="117"/>
              <w:spacing w:after="0"/>
              <w:rPr>
                <w:sz w:val="20"/>
                <w:szCs w:val="20"/>
                <w:color w:val="auto"/>
              </w:rPr>
            </w:pPr>
            <w:r>
              <w:rPr>
                <w:rFonts w:ascii="Arial" w:cs="Arial" w:eastAsia="Arial" w:hAnsi="Arial"/>
                <w:sz w:val="13"/>
                <w:szCs w:val="13"/>
                <w:color w:val="auto"/>
              </w:rPr>
              <w:t>14.25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15.63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12.77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10.69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6.25</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14.92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7.13</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740" w:type="dxa"/>
            <w:vAlign w:val="bottom"/>
            <w:shd w:val="clear" w:color="auto" w:fill="CCEEFF"/>
          </w:tcPr>
          <w:p>
            <w:pPr>
              <w:ind w:left="220"/>
              <w:spacing w:after="0" w:line="122" w:lineRule="exact"/>
              <w:rPr>
                <w:sz w:val="20"/>
                <w:szCs w:val="20"/>
                <w:color w:val="auto"/>
              </w:rPr>
            </w:pPr>
            <w:r>
              <w:rPr>
                <w:rFonts w:ascii="Arial" w:cs="Arial" w:eastAsia="Arial" w:hAnsi="Arial"/>
                <w:sz w:val="13"/>
                <w:szCs w:val="13"/>
                <w:color w:val="auto"/>
                <w:w w:val="94"/>
              </w:rPr>
              <w:t>Return on tangible common equity - operating</w:t>
            </w: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117"/>
              <w:spacing w:after="0"/>
              <w:rPr>
                <w:sz w:val="20"/>
                <w:szCs w:val="20"/>
                <w:color w:val="auto"/>
              </w:rPr>
            </w:pPr>
            <w:r>
              <w:rPr>
                <w:rFonts w:ascii="Arial" w:cs="Arial" w:eastAsia="Arial" w:hAnsi="Arial"/>
                <w:sz w:val="13"/>
                <w:szCs w:val="13"/>
                <w:color w:val="auto"/>
              </w:rPr>
              <w:t>17.81</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19.68</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16.23</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13.52</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8.09</w:t>
            </w: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18.72</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9.20</w:t>
            </w: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740" w:type="dxa"/>
            <w:vAlign w:val="bottom"/>
            <w:shd w:val="clear" w:color="auto" w:fill="CCEEFF"/>
          </w:tcPr>
          <w:p>
            <w:pPr>
              <w:ind w:left="220"/>
              <w:spacing w:after="0"/>
              <w:rPr>
                <w:sz w:val="20"/>
                <w:szCs w:val="20"/>
                <w:color w:val="auto"/>
              </w:rPr>
            </w:pPr>
            <w:r>
              <w:rPr>
                <w:rFonts w:ascii="Arial" w:cs="Arial" w:eastAsia="Arial" w:hAnsi="Arial"/>
                <w:sz w:val="8"/>
                <w:szCs w:val="8"/>
                <w:color w:val="auto"/>
              </w:rPr>
              <w:t>(1)(2)(3)(4)</w:t>
            </w:r>
          </w:p>
        </w:tc>
        <w:tc>
          <w:tcPr>
            <w:tcW w:w="160" w:type="dxa"/>
            <w:vAlign w:val="bottom"/>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740" w:type="dxa"/>
            <w:vAlign w:val="bottom"/>
          </w:tcPr>
          <w:p>
            <w:pPr>
              <w:ind w:left="220"/>
              <w:spacing w:after="0" w:line="175" w:lineRule="exact"/>
              <w:rPr>
                <w:sz w:val="20"/>
                <w:szCs w:val="20"/>
                <w:color w:val="auto"/>
              </w:rPr>
            </w:pPr>
            <w:r>
              <w:rPr>
                <w:rFonts w:ascii="Arial" w:cs="Arial" w:eastAsia="Arial" w:hAnsi="Arial"/>
                <w:sz w:val="13"/>
                <w:szCs w:val="13"/>
                <w:color w:val="auto"/>
              </w:rPr>
              <w:t xml:space="preserve">Return on assets - GAAP </w:t>
            </w:r>
            <w:r>
              <w:rPr>
                <w:rFonts w:ascii="Arial" w:cs="Arial" w:eastAsia="Arial" w:hAnsi="Arial"/>
                <w:sz w:val="16"/>
                <w:szCs w:val="16"/>
                <w:color w:val="auto"/>
                <w:vertAlign w:val="superscript"/>
              </w:rPr>
              <w:t>(4)</w:t>
            </w:r>
          </w:p>
        </w:tc>
        <w:tc>
          <w:tcPr>
            <w:tcW w:w="160" w:type="dxa"/>
            <w:vAlign w:val="bottom"/>
          </w:tcPr>
          <w:p>
            <w:pPr>
              <w:spacing w:after="0"/>
              <w:rPr>
                <w:sz w:val="15"/>
                <w:szCs w:val="15"/>
                <w:color w:val="auto"/>
              </w:rPr>
            </w:pPr>
          </w:p>
        </w:tc>
        <w:tc>
          <w:tcPr>
            <w:tcW w:w="720" w:type="dxa"/>
            <w:vAlign w:val="bottom"/>
          </w:tcPr>
          <w:p>
            <w:pPr>
              <w:jc w:val="right"/>
              <w:ind w:right="117"/>
              <w:spacing w:after="0"/>
              <w:rPr>
                <w:sz w:val="20"/>
                <w:szCs w:val="20"/>
                <w:color w:val="auto"/>
              </w:rPr>
            </w:pPr>
            <w:r>
              <w:rPr>
                <w:rFonts w:ascii="Arial" w:cs="Arial" w:eastAsia="Arial" w:hAnsi="Arial"/>
                <w:sz w:val="13"/>
                <w:szCs w:val="13"/>
                <w:color w:val="auto"/>
              </w:rPr>
              <w:t>1.46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1.62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1.30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1.07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0.71</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1.54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0.85</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40" w:type="dxa"/>
            <w:vAlign w:val="bottom"/>
            <w:shd w:val="clear" w:color="auto" w:fill="CCEEFF"/>
          </w:tcPr>
          <w:p>
            <w:pPr>
              <w:ind w:left="220"/>
              <w:spacing w:after="0" w:line="175" w:lineRule="exact"/>
              <w:rPr>
                <w:sz w:val="20"/>
                <w:szCs w:val="20"/>
                <w:color w:val="auto"/>
              </w:rPr>
            </w:pPr>
            <w:r>
              <w:rPr>
                <w:rFonts w:ascii="Arial" w:cs="Arial" w:eastAsia="Arial" w:hAnsi="Arial"/>
                <w:sz w:val="13"/>
                <w:szCs w:val="13"/>
                <w:color w:val="auto"/>
              </w:rPr>
              <w:t xml:space="preserve">Return on assets - operating </w:t>
            </w:r>
            <w:r>
              <w:rPr>
                <w:rFonts w:ascii="Arial" w:cs="Arial" w:eastAsia="Arial" w:hAnsi="Arial"/>
                <w:sz w:val="16"/>
                <w:szCs w:val="16"/>
                <w:color w:val="auto"/>
                <w:vertAlign w:val="superscript"/>
              </w:rPr>
              <w:t>(1)(4)</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1.48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1.65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1.34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1.14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0.72</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1.56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0.86</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740" w:type="dxa"/>
            <w:vAlign w:val="bottom"/>
          </w:tcPr>
          <w:p>
            <w:pPr>
              <w:ind w:left="220"/>
              <w:spacing w:after="0"/>
              <w:rPr>
                <w:sz w:val="20"/>
                <w:szCs w:val="20"/>
                <w:color w:val="auto"/>
              </w:rPr>
            </w:pPr>
            <w:r>
              <w:rPr>
                <w:rFonts w:ascii="Arial" w:cs="Arial" w:eastAsia="Arial" w:hAnsi="Arial"/>
                <w:sz w:val="13"/>
                <w:szCs w:val="13"/>
                <w:color w:val="auto"/>
              </w:rPr>
              <w:t>Dividend payout ratio - GAAP</w:t>
            </w:r>
          </w:p>
        </w:tc>
        <w:tc>
          <w:tcPr>
            <w:tcW w:w="160" w:type="dxa"/>
            <w:vAlign w:val="bottom"/>
          </w:tcPr>
          <w:p>
            <w:pPr>
              <w:spacing w:after="0"/>
              <w:rPr>
                <w:sz w:val="14"/>
                <w:szCs w:val="14"/>
                <w:color w:val="auto"/>
              </w:rPr>
            </w:pPr>
          </w:p>
        </w:tc>
        <w:tc>
          <w:tcPr>
            <w:tcW w:w="720" w:type="dxa"/>
            <w:vAlign w:val="bottom"/>
          </w:tcPr>
          <w:p>
            <w:pPr>
              <w:jc w:val="right"/>
              <w:ind w:right="117"/>
              <w:spacing w:after="0"/>
              <w:rPr>
                <w:sz w:val="20"/>
                <w:szCs w:val="20"/>
                <w:color w:val="auto"/>
              </w:rPr>
            </w:pPr>
            <w:r>
              <w:rPr>
                <w:rFonts w:ascii="Arial" w:cs="Arial" w:eastAsia="Arial" w:hAnsi="Arial"/>
                <w:sz w:val="13"/>
                <w:szCs w:val="13"/>
                <w:color w:val="auto"/>
              </w:rPr>
              <w:t>24.36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23.17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27.27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34.62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56.25</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23.75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50.70</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7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 xml:space="preserve">Dividend payout ratio - operating </w:t>
            </w:r>
            <w:r>
              <w:rPr>
                <w:rFonts w:ascii="Arial" w:cs="Arial" w:eastAsia="Arial" w:hAnsi="Arial"/>
                <w:sz w:val="16"/>
                <w:szCs w:val="16"/>
                <w:color w:val="auto"/>
                <w:vertAlign w:val="superscript"/>
              </w:rPr>
              <w:t>(1)</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24.05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22.89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26.47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32.73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56.25</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23.46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49.32</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40" w:type="dxa"/>
            <w:vAlign w:val="bottom"/>
          </w:tcPr>
          <w:p>
            <w:pPr>
              <w:ind w:left="220"/>
              <w:spacing w:after="0" w:line="175" w:lineRule="exact"/>
              <w:rPr>
                <w:sz w:val="20"/>
                <w:szCs w:val="20"/>
                <w:color w:val="auto"/>
              </w:rPr>
            </w:pPr>
            <w:r>
              <w:rPr>
                <w:rFonts w:ascii="Arial" w:cs="Arial" w:eastAsia="Arial" w:hAnsi="Arial"/>
                <w:sz w:val="13"/>
                <w:szCs w:val="13"/>
                <w:color w:val="auto"/>
              </w:rPr>
              <w:t xml:space="preserve">Net interest margin (FTE) </w:t>
            </w:r>
            <w:r>
              <w:rPr>
                <w:rFonts w:ascii="Arial" w:cs="Arial" w:eastAsia="Arial" w:hAnsi="Arial"/>
                <w:sz w:val="16"/>
                <w:szCs w:val="16"/>
                <w:color w:val="auto"/>
                <w:vertAlign w:val="superscript"/>
              </w:rPr>
              <w:t>(4)</w:t>
            </w:r>
          </w:p>
        </w:tc>
        <w:tc>
          <w:tcPr>
            <w:tcW w:w="160" w:type="dxa"/>
            <w:vAlign w:val="bottom"/>
          </w:tcPr>
          <w:p>
            <w:pPr>
              <w:spacing w:after="0"/>
              <w:rPr>
                <w:sz w:val="15"/>
                <w:szCs w:val="15"/>
                <w:color w:val="auto"/>
              </w:rPr>
            </w:pPr>
          </w:p>
        </w:tc>
        <w:tc>
          <w:tcPr>
            <w:tcW w:w="720" w:type="dxa"/>
            <w:vAlign w:val="bottom"/>
          </w:tcPr>
          <w:p>
            <w:pPr>
              <w:jc w:val="right"/>
              <w:ind w:right="117"/>
              <w:spacing w:after="0"/>
              <w:rPr>
                <w:sz w:val="20"/>
                <w:szCs w:val="20"/>
                <w:color w:val="auto"/>
              </w:rPr>
            </w:pPr>
            <w:r>
              <w:rPr>
                <w:rFonts w:ascii="Arial" w:cs="Arial" w:eastAsia="Arial" w:hAnsi="Arial"/>
                <w:sz w:val="13"/>
                <w:szCs w:val="13"/>
                <w:color w:val="auto"/>
              </w:rPr>
              <w:t>3.19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3.22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3.55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3.27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3.42</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3.20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3.73</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Efficiency ratio - GAAP</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54.53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53.55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56.73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54.14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55.86</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54.04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56.00</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40" w:type="dxa"/>
            <w:vAlign w:val="bottom"/>
          </w:tcPr>
          <w:p>
            <w:pPr>
              <w:ind w:left="220"/>
              <w:spacing w:after="0" w:line="175" w:lineRule="exact"/>
              <w:rPr>
                <w:sz w:val="20"/>
                <w:szCs w:val="20"/>
                <w:color w:val="auto"/>
              </w:rPr>
            </w:pPr>
            <w:r>
              <w:rPr>
                <w:rFonts w:ascii="Arial" w:cs="Arial" w:eastAsia="Arial" w:hAnsi="Arial"/>
                <w:sz w:val="13"/>
                <w:szCs w:val="13"/>
                <w:color w:val="auto"/>
              </w:rPr>
              <w:t xml:space="preserve">Efficiency ratio - operating </w:t>
            </w:r>
            <w:r>
              <w:rPr>
                <w:rFonts w:ascii="Arial" w:cs="Arial" w:eastAsia="Arial" w:hAnsi="Arial"/>
                <w:sz w:val="16"/>
                <w:szCs w:val="16"/>
                <w:color w:val="auto"/>
                <w:vertAlign w:val="superscript"/>
              </w:rPr>
              <w:t>(1)</w:t>
            </w:r>
          </w:p>
        </w:tc>
        <w:tc>
          <w:tcPr>
            <w:tcW w:w="160" w:type="dxa"/>
            <w:vAlign w:val="bottom"/>
          </w:tcPr>
          <w:p>
            <w:pPr>
              <w:spacing w:after="0"/>
              <w:rPr>
                <w:sz w:val="15"/>
                <w:szCs w:val="15"/>
                <w:color w:val="auto"/>
              </w:rPr>
            </w:pPr>
          </w:p>
        </w:tc>
        <w:tc>
          <w:tcPr>
            <w:tcW w:w="720" w:type="dxa"/>
            <w:vAlign w:val="bottom"/>
          </w:tcPr>
          <w:p>
            <w:pPr>
              <w:jc w:val="right"/>
              <w:ind w:right="117"/>
              <w:spacing w:after="0"/>
              <w:rPr>
                <w:sz w:val="20"/>
                <w:szCs w:val="20"/>
                <w:color w:val="auto"/>
              </w:rPr>
            </w:pPr>
            <w:r>
              <w:rPr>
                <w:rFonts w:ascii="Arial" w:cs="Arial" w:eastAsia="Arial" w:hAnsi="Arial"/>
                <w:sz w:val="13"/>
                <w:szCs w:val="13"/>
                <w:color w:val="auto"/>
              </w:rPr>
              <w:t>53.92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52.68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55.42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52.24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55.59</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53.30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55.59</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Equity to total assets</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11.04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10.95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11.29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11.47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11.81</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11.04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11.81</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40" w:type="dxa"/>
            <w:vAlign w:val="bottom"/>
          </w:tcPr>
          <w:p>
            <w:pPr>
              <w:ind w:left="220"/>
              <w:spacing w:after="0" w:line="175" w:lineRule="exact"/>
              <w:rPr>
                <w:sz w:val="20"/>
                <w:szCs w:val="20"/>
                <w:color w:val="auto"/>
              </w:rPr>
            </w:pPr>
            <w:r>
              <w:rPr>
                <w:rFonts w:ascii="Arial" w:cs="Arial" w:eastAsia="Arial" w:hAnsi="Arial"/>
                <w:sz w:val="13"/>
                <w:szCs w:val="13"/>
                <w:color w:val="auto"/>
                <w:w w:val="95"/>
              </w:rPr>
              <w:t xml:space="preserve">Tangible common equity to tangible assets </w:t>
            </w:r>
            <w:r>
              <w:rPr>
                <w:rFonts w:ascii="Arial" w:cs="Arial" w:eastAsia="Arial" w:hAnsi="Arial"/>
                <w:sz w:val="16"/>
                <w:szCs w:val="16"/>
                <w:color w:val="auto"/>
                <w:w w:val="95"/>
                <w:vertAlign w:val="superscript"/>
              </w:rPr>
              <w:t>(3)</w:t>
            </w:r>
          </w:p>
        </w:tc>
        <w:tc>
          <w:tcPr>
            <w:tcW w:w="160" w:type="dxa"/>
            <w:vAlign w:val="bottom"/>
          </w:tcPr>
          <w:p>
            <w:pPr>
              <w:spacing w:after="0"/>
              <w:rPr>
                <w:sz w:val="15"/>
                <w:szCs w:val="15"/>
                <w:color w:val="auto"/>
              </w:rPr>
            </w:pPr>
          </w:p>
        </w:tc>
        <w:tc>
          <w:tcPr>
            <w:tcW w:w="720" w:type="dxa"/>
            <w:vAlign w:val="bottom"/>
          </w:tcPr>
          <w:p>
            <w:pPr>
              <w:jc w:val="right"/>
              <w:ind w:right="117"/>
              <w:spacing w:after="0"/>
              <w:rPr>
                <w:sz w:val="20"/>
                <w:szCs w:val="20"/>
                <w:color w:val="auto"/>
              </w:rPr>
            </w:pPr>
            <w:r>
              <w:rPr>
                <w:rFonts w:ascii="Arial" w:cs="Arial" w:eastAsia="Arial" w:hAnsi="Arial"/>
                <w:sz w:val="13"/>
                <w:szCs w:val="13"/>
                <w:color w:val="auto"/>
              </w:rPr>
              <w:t>8.71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8.57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8.81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8.89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9.12</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8.71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9.12</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740" w:type="dxa"/>
            <w:vAlign w:val="bottom"/>
          </w:tcPr>
          <w:p>
            <w:pPr>
              <w:ind w:left="20"/>
              <w:spacing w:after="0"/>
              <w:rPr>
                <w:sz w:val="20"/>
                <w:szCs w:val="20"/>
                <w:color w:val="auto"/>
              </w:rPr>
            </w:pPr>
            <w:r>
              <w:rPr>
                <w:rFonts w:ascii="Arial" w:cs="Arial" w:eastAsia="Arial" w:hAnsi="Arial"/>
                <w:sz w:val="13"/>
                <w:szCs w:val="13"/>
                <w:b w:val="1"/>
                <w:bCs w:val="1"/>
                <w:color w:val="auto"/>
              </w:rPr>
              <w:t>ASSET QUALITY</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Nonperforming loans</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46,123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55,900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61,599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49,084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48,021</w:t>
            </w:r>
          </w:p>
        </w:tc>
        <w:tc>
          <w:tcPr>
            <w:tcW w:w="980" w:type="dxa"/>
            <w:vAlign w:val="bottom"/>
            <w:gridSpan w:val="2"/>
            <w:shd w:val="clear" w:color="auto" w:fill="CCEEFF"/>
          </w:tcPr>
          <w:p>
            <w:pPr>
              <w:jc w:val="right"/>
              <w:ind w:right="88"/>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46,123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48,021</w:t>
            </w:r>
          </w:p>
        </w:tc>
        <w:tc>
          <w:tcPr>
            <w:tcW w:w="80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69"/>
        </w:trPr>
        <w:tc>
          <w:tcPr>
            <w:tcW w:w="274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Foreclosed properties</w:t>
            </w: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224</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596</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647</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953</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477</w:t>
            </w:r>
          </w:p>
        </w:tc>
        <w:tc>
          <w:tcPr>
            <w:tcW w:w="10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224</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477</w:t>
            </w:r>
          </w:p>
        </w:tc>
        <w:tc>
          <w:tcPr>
            <w:tcW w:w="12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7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Total NPAs</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46,347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56,496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62,246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50,037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48,498</w:t>
            </w:r>
          </w:p>
        </w:tc>
        <w:tc>
          <w:tcPr>
            <w:tcW w:w="980" w:type="dxa"/>
            <w:vAlign w:val="bottom"/>
            <w:gridSpan w:val="2"/>
            <w:shd w:val="clear" w:color="auto" w:fill="CCEEFF"/>
          </w:tcPr>
          <w:p>
            <w:pPr>
              <w:jc w:val="right"/>
              <w:ind w:right="88"/>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46,347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48,498</w:t>
            </w:r>
          </w:p>
        </w:tc>
        <w:tc>
          <w:tcPr>
            <w:tcW w:w="80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68"/>
        </w:trPr>
        <w:tc>
          <w:tcPr>
            <w:tcW w:w="2740" w:type="dxa"/>
            <w:vAlign w:val="bottom"/>
          </w:tcPr>
          <w:p>
            <w:pPr>
              <w:ind w:left="140"/>
              <w:spacing w:after="0"/>
              <w:rPr>
                <w:sz w:val="20"/>
                <w:szCs w:val="20"/>
                <w:color w:val="auto"/>
              </w:rPr>
            </w:pPr>
            <w:r>
              <w:rPr>
                <w:rFonts w:ascii="Arial" w:cs="Arial" w:eastAsia="Arial" w:hAnsi="Arial"/>
                <w:sz w:val="13"/>
                <w:szCs w:val="13"/>
                <w:color w:val="auto"/>
              </w:rPr>
              <w:t>ACL - loans</w:t>
            </w:r>
          </w:p>
        </w:tc>
        <w:tc>
          <w:tcPr>
            <w:tcW w:w="160" w:type="dxa"/>
            <w:vAlign w:val="bottom"/>
          </w:tcPr>
          <w:p>
            <w:pPr>
              <w:spacing w:after="0"/>
              <w:rPr>
                <w:sz w:val="14"/>
                <w:szCs w:val="14"/>
                <w:color w:val="auto"/>
              </w:rPr>
            </w:pPr>
          </w:p>
        </w:tc>
        <w:tc>
          <w:tcPr>
            <w:tcW w:w="720" w:type="dxa"/>
            <w:vAlign w:val="bottom"/>
          </w:tcPr>
          <w:p>
            <w:pPr>
              <w:jc w:val="right"/>
              <w:ind w:right="117"/>
              <w:spacing w:after="0"/>
              <w:rPr>
                <w:sz w:val="20"/>
                <w:szCs w:val="20"/>
                <w:color w:val="auto"/>
              </w:rPr>
            </w:pPr>
            <w:r>
              <w:rPr>
                <w:rFonts w:ascii="Arial" w:cs="Arial" w:eastAsia="Arial" w:hAnsi="Arial"/>
                <w:sz w:val="13"/>
                <w:szCs w:val="13"/>
                <w:color w:val="auto"/>
              </w:rPr>
              <w:t>111,616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126,866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137,010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134,256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103,669</w:t>
            </w:r>
          </w:p>
        </w:tc>
        <w:tc>
          <w:tcPr>
            <w:tcW w:w="980" w:type="dxa"/>
            <w:vAlign w:val="bottom"/>
            <w:gridSpan w:val="2"/>
          </w:tcPr>
          <w:p>
            <w:pPr>
              <w:jc w:val="right"/>
              <w:ind w:right="128"/>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111,616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103,669</w:t>
            </w:r>
          </w:p>
        </w:tc>
        <w:tc>
          <w:tcPr>
            <w:tcW w:w="800" w:type="dxa"/>
            <w:vAlign w:val="bottom"/>
            <w:gridSpan w:val="2"/>
          </w:tcPr>
          <w:p>
            <w:pPr>
              <w:jc w:val="right"/>
              <w:ind w:right="97"/>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83"/>
        </w:trPr>
        <w:tc>
          <w:tcPr>
            <w:tcW w:w="2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charge-offs</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(456)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(305)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1,515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2,538</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6,149</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(761)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14,263</w:t>
            </w:r>
          </w:p>
        </w:tc>
        <w:tc>
          <w:tcPr>
            <w:tcW w:w="80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(105)</w:t>
            </w:r>
          </w:p>
        </w:tc>
        <w:tc>
          <w:tcPr>
            <w:tcW w:w="0" w:type="dxa"/>
            <w:vAlign w:val="bottom"/>
          </w:tcPr>
          <w:p>
            <w:pPr>
              <w:spacing w:after="0"/>
              <w:rPr>
                <w:sz w:val="1"/>
                <w:szCs w:val="1"/>
                <w:color w:val="auto"/>
              </w:rPr>
            </w:pPr>
          </w:p>
        </w:tc>
      </w:tr>
      <w:tr>
        <w:trPr>
          <w:trHeight w:val="168"/>
        </w:trPr>
        <w:tc>
          <w:tcPr>
            <w:tcW w:w="2740" w:type="dxa"/>
            <w:vAlign w:val="bottom"/>
          </w:tcPr>
          <w:p>
            <w:pPr>
              <w:ind w:left="140"/>
              <w:spacing w:after="0"/>
              <w:rPr>
                <w:sz w:val="20"/>
                <w:szCs w:val="20"/>
                <w:color w:val="auto"/>
              </w:rPr>
            </w:pPr>
            <w:r>
              <w:rPr>
                <w:rFonts w:ascii="Arial" w:cs="Arial" w:eastAsia="Arial" w:hAnsi="Arial"/>
                <w:sz w:val="13"/>
                <w:szCs w:val="13"/>
                <w:color w:val="auto"/>
              </w:rPr>
              <w:t>ACL - loans to loans</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0.98 %</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1.09 %</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1.20 %</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1.14 %</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1.02 %</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0.98 %</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1.02 %</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 xml:space="preserve">Net charge-offs to average loans </w:t>
            </w:r>
            <w:r>
              <w:rPr>
                <w:rFonts w:ascii="Arial" w:cs="Arial" w:eastAsia="Arial" w:hAnsi="Arial"/>
                <w:sz w:val="16"/>
                <w:szCs w:val="16"/>
                <w:color w:val="auto"/>
                <w:vertAlign w:val="superscript"/>
              </w:rPr>
              <w:t>(4)</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(0.02)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(0.01)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0.05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0.09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0.25</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(0.01)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0.31</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740" w:type="dxa"/>
            <w:vAlign w:val="bottom"/>
          </w:tcPr>
          <w:p>
            <w:pPr>
              <w:ind w:left="140"/>
              <w:spacing w:after="0"/>
              <w:rPr>
                <w:sz w:val="20"/>
                <w:szCs w:val="20"/>
                <w:color w:val="auto"/>
              </w:rPr>
            </w:pPr>
            <w:r>
              <w:rPr>
                <w:rFonts w:ascii="Arial" w:cs="Arial" w:eastAsia="Arial" w:hAnsi="Arial"/>
                <w:sz w:val="13"/>
                <w:szCs w:val="13"/>
                <w:color w:val="auto"/>
              </w:rPr>
              <w:t>NPAs to loans and foreclosed properties</w:t>
            </w:r>
          </w:p>
        </w:tc>
        <w:tc>
          <w:tcPr>
            <w:tcW w:w="160" w:type="dxa"/>
            <w:vAlign w:val="bottom"/>
          </w:tcPr>
          <w:p>
            <w:pPr>
              <w:spacing w:after="0"/>
              <w:rPr>
                <w:sz w:val="14"/>
                <w:szCs w:val="14"/>
                <w:color w:val="auto"/>
              </w:rPr>
            </w:pPr>
          </w:p>
        </w:tc>
        <w:tc>
          <w:tcPr>
            <w:tcW w:w="720" w:type="dxa"/>
            <w:vAlign w:val="bottom"/>
          </w:tcPr>
          <w:p>
            <w:pPr>
              <w:jc w:val="right"/>
              <w:ind w:right="117"/>
              <w:spacing w:after="0"/>
              <w:rPr>
                <w:sz w:val="20"/>
                <w:szCs w:val="20"/>
                <w:color w:val="auto"/>
              </w:rPr>
            </w:pPr>
            <w:r>
              <w:rPr>
                <w:rFonts w:ascii="Arial" w:cs="Arial" w:eastAsia="Arial" w:hAnsi="Arial"/>
                <w:sz w:val="13"/>
                <w:szCs w:val="13"/>
                <w:color w:val="auto"/>
              </w:rPr>
              <w:t>0.41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0.48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0.55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0.42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0.48</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0.41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0.48</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NPAs to total assets</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0.25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0.30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0.35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0.29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0.32</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0.25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0.32</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7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 xml:space="preserve">AVERAGE BALANCES </w:t>
            </w:r>
            <w:r>
              <w:rPr>
                <w:rFonts w:ascii="Arial" w:cs="Arial" w:eastAsia="Arial" w:hAnsi="Arial"/>
                <w:sz w:val="13"/>
                <w:szCs w:val="13"/>
                <w:i w:val="1"/>
                <w:iCs w:val="1"/>
                <w:color w:val="auto"/>
              </w:rPr>
              <w:t>($ in millions)</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740" w:type="dxa"/>
            <w:vAlign w:val="bottom"/>
          </w:tcPr>
          <w:p>
            <w:pPr>
              <w:ind w:left="140"/>
              <w:spacing w:after="0"/>
              <w:rPr>
                <w:sz w:val="20"/>
                <w:szCs w:val="20"/>
                <w:color w:val="auto"/>
              </w:rPr>
            </w:pPr>
            <w:r>
              <w:rPr>
                <w:rFonts w:ascii="Arial" w:cs="Arial" w:eastAsia="Arial" w:hAnsi="Arial"/>
                <w:sz w:val="13"/>
                <w:szCs w:val="13"/>
                <w:color w:val="auto"/>
              </w:rPr>
              <w:t>Loans</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117"/>
              <w:spacing w:after="0"/>
              <w:rPr>
                <w:sz w:val="20"/>
                <w:szCs w:val="20"/>
                <w:color w:val="auto"/>
              </w:rPr>
            </w:pPr>
            <w:r>
              <w:rPr>
                <w:rFonts w:ascii="Arial" w:cs="Arial" w:eastAsia="Arial" w:hAnsi="Arial"/>
                <w:sz w:val="13"/>
                <w:szCs w:val="13"/>
                <w:color w:val="auto"/>
              </w:rPr>
              <w:t>11,617</w:t>
            </w:r>
          </w:p>
        </w:tc>
        <w:tc>
          <w:tcPr>
            <w:tcW w:w="100" w:type="dxa"/>
            <w:vAlign w:val="bottom"/>
          </w:tcPr>
          <w:p>
            <w:pPr>
              <w:spacing w:after="0"/>
              <w:rPr>
                <w:sz w:val="14"/>
                <w:szCs w:val="14"/>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11,433</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11,595</w:t>
            </w:r>
          </w:p>
        </w:tc>
        <w:tc>
          <w:tcPr>
            <w:tcW w:w="100" w:type="dxa"/>
            <w:vAlign w:val="bottom"/>
          </w:tcPr>
          <w:p>
            <w:pPr>
              <w:spacing w:after="0"/>
              <w:rPr>
                <w:sz w:val="14"/>
                <w:szCs w:val="14"/>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11,644</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9,773</w:t>
            </w:r>
          </w:p>
        </w:tc>
        <w:tc>
          <w:tcPr>
            <w:tcW w:w="980" w:type="dxa"/>
            <w:vAlign w:val="bottom"/>
            <w:gridSpan w:val="2"/>
          </w:tcPr>
          <w:p>
            <w:pPr>
              <w:jc w:val="right"/>
              <w:ind w:right="128"/>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11,525</w:t>
            </w:r>
          </w:p>
        </w:tc>
        <w:tc>
          <w:tcPr>
            <w:tcW w:w="10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9,301</w:t>
            </w:r>
          </w:p>
        </w:tc>
        <w:tc>
          <w:tcPr>
            <w:tcW w:w="800" w:type="dxa"/>
            <w:vAlign w:val="bottom"/>
            <w:gridSpan w:val="2"/>
          </w:tcPr>
          <w:p>
            <w:pPr>
              <w:jc w:val="right"/>
              <w:ind w:right="97"/>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83"/>
        </w:trPr>
        <w:tc>
          <w:tcPr>
            <w:tcW w:w="2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Investment securities</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4,631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3,991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3,326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2,750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2,408</w:t>
            </w:r>
          </w:p>
        </w:tc>
        <w:tc>
          <w:tcPr>
            <w:tcW w:w="980" w:type="dxa"/>
            <w:vAlign w:val="bottom"/>
            <w:gridSpan w:val="2"/>
            <w:shd w:val="clear" w:color="auto" w:fill="CCEEFF"/>
          </w:tcPr>
          <w:p>
            <w:pPr>
              <w:jc w:val="right"/>
              <w:ind w:right="128"/>
              <w:spacing w:after="0"/>
              <w:rPr>
                <w:sz w:val="20"/>
                <w:szCs w:val="20"/>
                <w:color w:val="auto"/>
              </w:rPr>
            </w:pPr>
            <w:r>
              <w:rPr>
                <w:rFonts w:ascii="Arial" w:cs="Arial" w:eastAsia="Arial" w:hAnsi="Arial"/>
                <w:sz w:val="13"/>
                <w:szCs w:val="13"/>
                <w:color w:val="auto"/>
              </w:rPr>
              <w:t>92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4,313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2,464</w:t>
            </w:r>
          </w:p>
        </w:tc>
        <w:tc>
          <w:tcPr>
            <w:tcW w:w="800" w:type="dxa"/>
            <w:vAlign w:val="bottom"/>
            <w:gridSpan w:val="2"/>
            <w:shd w:val="clear" w:color="auto" w:fill="CCEEFF"/>
          </w:tcPr>
          <w:p>
            <w:pPr>
              <w:jc w:val="right"/>
              <w:ind w:right="97"/>
              <w:spacing w:after="0"/>
              <w:rPr>
                <w:sz w:val="20"/>
                <w:szCs w:val="20"/>
                <w:color w:val="auto"/>
              </w:rPr>
            </w:pPr>
            <w:r>
              <w:rPr>
                <w:rFonts w:ascii="Arial" w:cs="Arial" w:eastAsia="Arial" w:hAnsi="Arial"/>
                <w:sz w:val="13"/>
                <w:szCs w:val="13"/>
                <w:color w:val="auto"/>
              </w:rPr>
              <w:t>75</w:t>
            </w:r>
          </w:p>
        </w:tc>
        <w:tc>
          <w:tcPr>
            <w:tcW w:w="0" w:type="dxa"/>
            <w:vAlign w:val="bottom"/>
          </w:tcPr>
          <w:p>
            <w:pPr>
              <w:spacing w:after="0"/>
              <w:rPr>
                <w:sz w:val="1"/>
                <w:szCs w:val="1"/>
                <w:color w:val="auto"/>
              </w:rPr>
            </w:pPr>
          </w:p>
        </w:tc>
      </w:tr>
      <w:tr>
        <w:trPr>
          <w:trHeight w:val="168"/>
        </w:trPr>
        <w:tc>
          <w:tcPr>
            <w:tcW w:w="2740" w:type="dxa"/>
            <w:vAlign w:val="bottom"/>
          </w:tcPr>
          <w:p>
            <w:pPr>
              <w:ind w:left="140"/>
              <w:spacing w:after="0"/>
              <w:rPr>
                <w:sz w:val="20"/>
                <w:szCs w:val="20"/>
                <w:color w:val="auto"/>
              </w:rPr>
            </w:pPr>
            <w:r>
              <w:rPr>
                <w:rFonts w:ascii="Arial" w:cs="Arial" w:eastAsia="Arial" w:hAnsi="Arial"/>
                <w:sz w:val="13"/>
                <w:szCs w:val="13"/>
                <w:color w:val="auto"/>
              </w:rPr>
              <w:t>Earning assets</w:t>
            </w:r>
          </w:p>
        </w:tc>
        <w:tc>
          <w:tcPr>
            <w:tcW w:w="160" w:type="dxa"/>
            <w:vAlign w:val="bottom"/>
          </w:tcPr>
          <w:p>
            <w:pPr>
              <w:spacing w:after="0"/>
              <w:rPr>
                <w:sz w:val="14"/>
                <w:szCs w:val="14"/>
                <w:color w:val="auto"/>
              </w:rPr>
            </w:pPr>
          </w:p>
        </w:tc>
        <w:tc>
          <w:tcPr>
            <w:tcW w:w="720" w:type="dxa"/>
            <w:vAlign w:val="bottom"/>
          </w:tcPr>
          <w:p>
            <w:pPr>
              <w:jc w:val="right"/>
              <w:ind w:right="117"/>
              <w:spacing w:after="0"/>
              <w:rPr>
                <w:sz w:val="20"/>
                <w:szCs w:val="20"/>
                <w:color w:val="auto"/>
              </w:rPr>
            </w:pPr>
            <w:r>
              <w:rPr>
                <w:rFonts w:ascii="Arial" w:cs="Arial" w:eastAsia="Arial" w:hAnsi="Arial"/>
                <w:sz w:val="13"/>
                <w:szCs w:val="13"/>
                <w:color w:val="auto"/>
              </w:rPr>
              <w:t>17,540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16,782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16,394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15,715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12,958</w:t>
            </w:r>
          </w:p>
        </w:tc>
        <w:tc>
          <w:tcPr>
            <w:tcW w:w="980" w:type="dxa"/>
            <w:vAlign w:val="bottom"/>
            <w:gridSpan w:val="2"/>
          </w:tcPr>
          <w:p>
            <w:pPr>
              <w:jc w:val="right"/>
              <w:ind w:right="128"/>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17,163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12,378</w:t>
            </w:r>
          </w:p>
        </w:tc>
        <w:tc>
          <w:tcPr>
            <w:tcW w:w="800" w:type="dxa"/>
            <w:vAlign w:val="bottom"/>
            <w:gridSpan w:val="2"/>
          </w:tcPr>
          <w:p>
            <w:pPr>
              <w:jc w:val="right"/>
              <w:ind w:right="97"/>
              <w:spacing w:after="0"/>
              <w:rPr>
                <w:sz w:val="20"/>
                <w:szCs w:val="20"/>
                <w:color w:val="auto"/>
              </w:rPr>
            </w:pPr>
            <w:r>
              <w:rPr>
                <w:rFonts w:ascii="Arial" w:cs="Arial" w:eastAsia="Arial" w:hAnsi="Arial"/>
                <w:sz w:val="13"/>
                <w:szCs w:val="13"/>
                <w:color w:val="auto"/>
              </w:rPr>
              <w:t>39</w:t>
            </w:r>
          </w:p>
        </w:tc>
        <w:tc>
          <w:tcPr>
            <w:tcW w:w="0" w:type="dxa"/>
            <w:vAlign w:val="bottom"/>
          </w:tcPr>
          <w:p>
            <w:pPr>
              <w:spacing w:after="0"/>
              <w:rPr>
                <w:sz w:val="1"/>
                <w:szCs w:val="1"/>
                <w:color w:val="auto"/>
              </w:rPr>
            </w:pPr>
          </w:p>
        </w:tc>
      </w:tr>
      <w:tr>
        <w:trPr>
          <w:trHeight w:val="183"/>
        </w:trPr>
        <w:tc>
          <w:tcPr>
            <w:tcW w:w="2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assets</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18,792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18,023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17,698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17,013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14,173</w:t>
            </w:r>
          </w:p>
        </w:tc>
        <w:tc>
          <w:tcPr>
            <w:tcW w:w="980" w:type="dxa"/>
            <w:vAlign w:val="bottom"/>
            <w:gridSpan w:val="2"/>
            <w:shd w:val="clear" w:color="auto" w:fill="CCEEFF"/>
          </w:tcPr>
          <w:p>
            <w:pPr>
              <w:jc w:val="right"/>
              <w:ind w:right="128"/>
              <w:spacing w:after="0"/>
              <w:rPr>
                <w:sz w:val="20"/>
                <w:szCs w:val="20"/>
                <w:color w:val="auto"/>
              </w:rPr>
            </w:pPr>
            <w:r>
              <w:rPr>
                <w:rFonts w:ascii="Arial" w:cs="Arial" w:eastAsia="Arial" w:hAnsi="Arial"/>
                <w:sz w:val="13"/>
                <w:szCs w:val="13"/>
                <w:color w:val="auto"/>
              </w:rPr>
              <w:t>33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18,410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13,558</w:t>
            </w:r>
          </w:p>
        </w:tc>
        <w:tc>
          <w:tcPr>
            <w:tcW w:w="800" w:type="dxa"/>
            <w:vAlign w:val="bottom"/>
            <w:gridSpan w:val="2"/>
            <w:shd w:val="clear" w:color="auto" w:fill="CCEEFF"/>
          </w:tcPr>
          <w:p>
            <w:pPr>
              <w:jc w:val="right"/>
              <w:ind w:right="97"/>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68"/>
        </w:trPr>
        <w:tc>
          <w:tcPr>
            <w:tcW w:w="2740" w:type="dxa"/>
            <w:vAlign w:val="bottom"/>
          </w:tcPr>
          <w:p>
            <w:pPr>
              <w:ind w:left="140"/>
              <w:spacing w:after="0"/>
              <w:rPr>
                <w:sz w:val="20"/>
                <w:szCs w:val="20"/>
                <w:color w:val="auto"/>
              </w:rPr>
            </w:pPr>
            <w:r>
              <w:rPr>
                <w:rFonts w:ascii="Arial" w:cs="Arial" w:eastAsia="Arial" w:hAnsi="Arial"/>
                <w:sz w:val="13"/>
                <w:szCs w:val="13"/>
                <w:color w:val="auto"/>
              </w:rPr>
              <w:t>Deposits</w:t>
            </w:r>
          </w:p>
        </w:tc>
        <w:tc>
          <w:tcPr>
            <w:tcW w:w="160" w:type="dxa"/>
            <w:vAlign w:val="bottom"/>
          </w:tcPr>
          <w:p>
            <w:pPr>
              <w:spacing w:after="0"/>
              <w:rPr>
                <w:sz w:val="14"/>
                <w:szCs w:val="14"/>
                <w:color w:val="auto"/>
              </w:rPr>
            </w:pPr>
          </w:p>
        </w:tc>
        <w:tc>
          <w:tcPr>
            <w:tcW w:w="720" w:type="dxa"/>
            <w:vAlign w:val="bottom"/>
          </w:tcPr>
          <w:p>
            <w:pPr>
              <w:jc w:val="right"/>
              <w:ind w:right="117"/>
              <w:spacing w:after="0"/>
              <w:rPr>
                <w:sz w:val="20"/>
                <w:szCs w:val="20"/>
                <w:color w:val="auto"/>
              </w:rPr>
            </w:pPr>
            <w:r>
              <w:rPr>
                <w:rFonts w:ascii="Arial" w:cs="Arial" w:eastAsia="Arial" w:hAnsi="Arial"/>
                <w:sz w:val="13"/>
                <w:szCs w:val="13"/>
                <w:color w:val="auto"/>
              </w:rPr>
              <w:t>16,132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15,366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15,057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14,460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12,071</w:t>
            </w:r>
          </w:p>
        </w:tc>
        <w:tc>
          <w:tcPr>
            <w:tcW w:w="980" w:type="dxa"/>
            <w:vAlign w:val="bottom"/>
            <w:gridSpan w:val="2"/>
          </w:tcPr>
          <w:p>
            <w:pPr>
              <w:jc w:val="right"/>
              <w:ind w:right="128"/>
              <w:spacing w:after="0"/>
              <w:rPr>
                <w:sz w:val="20"/>
                <w:szCs w:val="20"/>
                <w:color w:val="auto"/>
              </w:rPr>
            </w:pPr>
            <w:r>
              <w:rPr>
                <w:rFonts w:ascii="Arial" w:cs="Arial" w:eastAsia="Arial" w:hAnsi="Arial"/>
                <w:sz w:val="13"/>
                <w:szCs w:val="13"/>
                <w:color w:val="auto"/>
              </w:rPr>
              <w:t>34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15,751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11,493</w:t>
            </w:r>
          </w:p>
        </w:tc>
        <w:tc>
          <w:tcPr>
            <w:tcW w:w="800" w:type="dxa"/>
            <w:vAlign w:val="bottom"/>
            <w:gridSpan w:val="2"/>
          </w:tcPr>
          <w:p>
            <w:pPr>
              <w:jc w:val="right"/>
              <w:ind w:right="97"/>
              <w:spacing w:after="0"/>
              <w:rPr>
                <w:sz w:val="20"/>
                <w:szCs w:val="20"/>
                <w:color w:val="auto"/>
              </w:rPr>
            </w:pPr>
            <w:r>
              <w:rPr>
                <w:rFonts w:ascii="Arial" w:cs="Arial" w:eastAsia="Arial" w:hAnsi="Arial"/>
                <w:sz w:val="13"/>
                <w:szCs w:val="13"/>
                <w:color w:val="auto"/>
              </w:rPr>
              <w:t>37</w:t>
            </w:r>
          </w:p>
        </w:tc>
        <w:tc>
          <w:tcPr>
            <w:tcW w:w="0" w:type="dxa"/>
            <w:vAlign w:val="bottom"/>
          </w:tcPr>
          <w:p>
            <w:pPr>
              <w:spacing w:after="0"/>
              <w:rPr>
                <w:sz w:val="1"/>
                <w:szCs w:val="1"/>
                <w:color w:val="auto"/>
              </w:rPr>
            </w:pPr>
          </w:p>
        </w:tc>
      </w:tr>
      <w:tr>
        <w:trPr>
          <w:trHeight w:val="183"/>
        </w:trPr>
        <w:tc>
          <w:tcPr>
            <w:tcW w:w="2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Shareholders’ equity</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2,060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2,025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1,994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1,948</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1,686</w:t>
            </w:r>
          </w:p>
        </w:tc>
        <w:tc>
          <w:tcPr>
            <w:tcW w:w="980" w:type="dxa"/>
            <w:vAlign w:val="bottom"/>
            <w:gridSpan w:val="2"/>
            <w:shd w:val="clear" w:color="auto" w:fill="CCEEFF"/>
          </w:tcPr>
          <w:p>
            <w:pPr>
              <w:jc w:val="right"/>
              <w:ind w:right="128"/>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2,042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1,670</w:t>
            </w:r>
          </w:p>
        </w:tc>
        <w:tc>
          <w:tcPr>
            <w:tcW w:w="800" w:type="dxa"/>
            <w:vAlign w:val="bottom"/>
            <w:gridSpan w:val="2"/>
            <w:shd w:val="clear" w:color="auto" w:fill="CCEEFF"/>
          </w:tcPr>
          <w:p>
            <w:pPr>
              <w:jc w:val="right"/>
              <w:ind w:right="97"/>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68"/>
        </w:trPr>
        <w:tc>
          <w:tcPr>
            <w:tcW w:w="2740" w:type="dxa"/>
            <w:vAlign w:val="bottom"/>
          </w:tcPr>
          <w:p>
            <w:pPr>
              <w:ind w:left="140"/>
              <w:spacing w:after="0"/>
              <w:rPr>
                <w:sz w:val="20"/>
                <w:szCs w:val="20"/>
                <w:color w:val="auto"/>
              </w:rPr>
            </w:pPr>
            <w:r>
              <w:rPr>
                <w:rFonts w:ascii="Arial" w:cs="Arial" w:eastAsia="Arial" w:hAnsi="Arial"/>
                <w:sz w:val="13"/>
                <w:szCs w:val="13"/>
                <w:color w:val="auto"/>
              </w:rPr>
              <w:t>Common shares - basic (thousands)</w:t>
            </w:r>
          </w:p>
        </w:tc>
        <w:tc>
          <w:tcPr>
            <w:tcW w:w="160" w:type="dxa"/>
            <w:vAlign w:val="bottom"/>
          </w:tcPr>
          <w:p>
            <w:pPr>
              <w:spacing w:after="0"/>
              <w:rPr>
                <w:sz w:val="14"/>
                <w:szCs w:val="14"/>
                <w:color w:val="auto"/>
              </w:rPr>
            </w:pPr>
          </w:p>
        </w:tc>
        <w:tc>
          <w:tcPr>
            <w:tcW w:w="720" w:type="dxa"/>
            <w:vAlign w:val="bottom"/>
          </w:tcPr>
          <w:p>
            <w:pPr>
              <w:jc w:val="right"/>
              <w:ind w:right="117"/>
              <w:spacing w:after="0"/>
              <w:rPr>
                <w:sz w:val="20"/>
                <w:szCs w:val="20"/>
                <w:color w:val="auto"/>
              </w:rPr>
            </w:pPr>
            <w:r>
              <w:rPr>
                <w:rFonts w:ascii="Arial" w:cs="Arial" w:eastAsia="Arial" w:hAnsi="Arial"/>
                <w:sz w:val="13"/>
                <w:szCs w:val="13"/>
                <w:color w:val="auto"/>
              </w:rPr>
              <w:t>87,289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87,322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87,258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87,129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78,920</w:t>
            </w:r>
          </w:p>
        </w:tc>
        <w:tc>
          <w:tcPr>
            <w:tcW w:w="980" w:type="dxa"/>
            <w:vAlign w:val="bottom"/>
            <w:gridSpan w:val="2"/>
          </w:tcPr>
          <w:p>
            <w:pPr>
              <w:jc w:val="right"/>
              <w:ind w:right="128"/>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87,306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79,130</w:t>
            </w:r>
          </w:p>
        </w:tc>
        <w:tc>
          <w:tcPr>
            <w:tcW w:w="800" w:type="dxa"/>
            <w:vAlign w:val="bottom"/>
            <w:gridSpan w:val="2"/>
          </w:tcPr>
          <w:p>
            <w:pPr>
              <w:jc w:val="right"/>
              <w:ind w:right="97"/>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83"/>
        </w:trPr>
        <w:tc>
          <w:tcPr>
            <w:tcW w:w="2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Common shares - diluted (thousands)</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87,421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87,466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87,333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87,205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78,924</w:t>
            </w:r>
          </w:p>
        </w:tc>
        <w:tc>
          <w:tcPr>
            <w:tcW w:w="980" w:type="dxa"/>
            <w:vAlign w:val="bottom"/>
            <w:gridSpan w:val="2"/>
            <w:shd w:val="clear" w:color="auto" w:fill="CCEEFF"/>
          </w:tcPr>
          <w:p>
            <w:pPr>
              <w:jc w:val="right"/>
              <w:ind w:right="128"/>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87,443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79,186</w:t>
            </w:r>
          </w:p>
        </w:tc>
        <w:tc>
          <w:tcPr>
            <w:tcW w:w="800" w:type="dxa"/>
            <w:vAlign w:val="bottom"/>
            <w:gridSpan w:val="2"/>
            <w:shd w:val="clear" w:color="auto" w:fill="CCEEFF"/>
          </w:tcPr>
          <w:p>
            <w:pPr>
              <w:jc w:val="right"/>
              <w:ind w:right="97"/>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7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 xml:space="preserve">AT PERIOD END </w:t>
            </w:r>
            <w:r>
              <w:rPr>
                <w:rFonts w:ascii="Arial" w:cs="Arial" w:eastAsia="Arial" w:hAnsi="Arial"/>
                <w:sz w:val="13"/>
                <w:szCs w:val="13"/>
                <w:i w:val="1"/>
                <w:iCs w:val="1"/>
                <w:color w:val="auto"/>
              </w:rPr>
              <w:t>($ in millions)</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740" w:type="dxa"/>
            <w:vAlign w:val="bottom"/>
          </w:tcPr>
          <w:p>
            <w:pPr>
              <w:ind w:left="140"/>
              <w:spacing w:after="0"/>
              <w:rPr>
                <w:sz w:val="20"/>
                <w:szCs w:val="20"/>
                <w:color w:val="auto"/>
              </w:rPr>
            </w:pPr>
            <w:r>
              <w:rPr>
                <w:rFonts w:ascii="Arial" w:cs="Arial" w:eastAsia="Arial" w:hAnsi="Arial"/>
                <w:sz w:val="13"/>
                <w:szCs w:val="13"/>
                <w:color w:val="auto"/>
              </w:rPr>
              <w:t>Loans</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117"/>
              <w:spacing w:after="0"/>
              <w:rPr>
                <w:sz w:val="20"/>
                <w:szCs w:val="20"/>
                <w:color w:val="auto"/>
              </w:rPr>
            </w:pPr>
            <w:r>
              <w:rPr>
                <w:rFonts w:ascii="Arial" w:cs="Arial" w:eastAsia="Arial" w:hAnsi="Arial"/>
                <w:sz w:val="13"/>
                <w:szCs w:val="13"/>
                <w:color w:val="auto"/>
              </w:rPr>
              <w:t>11,391</w:t>
            </w:r>
          </w:p>
        </w:tc>
        <w:tc>
          <w:tcPr>
            <w:tcW w:w="100" w:type="dxa"/>
            <w:vAlign w:val="bottom"/>
          </w:tcPr>
          <w:p>
            <w:pPr>
              <w:spacing w:after="0"/>
              <w:rPr>
                <w:sz w:val="14"/>
                <w:szCs w:val="14"/>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11,679</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11,371</w:t>
            </w:r>
          </w:p>
        </w:tc>
        <w:tc>
          <w:tcPr>
            <w:tcW w:w="100" w:type="dxa"/>
            <w:vAlign w:val="bottom"/>
          </w:tcPr>
          <w:p>
            <w:pPr>
              <w:spacing w:after="0"/>
              <w:rPr>
                <w:sz w:val="14"/>
                <w:szCs w:val="14"/>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11,799</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10,133</w:t>
            </w:r>
          </w:p>
        </w:tc>
        <w:tc>
          <w:tcPr>
            <w:tcW w:w="980" w:type="dxa"/>
            <w:vAlign w:val="bottom"/>
            <w:gridSpan w:val="2"/>
          </w:tcPr>
          <w:p>
            <w:pPr>
              <w:jc w:val="right"/>
              <w:ind w:right="128"/>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11,391</w:t>
            </w:r>
          </w:p>
        </w:tc>
        <w:tc>
          <w:tcPr>
            <w:tcW w:w="10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10,133</w:t>
            </w:r>
          </w:p>
        </w:tc>
        <w:tc>
          <w:tcPr>
            <w:tcW w:w="800" w:type="dxa"/>
            <w:vAlign w:val="bottom"/>
            <w:gridSpan w:val="2"/>
          </w:tcPr>
          <w:p>
            <w:pPr>
              <w:jc w:val="right"/>
              <w:ind w:right="97"/>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83"/>
        </w:trPr>
        <w:tc>
          <w:tcPr>
            <w:tcW w:w="2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Investment securities</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4,928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4,332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3,645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3,089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2,432</w:t>
            </w:r>
          </w:p>
        </w:tc>
        <w:tc>
          <w:tcPr>
            <w:tcW w:w="980" w:type="dxa"/>
            <w:vAlign w:val="bottom"/>
            <w:gridSpan w:val="2"/>
            <w:shd w:val="clear" w:color="auto" w:fill="CCEEFF"/>
          </w:tcPr>
          <w:p>
            <w:pPr>
              <w:jc w:val="right"/>
              <w:ind w:right="128"/>
              <w:spacing w:after="0"/>
              <w:rPr>
                <w:sz w:val="20"/>
                <w:szCs w:val="20"/>
                <w:color w:val="auto"/>
              </w:rPr>
            </w:pPr>
            <w:r>
              <w:rPr>
                <w:rFonts w:ascii="Arial" w:cs="Arial" w:eastAsia="Arial" w:hAnsi="Arial"/>
                <w:sz w:val="13"/>
                <w:szCs w:val="13"/>
                <w:color w:val="auto"/>
              </w:rPr>
              <w:t>103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4,928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2,432</w:t>
            </w:r>
          </w:p>
        </w:tc>
        <w:tc>
          <w:tcPr>
            <w:tcW w:w="800" w:type="dxa"/>
            <w:vAlign w:val="bottom"/>
            <w:gridSpan w:val="2"/>
            <w:shd w:val="clear" w:color="auto" w:fill="CCEEFF"/>
          </w:tcPr>
          <w:p>
            <w:pPr>
              <w:jc w:val="right"/>
              <w:ind w:right="97"/>
              <w:spacing w:after="0"/>
              <w:rPr>
                <w:sz w:val="20"/>
                <w:szCs w:val="20"/>
                <w:color w:val="auto"/>
              </w:rPr>
            </w:pPr>
            <w:r>
              <w:rPr>
                <w:rFonts w:ascii="Arial" w:cs="Arial" w:eastAsia="Arial" w:hAnsi="Arial"/>
                <w:sz w:val="13"/>
                <w:szCs w:val="13"/>
                <w:color w:val="auto"/>
              </w:rPr>
              <w:t>103</w:t>
            </w:r>
          </w:p>
        </w:tc>
        <w:tc>
          <w:tcPr>
            <w:tcW w:w="0" w:type="dxa"/>
            <w:vAlign w:val="bottom"/>
          </w:tcPr>
          <w:p>
            <w:pPr>
              <w:spacing w:after="0"/>
              <w:rPr>
                <w:sz w:val="1"/>
                <w:szCs w:val="1"/>
                <w:color w:val="auto"/>
              </w:rPr>
            </w:pPr>
          </w:p>
        </w:tc>
      </w:tr>
      <w:tr>
        <w:trPr>
          <w:trHeight w:val="168"/>
        </w:trPr>
        <w:tc>
          <w:tcPr>
            <w:tcW w:w="2740" w:type="dxa"/>
            <w:vAlign w:val="bottom"/>
          </w:tcPr>
          <w:p>
            <w:pPr>
              <w:ind w:left="140"/>
              <w:spacing w:after="0"/>
              <w:rPr>
                <w:sz w:val="20"/>
                <w:szCs w:val="20"/>
                <w:color w:val="auto"/>
              </w:rPr>
            </w:pPr>
            <w:r>
              <w:rPr>
                <w:rFonts w:ascii="Arial" w:cs="Arial" w:eastAsia="Arial" w:hAnsi="Arial"/>
                <w:sz w:val="13"/>
                <w:szCs w:val="13"/>
                <w:color w:val="auto"/>
              </w:rPr>
              <w:t>Total assets</w:t>
            </w:r>
          </w:p>
        </w:tc>
        <w:tc>
          <w:tcPr>
            <w:tcW w:w="160" w:type="dxa"/>
            <w:vAlign w:val="bottom"/>
          </w:tcPr>
          <w:p>
            <w:pPr>
              <w:spacing w:after="0"/>
              <w:rPr>
                <w:sz w:val="14"/>
                <w:szCs w:val="14"/>
                <w:color w:val="auto"/>
              </w:rPr>
            </w:pPr>
          </w:p>
        </w:tc>
        <w:tc>
          <w:tcPr>
            <w:tcW w:w="720" w:type="dxa"/>
            <w:vAlign w:val="bottom"/>
          </w:tcPr>
          <w:p>
            <w:pPr>
              <w:jc w:val="right"/>
              <w:ind w:right="117"/>
              <w:spacing w:after="0"/>
              <w:rPr>
                <w:sz w:val="20"/>
                <w:szCs w:val="20"/>
                <w:color w:val="auto"/>
              </w:rPr>
            </w:pPr>
            <w:r>
              <w:rPr>
                <w:rFonts w:ascii="Arial" w:cs="Arial" w:eastAsia="Arial" w:hAnsi="Arial"/>
                <w:sz w:val="13"/>
                <w:szCs w:val="13"/>
                <w:color w:val="auto"/>
              </w:rPr>
              <w:t>18,896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18,557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17,794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17,153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15,005</w:t>
            </w:r>
          </w:p>
        </w:tc>
        <w:tc>
          <w:tcPr>
            <w:tcW w:w="980" w:type="dxa"/>
            <w:vAlign w:val="bottom"/>
            <w:gridSpan w:val="2"/>
          </w:tcPr>
          <w:p>
            <w:pPr>
              <w:jc w:val="right"/>
              <w:ind w:right="128"/>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18,896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15,005</w:t>
            </w:r>
          </w:p>
        </w:tc>
        <w:tc>
          <w:tcPr>
            <w:tcW w:w="800" w:type="dxa"/>
            <w:vAlign w:val="bottom"/>
            <w:gridSpan w:val="2"/>
          </w:tcPr>
          <w:p>
            <w:pPr>
              <w:jc w:val="right"/>
              <w:ind w:right="97"/>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83"/>
        </w:trPr>
        <w:tc>
          <w:tcPr>
            <w:tcW w:w="2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Deposits</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16,328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15,993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15,232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14,603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12,702</w:t>
            </w:r>
          </w:p>
        </w:tc>
        <w:tc>
          <w:tcPr>
            <w:tcW w:w="980" w:type="dxa"/>
            <w:vAlign w:val="bottom"/>
            <w:gridSpan w:val="2"/>
            <w:shd w:val="clear" w:color="auto" w:fill="CCEEFF"/>
          </w:tcPr>
          <w:p>
            <w:pPr>
              <w:jc w:val="right"/>
              <w:ind w:right="128"/>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16,328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12,702</w:t>
            </w:r>
          </w:p>
        </w:tc>
        <w:tc>
          <w:tcPr>
            <w:tcW w:w="800" w:type="dxa"/>
            <w:vAlign w:val="bottom"/>
            <w:gridSpan w:val="2"/>
            <w:shd w:val="clear" w:color="auto" w:fill="CCEEFF"/>
          </w:tcPr>
          <w:p>
            <w:pPr>
              <w:jc w:val="right"/>
              <w:ind w:right="97"/>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168"/>
        </w:trPr>
        <w:tc>
          <w:tcPr>
            <w:tcW w:w="2740" w:type="dxa"/>
            <w:vAlign w:val="bottom"/>
          </w:tcPr>
          <w:p>
            <w:pPr>
              <w:ind w:left="140"/>
              <w:spacing w:after="0"/>
              <w:rPr>
                <w:sz w:val="20"/>
                <w:szCs w:val="20"/>
                <w:color w:val="auto"/>
              </w:rPr>
            </w:pPr>
            <w:r>
              <w:rPr>
                <w:rFonts w:ascii="Arial" w:cs="Arial" w:eastAsia="Arial" w:hAnsi="Arial"/>
                <w:sz w:val="13"/>
                <w:szCs w:val="13"/>
                <w:color w:val="auto"/>
              </w:rPr>
              <w:t>Shareholders’ equity</w:t>
            </w:r>
          </w:p>
        </w:tc>
        <w:tc>
          <w:tcPr>
            <w:tcW w:w="160" w:type="dxa"/>
            <w:vAlign w:val="bottom"/>
          </w:tcPr>
          <w:p>
            <w:pPr>
              <w:spacing w:after="0"/>
              <w:rPr>
                <w:sz w:val="14"/>
                <w:szCs w:val="14"/>
                <w:color w:val="auto"/>
              </w:rPr>
            </w:pPr>
          </w:p>
        </w:tc>
        <w:tc>
          <w:tcPr>
            <w:tcW w:w="720" w:type="dxa"/>
            <w:vAlign w:val="bottom"/>
          </w:tcPr>
          <w:p>
            <w:pPr>
              <w:jc w:val="right"/>
              <w:ind w:right="117"/>
              <w:spacing w:after="0"/>
              <w:rPr>
                <w:sz w:val="20"/>
                <w:szCs w:val="20"/>
                <w:color w:val="auto"/>
              </w:rPr>
            </w:pPr>
            <w:r>
              <w:rPr>
                <w:rFonts w:ascii="Arial" w:cs="Arial" w:eastAsia="Arial" w:hAnsi="Arial"/>
                <w:sz w:val="13"/>
                <w:szCs w:val="13"/>
                <w:color w:val="auto"/>
              </w:rPr>
              <w:t>2,086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2,031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2,008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1,967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1,772</w:t>
            </w:r>
          </w:p>
        </w:tc>
        <w:tc>
          <w:tcPr>
            <w:tcW w:w="980" w:type="dxa"/>
            <w:vAlign w:val="bottom"/>
            <w:gridSpan w:val="2"/>
          </w:tcPr>
          <w:p>
            <w:pPr>
              <w:jc w:val="right"/>
              <w:ind w:right="128"/>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2,086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1,772</w:t>
            </w:r>
          </w:p>
        </w:tc>
        <w:tc>
          <w:tcPr>
            <w:tcW w:w="800" w:type="dxa"/>
            <w:vAlign w:val="bottom"/>
            <w:gridSpan w:val="2"/>
          </w:tcPr>
          <w:p>
            <w:pPr>
              <w:jc w:val="right"/>
              <w:ind w:right="97"/>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83"/>
        </w:trPr>
        <w:tc>
          <w:tcPr>
            <w:tcW w:w="2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Common shares outstanding (thousands)</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86,665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86,777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86,675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86,611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78,335</w:t>
            </w:r>
          </w:p>
        </w:tc>
        <w:tc>
          <w:tcPr>
            <w:tcW w:w="980" w:type="dxa"/>
            <w:vAlign w:val="bottom"/>
            <w:gridSpan w:val="2"/>
            <w:shd w:val="clear" w:color="auto" w:fill="CCEEFF"/>
          </w:tcPr>
          <w:p>
            <w:pPr>
              <w:jc w:val="right"/>
              <w:ind w:right="128"/>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86,665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78,335</w:t>
            </w:r>
          </w:p>
        </w:tc>
        <w:tc>
          <w:tcPr>
            <w:tcW w:w="800" w:type="dxa"/>
            <w:vAlign w:val="bottom"/>
            <w:gridSpan w:val="2"/>
            <w:shd w:val="clear" w:color="auto" w:fill="CCEEFF"/>
          </w:tcPr>
          <w:p>
            <w:pPr>
              <w:jc w:val="right"/>
              <w:ind w:right="97"/>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bl>
    <w:p>
      <w:pPr>
        <w:spacing w:after="0" w:line="70" w:lineRule="exact"/>
        <w:rPr>
          <w:sz w:val="20"/>
          <w:szCs w:val="20"/>
          <w:color w:val="auto"/>
        </w:rPr>
      </w:pPr>
    </w:p>
    <w:p>
      <w:pPr>
        <w:ind w:firstLine="8"/>
        <w:spacing w:after="0" w:line="261" w:lineRule="auto"/>
        <w:tabs>
          <w:tab w:leader="none" w:pos="138" w:val="left"/>
        </w:tabs>
        <w:numPr>
          <w:ilvl w:val="0"/>
          <w:numId w:val="8"/>
        </w:numPr>
        <w:rPr>
          <w:rFonts w:ascii="Arial" w:cs="Arial" w:eastAsia="Arial" w:hAnsi="Arial"/>
          <w:sz w:val="15"/>
          <w:szCs w:val="15"/>
          <w:color w:val="auto"/>
          <w:vertAlign w:val="superscript"/>
        </w:rPr>
      </w:pPr>
      <w:r>
        <w:rPr>
          <w:rFonts w:ascii="Arial" w:cs="Arial" w:eastAsia="Arial" w:hAnsi="Arial"/>
          <w:sz w:val="12"/>
          <w:szCs w:val="12"/>
          <w:color w:val="auto"/>
        </w:rPr>
        <w:t xml:space="preserve">Excludes merger-related and other charges. </w:t>
      </w:r>
      <w:r>
        <w:rPr>
          <w:rFonts w:ascii="Arial" w:cs="Arial" w:eastAsia="Arial" w:hAnsi="Arial"/>
          <w:sz w:val="15"/>
          <w:szCs w:val="15"/>
          <w:color w:val="auto"/>
          <w:vertAlign w:val="superscript"/>
        </w:rPr>
        <w:t>(2)</w:t>
      </w:r>
      <w:r>
        <w:rPr>
          <w:rFonts w:ascii="Arial" w:cs="Arial" w:eastAsia="Arial" w:hAnsi="Arial"/>
          <w:sz w:val="12"/>
          <w:szCs w:val="12"/>
          <w:color w:val="auto"/>
        </w:rPr>
        <w:t xml:space="preserve"> Net income less preferred stock dividends, divided by average realized common equity, which excludes AOCI. </w:t>
      </w:r>
      <w:r>
        <w:rPr>
          <w:rFonts w:ascii="Arial" w:cs="Arial" w:eastAsia="Arial" w:hAnsi="Arial"/>
          <w:sz w:val="15"/>
          <w:szCs w:val="15"/>
          <w:color w:val="auto"/>
          <w:vertAlign w:val="superscript"/>
        </w:rPr>
        <w:t>(3)</w:t>
      </w:r>
      <w:r>
        <w:rPr>
          <w:rFonts w:ascii="Arial" w:cs="Arial" w:eastAsia="Arial" w:hAnsi="Arial"/>
          <w:sz w:val="12"/>
          <w:szCs w:val="12"/>
          <w:color w:val="auto"/>
        </w:rPr>
        <w:t xml:space="preserve"> Excludes effect of acquisition related intangibles and associated amortization. </w:t>
      </w:r>
      <w:r>
        <w:rPr>
          <w:rFonts w:ascii="Arial" w:cs="Arial" w:eastAsia="Arial" w:hAnsi="Arial"/>
          <w:sz w:val="15"/>
          <w:szCs w:val="15"/>
          <w:color w:val="auto"/>
          <w:vertAlign w:val="superscript"/>
        </w:rPr>
        <w:t>(4)</w:t>
      </w:r>
      <w:r>
        <w:rPr>
          <w:rFonts w:ascii="Arial" w:cs="Arial" w:eastAsia="Arial" w:hAnsi="Arial"/>
          <w:sz w:val="12"/>
          <w:szCs w:val="12"/>
          <w:color w:val="auto"/>
        </w:rPr>
        <w:t xml:space="preserve"> Annualized.</w:t>
      </w:r>
    </w:p>
    <w:p>
      <w:pPr>
        <w:sectPr>
          <w:pgSz w:w="11900" w:h="16838" w:orient="portrait"/>
          <w:cols w:equalWidth="0" w:num="1">
            <w:col w:w="11240"/>
          </w:cols>
          <w:pgMar w:left="320" w:top="729" w:right="339" w:bottom="1440" w:gutter="0" w:footer="0" w:header="0"/>
        </w:sect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type w:val="continuous"/>
        </w:sectPr>
      </w:pPr>
    </w:p>
    <w:bookmarkStart w:id="36" w:name="page37"/>
    <w:bookmarkEnd w:id="36"/>
    <w:p>
      <w:pPr>
        <w:ind w:left="20"/>
        <w:spacing w:after="0"/>
        <w:rPr>
          <w:sz w:val="20"/>
          <w:szCs w:val="20"/>
          <w:color w:val="auto"/>
        </w:rPr>
      </w:pPr>
      <w:r>
        <w:rPr>
          <w:rFonts w:ascii="Arial" w:cs="Arial" w:eastAsia="Arial" w:hAnsi="Arial"/>
          <w:sz w:val="14"/>
          <w:szCs w:val="14"/>
          <w:b w:val="1"/>
          <w:bCs w:val="1"/>
          <w:color w:val="auto"/>
        </w:rPr>
        <w:t>UNITED COMMUNITY BANKS, INC.</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Table 1 (Continued) - Non-GAAP Performance Measures Reconciliation</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Selected Financial Information</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(in thousands, except per share data)</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33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3"/>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9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vMerge w:val="restart"/>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100" w:type="dxa"/>
            <w:vAlign w:val="bottom"/>
            <w:tcBorders>
              <w:top w:val="single" w:sz="8" w:color="auto"/>
            </w:tcBorders>
            <w:gridSpan w:val="5"/>
          </w:tcPr>
          <w:p>
            <w:pPr>
              <w:jc w:val="right"/>
              <w:spacing w:after="0" w:line="141" w:lineRule="exact"/>
              <w:rPr>
                <w:sz w:val="20"/>
                <w:szCs w:val="20"/>
                <w:color w:val="auto"/>
              </w:rPr>
            </w:pPr>
            <w:r>
              <w:rPr>
                <w:rFonts w:ascii="Arial" w:cs="Arial" w:eastAsia="Arial" w:hAnsi="Arial"/>
                <w:sz w:val="14"/>
                <w:szCs w:val="14"/>
                <w:b w:val="1"/>
                <w:bCs w:val="1"/>
                <w:color w:val="auto"/>
                <w:w w:val="96"/>
              </w:rPr>
              <w:t>For the Six Months Ended June</w:t>
            </w:r>
          </w:p>
        </w:tc>
        <w:tc>
          <w:tcPr>
            <w:tcW w:w="0" w:type="dxa"/>
            <w:vAlign w:val="bottom"/>
          </w:tcPr>
          <w:p>
            <w:pPr>
              <w:spacing w:after="0"/>
              <w:rPr>
                <w:sz w:val="1"/>
                <w:szCs w:val="1"/>
                <w:color w:val="auto"/>
              </w:rPr>
            </w:pPr>
          </w:p>
        </w:tc>
      </w:tr>
      <w:tr>
        <w:trPr>
          <w:trHeight w:val="188"/>
        </w:trPr>
        <w:tc>
          <w:tcPr>
            <w:tcW w:w="33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vMerge w:val="continue"/>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30,</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320" w:type="dxa"/>
            <w:vAlign w:val="bottom"/>
          </w:tcPr>
          <w:p>
            <w:pPr>
              <w:spacing w:after="0"/>
              <w:rPr>
                <w:sz w:val="15"/>
                <w:szCs w:val="15"/>
                <w:color w:val="auto"/>
              </w:rPr>
            </w:pPr>
          </w:p>
        </w:tc>
        <w:tc>
          <w:tcPr>
            <w:tcW w:w="1160" w:type="dxa"/>
            <w:vAlign w:val="bottom"/>
            <w:gridSpan w:val="3"/>
          </w:tcPr>
          <w:p>
            <w:pPr>
              <w:ind w:left="60"/>
              <w:spacing w:after="0"/>
              <w:rPr>
                <w:sz w:val="20"/>
                <w:szCs w:val="20"/>
                <w:color w:val="auto"/>
              </w:rPr>
            </w:pPr>
            <w:r>
              <w:rPr>
                <w:rFonts w:ascii="Arial" w:cs="Arial" w:eastAsia="Arial" w:hAnsi="Arial"/>
                <w:sz w:val="14"/>
                <w:szCs w:val="14"/>
                <w:b w:val="1"/>
                <w:bCs w:val="1"/>
                <w:color w:val="auto"/>
              </w:rPr>
              <w:t>Second Quarter</w:t>
            </w:r>
          </w:p>
        </w:tc>
        <w:tc>
          <w:tcPr>
            <w:tcW w:w="120" w:type="dxa"/>
            <w:vAlign w:val="bottom"/>
          </w:tcPr>
          <w:p>
            <w:pPr>
              <w:spacing w:after="0"/>
              <w:rPr>
                <w:sz w:val="15"/>
                <w:szCs w:val="15"/>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b w:val="1"/>
                <w:bCs w:val="1"/>
                <w:color w:val="auto"/>
                <w:w w:val="96"/>
              </w:rPr>
              <w:t>First Quarter</w:t>
            </w:r>
          </w:p>
        </w:tc>
        <w:tc>
          <w:tcPr>
            <w:tcW w:w="100" w:type="dxa"/>
            <w:vAlign w:val="bottom"/>
          </w:tcPr>
          <w:p>
            <w:pPr>
              <w:spacing w:after="0"/>
              <w:rPr>
                <w:sz w:val="15"/>
                <w:szCs w:val="15"/>
                <w:color w:val="auto"/>
              </w:rPr>
            </w:pPr>
          </w:p>
        </w:tc>
        <w:tc>
          <w:tcPr>
            <w:tcW w:w="1160" w:type="dxa"/>
            <w:vAlign w:val="bottom"/>
            <w:gridSpan w:val="3"/>
          </w:tcPr>
          <w:p>
            <w:pPr>
              <w:ind w:left="40"/>
              <w:spacing w:after="0"/>
              <w:rPr>
                <w:sz w:val="20"/>
                <w:szCs w:val="20"/>
                <w:color w:val="auto"/>
              </w:rPr>
            </w:pPr>
            <w:r>
              <w:rPr>
                <w:rFonts w:ascii="Arial" w:cs="Arial" w:eastAsia="Arial" w:hAnsi="Arial"/>
                <w:sz w:val="14"/>
                <w:szCs w:val="14"/>
                <w:b w:val="1"/>
                <w:bCs w:val="1"/>
                <w:color w:val="auto"/>
              </w:rPr>
              <w:t>Fourth Quarter</w:t>
            </w:r>
          </w:p>
        </w:tc>
        <w:tc>
          <w:tcPr>
            <w:tcW w:w="1160" w:type="dxa"/>
            <w:vAlign w:val="bottom"/>
            <w:gridSpan w:val="3"/>
          </w:tcPr>
          <w:p>
            <w:pPr>
              <w:ind w:left="80"/>
              <w:spacing w:after="0"/>
              <w:rPr>
                <w:sz w:val="20"/>
                <w:szCs w:val="20"/>
                <w:color w:val="auto"/>
              </w:rPr>
            </w:pPr>
            <w:r>
              <w:rPr>
                <w:rFonts w:ascii="Arial" w:cs="Arial" w:eastAsia="Arial" w:hAnsi="Arial"/>
                <w:sz w:val="14"/>
                <w:szCs w:val="14"/>
                <w:b w:val="1"/>
                <w:bCs w:val="1"/>
                <w:color w:val="auto"/>
              </w:rPr>
              <w:t>Third Quarter</w:t>
            </w: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Second Quarter</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9"/>
        </w:trPr>
        <w:tc>
          <w:tcPr>
            <w:tcW w:w="3320" w:type="dxa"/>
            <w:vAlign w:val="bottom"/>
          </w:tcPr>
          <w:p>
            <w:pPr>
              <w:ind w:left="20"/>
              <w:spacing w:after="0"/>
              <w:rPr>
                <w:sz w:val="20"/>
                <w:szCs w:val="20"/>
                <w:color w:val="auto"/>
              </w:rPr>
            </w:pPr>
            <w:r>
              <w:rPr>
                <w:rFonts w:ascii="Arial" w:cs="Arial" w:eastAsia="Arial" w:hAnsi="Arial"/>
                <w:sz w:val="14"/>
                <w:szCs w:val="14"/>
                <w:b w:val="1"/>
                <w:bCs w:val="1"/>
                <w:color w:val="auto"/>
              </w:rPr>
              <w:t>Expense reconciliation</w:t>
            </w:r>
          </w:p>
        </w:tc>
        <w:tc>
          <w:tcPr>
            <w:tcW w:w="3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Expenses (GAAP)</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95,540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95,194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106,490</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95,981</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83,980</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190,734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165,518</w:t>
            </w:r>
          </w:p>
        </w:tc>
        <w:tc>
          <w:tcPr>
            <w:tcW w:w="0" w:type="dxa"/>
            <w:vAlign w:val="bottom"/>
          </w:tcPr>
          <w:p>
            <w:pPr>
              <w:spacing w:after="0"/>
              <w:rPr>
                <w:sz w:val="1"/>
                <w:szCs w:val="1"/>
                <w:color w:val="auto"/>
              </w:rPr>
            </w:pPr>
          </w:p>
        </w:tc>
      </w:tr>
      <w:tr>
        <w:trPr>
          <w:trHeight w:val="186"/>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Merger-related and other charges</w:t>
            </w: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(1,078)</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(1,543)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(2,452)</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(3,361)</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(397)</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(2,621)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(1,205)</w:t>
            </w:r>
          </w:p>
        </w:tc>
        <w:tc>
          <w:tcPr>
            <w:tcW w:w="0" w:type="dxa"/>
            <w:vAlign w:val="bottom"/>
          </w:tcPr>
          <w:p>
            <w:pPr>
              <w:spacing w:after="0"/>
              <w:rPr>
                <w:sz w:val="1"/>
                <w:szCs w:val="1"/>
                <w:color w:val="auto"/>
              </w:rPr>
            </w:pPr>
          </w:p>
        </w:tc>
      </w:tr>
      <w:tr>
        <w:trPr>
          <w:trHeight w:val="211"/>
        </w:trPr>
        <w:tc>
          <w:tcPr>
            <w:tcW w:w="3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Expenses - operating</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94,462</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93,651</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104,038</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92,620</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83,583</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188,113</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164,313</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reconciliation</w:t>
            </w: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320" w:type="dxa"/>
            <w:vAlign w:val="bottom"/>
          </w:tcPr>
          <w:p>
            <w:pPr>
              <w:ind w:left="20"/>
              <w:spacing w:after="0"/>
              <w:rPr>
                <w:sz w:val="20"/>
                <w:szCs w:val="20"/>
                <w:color w:val="auto"/>
              </w:rPr>
            </w:pPr>
            <w:r>
              <w:rPr>
                <w:rFonts w:ascii="Arial" w:cs="Arial" w:eastAsia="Arial" w:hAnsi="Arial"/>
                <w:sz w:val="14"/>
                <w:szCs w:val="14"/>
                <w:color w:val="auto"/>
              </w:rPr>
              <w:t>Net income (GAAP)</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70,260</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73,706</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59,502</w:t>
            </w:r>
          </w:p>
        </w:tc>
        <w:tc>
          <w:tcPr>
            <w:tcW w:w="8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47,607</w:t>
            </w:r>
          </w:p>
        </w:tc>
        <w:tc>
          <w:tcPr>
            <w:tcW w:w="8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25,096</w:t>
            </w:r>
          </w:p>
        </w:tc>
        <w:tc>
          <w:tcPr>
            <w:tcW w:w="8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143,966</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56,980</w:t>
            </w:r>
          </w:p>
        </w:tc>
        <w:tc>
          <w:tcPr>
            <w:tcW w:w="0" w:type="dxa"/>
            <w:vAlign w:val="bottom"/>
          </w:tcPr>
          <w:p>
            <w:pPr>
              <w:spacing w:after="0"/>
              <w:rPr>
                <w:sz w:val="1"/>
                <w:szCs w:val="1"/>
                <w:color w:val="auto"/>
              </w:rPr>
            </w:pPr>
          </w:p>
        </w:tc>
      </w:tr>
      <w:tr>
        <w:trPr>
          <w:trHeight w:val="192"/>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Merger-related and other charges</w:t>
            </w: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1,078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1,543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2,452</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3,361</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397</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2,621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1,205</w:t>
            </w:r>
          </w:p>
        </w:tc>
        <w:tc>
          <w:tcPr>
            <w:tcW w:w="0" w:type="dxa"/>
            <w:vAlign w:val="bottom"/>
          </w:tcPr>
          <w:p>
            <w:pPr>
              <w:spacing w:after="0"/>
              <w:rPr>
                <w:sz w:val="1"/>
                <w:szCs w:val="1"/>
                <w:color w:val="auto"/>
              </w:rPr>
            </w:pPr>
          </w:p>
        </w:tc>
      </w:tr>
      <w:tr>
        <w:trPr>
          <w:trHeight w:val="186"/>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w w:val="95"/>
              </w:rPr>
              <w:t>Income tax benefit of merger-related and other charges</w:t>
            </w: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(246)</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(335)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(552)</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(519)</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(87)</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(581)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(269)</w:t>
            </w:r>
          </w:p>
        </w:tc>
        <w:tc>
          <w:tcPr>
            <w:tcW w:w="0" w:type="dxa"/>
            <w:vAlign w:val="bottom"/>
          </w:tcPr>
          <w:p>
            <w:pPr>
              <w:spacing w:after="0"/>
              <w:rPr>
                <w:sz w:val="1"/>
                <w:szCs w:val="1"/>
                <w:color w:val="auto"/>
              </w:rPr>
            </w:pPr>
          </w:p>
        </w:tc>
      </w:tr>
      <w:tr>
        <w:trPr>
          <w:trHeight w:val="211"/>
        </w:trPr>
        <w:tc>
          <w:tcPr>
            <w:tcW w:w="3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Net income - operating</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71,092</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74,914</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61,402</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50,449</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25,406</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146,006</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57,916</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Diluted income per common share reconciliation</w:t>
            </w: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320" w:type="dxa"/>
            <w:vAlign w:val="bottom"/>
          </w:tcPr>
          <w:p>
            <w:pPr>
              <w:ind w:left="20"/>
              <w:spacing w:after="0"/>
              <w:rPr>
                <w:sz w:val="20"/>
                <w:szCs w:val="20"/>
                <w:color w:val="auto"/>
              </w:rPr>
            </w:pPr>
            <w:r>
              <w:rPr>
                <w:rFonts w:ascii="Arial" w:cs="Arial" w:eastAsia="Arial" w:hAnsi="Arial"/>
                <w:sz w:val="14"/>
                <w:szCs w:val="14"/>
                <w:color w:val="auto"/>
              </w:rPr>
              <w:t>Diluted income per common share (GAAP)</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0.78</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0.82</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0.66</w:t>
            </w:r>
          </w:p>
        </w:tc>
        <w:tc>
          <w:tcPr>
            <w:tcW w:w="8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0.52</w:t>
            </w:r>
          </w:p>
        </w:tc>
        <w:tc>
          <w:tcPr>
            <w:tcW w:w="8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0.32</w:t>
            </w:r>
          </w:p>
        </w:tc>
        <w:tc>
          <w:tcPr>
            <w:tcW w:w="8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1.60</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0.71</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Merger-related and other charges, net of tax</w:t>
            </w: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0.02</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0.03</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186"/>
        </w:trPr>
        <w:tc>
          <w:tcPr>
            <w:tcW w:w="3320" w:type="dxa"/>
            <w:vAlign w:val="bottom"/>
          </w:tcPr>
          <w:p>
            <w:pPr>
              <w:ind w:left="140"/>
              <w:spacing w:after="0"/>
              <w:rPr>
                <w:sz w:val="20"/>
                <w:szCs w:val="20"/>
                <w:color w:val="auto"/>
              </w:rPr>
            </w:pPr>
            <w:r>
              <w:rPr>
                <w:rFonts w:ascii="Arial" w:cs="Arial" w:eastAsia="Arial" w:hAnsi="Arial"/>
                <w:sz w:val="14"/>
                <w:szCs w:val="14"/>
                <w:color w:val="auto"/>
              </w:rPr>
              <w:t>Diluted income per common share - operating</w:t>
            </w: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0.79</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0.83</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0.68</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0.55</w:t>
            </w:r>
          </w:p>
        </w:tc>
        <w:tc>
          <w:tcPr>
            <w:tcW w:w="8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0.32</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1.62</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0.73</w:t>
            </w:r>
          </w:p>
        </w:tc>
        <w:tc>
          <w:tcPr>
            <w:tcW w:w="0" w:type="dxa"/>
            <w:vAlign w:val="bottom"/>
          </w:tcPr>
          <w:p>
            <w:pPr>
              <w:spacing w:after="0"/>
              <w:rPr>
                <w:sz w:val="1"/>
                <w:szCs w:val="1"/>
                <w:color w:val="auto"/>
              </w:rPr>
            </w:pPr>
          </w:p>
        </w:tc>
      </w:tr>
      <w:tr>
        <w:trPr>
          <w:trHeight w:val="20"/>
        </w:trPr>
        <w:tc>
          <w:tcPr>
            <w:tcW w:w="33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3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320" w:type="dxa"/>
            <w:vAlign w:val="bottom"/>
          </w:tcPr>
          <w:p>
            <w:pPr>
              <w:ind w:left="20"/>
              <w:spacing w:after="0"/>
              <w:rPr>
                <w:sz w:val="20"/>
                <w:szCs w:val="20"/>
                <w:color w:val="auto"/>
              </w:rPr>
            </w:pPr>
            <w:r>
              <w:rPr>
                <w:rFonts w:ascii="Arial" w:cs="Arial" w:eastAsia="Arial" w:hAnsi="Arial"/>
                <w:sz w:val="14"/>
                <w:szCs w:val="14"/>
                <w:b w:val="1"/>
                <w:bCs w:val="1"/>
                <w:color w:val="auto"/>
              </w:rPr>
              <w:t>Book value per common share reconciliation</w:t>
            </w: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Book value per common share (GAAP)</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22.81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22.15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21.90</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21.45</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21.22</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22.81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21.22</w:t>
            </w:r>
          </w:p>
        </w:tc>
        <w:tc>
          <w:tcPr>
            <w:tcW w:w="0" w:type="dxa"/>
            <w:vAlign w:val="bottom"/>
          </w:tcPr>
          <w:p>
            <w:pPr>
              <w:spacing w:after="0"/>
              <w:rPr>
                <w:sz w:val="1"/>
                <w:szCs w:val="1"/>
                <w:color w:val="auto"/>
              </w:rPr>
            </w:pPr>
          </w:p>
        </w:tc>
      </w:tr>
      <w:tr>
        <w:trPr>
          <w:trHeight w:val="186"/>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Effect of goodwill and other intangibles</w:t>
            </w: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(4.32)</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(4.32)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(4.34)</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(4.36)</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(4.27)</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(4.32)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(4.27)</w:t>
            </w:r>
          </w:p>
        </w:tc>
        <w:tc>
          <w:tcPr>
            <w:tcW w:w="0" w:type="dxa"/>
            <w:vAlign w:val="bottom"/>
          </w:tcPr>
          <w:p>
            <w:pPr>
              <w:spacing w:after="0"/>
              <w:rPr>
                <w:sz w:val="1"/>
                <w:szCs w:val="1"/>
                <w:color w:val="auto"/>
              </w:rPr>
            </w:pPr>
          </w:p>
        </w:tc>
      </w:tr>
      <w:tr>
        <w:trPr>
          <w:trHeight w:val="211"/>
        </w:trPr>
        <w:tc>
          <w:tcPr>
            <w:tcW w:w="3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Tangible book value per common share</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18.49</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17.83</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17.56</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17.09</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16.95</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18.49</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16.95</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Return on tangible common equity reconciliation</w:t>
            </w: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320" w:type="dxa"/>
            <w:vAlign w:val="bottom"/>
          </w:tcPr>
          <w:p>
            <w:pPr>
              <w:ind w:left="20"/>
              <w:spacing w:after="0"/>
              <w:rPr>
                <w:sz w:val="20"/>
                <w:szCs w:val="20"/>
                <w:color w:val="auto"/>
              </w:rPr>
            </w:pPr>
            <w:r>
              <w:rPr>
                <w:rFonts w:ascii="Arial" w:cs="Arial" w:eastAsia="Arial" w:hAnsi="Arial"/>
                <w:sz w:val="14"/>
                <w:szCs w:val="14"/>
                <w:color w:val="auto"/>
              </w:rPr>
              <w:t>Return on common equity (GAAP)</w:t>
            </w:r>
          </w:p>
        </w:tc>
        <w:tc>
          <w:tcPr>
            <w:tcW w:w="3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14.08 %</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15.37 %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12.36 %</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10.06 %</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6.17 %</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14.71 %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7.01 %</w:t>
            </w:r>
          </w:p>
        </w:tc>
        <w:tc>
          <w:tcPr>
            <w:tcW w:w="0" w:type="dxa"/>
            <w:vAlign w:val="bottom"/>
          </w:tcPr>
          <w:p>
            <w:pPr>
              <w:spacing w:after="0"/>
              <w:rPr>
                <w:sz w:val="1"/>
                <w:szCs w:val="1"/>
                <w:color w:val="auto"/>
              </w:rPr>
            </w:pPr>
          </w:p>
        </w:tc>
      </w:tr>
      <w:tr>
        <w:trPr>
          <w:trHeight w:val="192"/>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Merger-related and other charges, net of tax</w:t>
            </w:r>
          </w:p>
        </w:tc>
        <w:tc>
          <w:tcPr>
            <w:tcW w:w="3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0.17</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0.26</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0.41</w:t>
            </w: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0.63</w:t>
            </w:r>
          </w:p>
        </w:tc>
        <w:tc>
          <w:tcPr>
            <w:tcW w:w="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0.08</w:t>
            </w: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0.21</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0.12</w:t>
            </w:r>
          </w:p>
        </w:tc>
        <w:tc>
          <w:tcPr>
            <w:tcW w:w="0" w:type="dxa"/>
            <w:vAlign w:val="bottom"/>
          </w:tcPr>
          <w:p>
            <w:pPr>
              <w:spacing w:after="0"/>
              <w:rPr>
                <w:sz w:val="1"/>
                <w:szCs w:val="1"/>
                <w:color w:val="auto"/>
              </w:rPr>
            </w:pPr>
          </w:p>
        </w:tc>
      </w:tr>
      <w:tr>
        <w:trPr>
          <w:trHeight w:val="179"/>
        </w:trPr>
        <w:tc>
          <w:tcPr>
            <w:tcW w:w="3320" w:type="dxa"/>
            <w:vAlign w:val="bottom"/>
          </w:tcPr>
          <w:p>
            <w:pPr>
              <w:ind w:left="20"/>
              <w:spacing w:after="0"/>
              <w:rPr>
                <w:sz w:val="20"/>
                <w:szCs w:val="20"/>
                <w:color w:val="auto"/>
              </w:rPr>
            </w:pPr>
            <w:r>
              <w:rPr>
                <w:rFonts w:ascii="Arial" w:cs="Arial" w:eastAsia="Arial" w:hAnsi="Arial"/>
                <w:sz w:val="14"/>
                <w:szCs w:val="14"/>
                <w:color w:val="auto"/>
              </w:rPr>
              <w:t>Return on common equity - operating</w:t>
            </w:r>
          </w:p>
        </w:tc>
        <w:tc>
          <w:tcPr>
            <w:tcW w:w="30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14.25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15.63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12.77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10.69</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6.25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14.92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7.13</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goodwill and other intangibles</w:t>
            </w:r>
          </w:p>
        </w:tc>
        <w:tc>
          <w:tcPr>
            <w:tcW w:w="3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3.56</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4.05</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3.46</w:t>
            </w: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2.83</w:t>
            </w:r>
          </w:p>
        </w:tc>
        <w:tc>
          <w:tcPr>
            <w:tcW w:w="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1.84</w:t>
            </w: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3.80</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2.07</w:t>
            </w:r>
          </w:p>
        </w:tc>
        <w:tc>
          <w:tcPr>
            <w:tcW w:w="0" w:type="dxa"/>
            <w:vAlign w:val="bottom"/>
          </w:tcPr>
          <w:p>
            <w:pPr>
              <w:spacing w:after="0"/>
              <w:rPr>
                <w:sz w:val="1"/>
                <w:szCs w:val="1"/>
                <w:color w:val="auto"/>
              </w:rPr>
            </w:pPr>
          </w:p>
        </w:tc>
      </w:tr>
      <w:tr>
        <w:trPr>
          <w:trHeight w:val="186"/>
        </w:trPr>
        <w:tc>
          <w:tcPr>
            <w:tcW w:w="3320" w:type="dxa"/>
            <w:vAlign w:val="bottom"/>
          </w:tcPr>
          <w:p>
            <w:pPr>
              <w:ind w:left="140"/>
              <w:spacing w:after="0"/>
              <w:rPr>
                <w:sz w:val="20"/>
                <w:szCs w:val="20"/>
                <w:color w:val="auto"/>
              </w:rPr>
            </w:pPr>
            <w:r>
              <w:rPr>
                <w:rFonts w:ascii="Arial" w:cs="Arial" w:eastAsia="Arial" w:hAnsi="Arial"/>
                <w:sz w:val="14"/>
                <w:szCs w:val="14"/>
                <w:color w:val="auto"/>
              </w:rPr>
              <w:t>Return on tangible common equity - operating</w:t>
            </w: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17.81 %</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19.68 %</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16.23 %</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13.52 %</w:t>
            </w: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8.09 %</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18.72 %</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9.20 %</w:t>
            </w:r>
          </w:p>
        </w:tc>
        <w:tc>
          <w:tcPr>
            <w:tcW w:w="0" w:type="dxa"/>
            <w:vAlign w:val="bottom"/>
          </w:tcPr>
          <w:p>
            <w:pPr>
              <w:spacing w:after="0"/>
              <w:rPr>
                <w:sz w:val="1"/>
                <w:szCs w:val="1"/>
                <w:color w:val="auto"/>
              </w:rPr>
            </w:pPr>
          </w:p>
        </w:tc>
      </w:tr>
      <w:tr>
        <w:trPr>
          <w:trHeight w:val="20"/>
        </w:trPr>
        <w:tc>
          <w:tcPr>
            <w:tcW w:w="33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3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062" w:right="339" w:bottom="1440" w:gutter="0" w:footer="0" w:header="0"/>
        </w:sectPr>
      </w:pPr>
    </w:p>
    <w:p>
      <w:pPr>
        <w:ind w:left="20" w:right="680"/>
        <w:spacing w:after="0" w:line="324" w:lineRule="auto"/>
        <w:rPr>
          <w:sz w:val="20"/>
          <w:szCs w:val="20"/>
          <w:color w:val="auto"/>
        </w:rPr>
      </w:pPr>
      <w:r>
        <w:rPr>
          <w:rFonts w:ascii="Arial" w:cs="Arial" w:eastAsia="Arial" w:hAnsi="Arial"/>
          <w:sz w:val="12"/>
          <w:szCs w:val="12"/>
          <w:b w:val="1"/>
          <w:bCs w:val="1"/>
          <w:color w:val="auto"/>
        </w:rPr>
        <w:t xml:space="preserve">Return on assets reconciliation </w:t>
      </w:r>
      <w:r>
        <w:rPr>
          <w:rFonts w:ascii="Arial" w:cs="Arial" w:eastAsia="Arial" w:hAnsi="Arial"/>
          <w:sz w:val="12"/>
          <w:szCs w:val="12"/>
          <w:color w:val="auto"/>
        </w:rPr>
        <w:t>Return on assets (GAAP)</w:t>
      </w:r>
    </w:p>
    <w:p>
      <w:pPr>
        <w:ind w:left="20"/>
        <w:spacing w:after="0"/>
        <w:rPr>
          <w:sz w:val="20"/>
          <w:szCs w:val="20"/>
          <w:color w:val="auto"/>
        </w:rPr>
      </w:pPr>
      <w:r>
        <w:rPr>
          <w:rFonts w:ascii="Arial" w:cs="Arial" w:eastAsia="Arial" w:hAnsi="Arial"/>
          <w:sz w:val="12"/>
          <w:szCs w:val="12"/>
          <w:color w:val="auto"/>
        </w:rPr>
        <w:t>Merger-related and other charges, net of tax</w:t>
      </w:r>
    </w:p>
    <w:p>
      <w:pPr>
        <w:spacing w:after="0" w:line="9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Return on assets - operating</w:t>
      </w:r>
    </w:p>
    <w:p>
      <w:pPr>
        <w:spacing w:after="0" w:line="22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Dividend payout ratio reconciliation</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4"/>
          <w:szCs w:val="14"/>
          <w:color w:val="auto"/>
        </w:rPr>
        <w:t>Dividend payout ratio (GAAP)</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2"/>
          <w:szCs w:val="12"/>
          <w:color w:val="auto"/>
        </w:rPr>
        <w:t>Merger-related and other charges, net of tax</w:t>
      </w:r>
    </w:p>
    <w:p>
      <w:pPr>
        <w:spacing w:after="0" w:line="9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Dividend payout ratio - operating</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1080" w:type="dxa"/>
            <w:vAlign w:val="bottom"/>
          </w:tcPr>
          <w:p>
            <w:pPr>
              <w:jc w:val="right"/>
              <w:spacing w:after="0"/>
              <w:rPr>
                <w:sz w:val="20"/>
                <w:szCs w:val="20"/>
                <w:color w:val="auto"/>
              </w:rPr>
            </w:pPr>
            <w:r>
              <w:rPr>
                <w:rFonts w:ascii="Arial" w:cs="Arial" w:eastAsia="Arial" w:hAnsi="Arial"/>
                <w:sz w:val="14"/>
                <w:szCs w:val="14"/>
                <w:color w:val="auto"/>
              </w:rPr>
              <w:t>1.46 %</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1.62 %</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1.30 %</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1.07 %</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0.71 %</w:t>
            </w: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1.54 %</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0.85 %</w:t>
            </w:r>
          </w:p>
        </w:tc>
      </w:tr>
      <w:tr>
        <w:trPr>
          <w:trHeight w:val="195"/>
        </w:trPr>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0.02</w:t>
            </w:r>
          </w:p>
        </w:tc>
        <w:tc>
          <w:tcPr>
            <w:tcW w:w="80" w:type="dxa"/>
            <w:vAlign w:val="bottom"/>
          </w:tcPr>
          <w:p>
            <w:pPr>
              <w:spacing w:after="0"/>
              <w:rPr>
                <w:sz w:val="16"/>
                <w:szCs w:val="16"/>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0.03</w:t>
            </w:r>
          </w:p>
        </w:tc>
        <w:tc>
          <w:tcPr>
            <w:tcW w:w="100" w:type="dxa"/>
            <w:vAlign w:val="bottom"/>
          </w:tcPr>
          <w:p>
            <w:pPr>
              <w:spacing w:after="0"/>
              <w:rPr>
                <w:sz w:val="16"/>
                <w:szCs w:val="16"/>
                <w:color w:val="auto"/>
              </w:rPr>
            </w:pP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0.04</w:t>
            </w:r>
          </w:p>
        </w:tc>
        <w:tc>
          <w:tcPr>
            <w:tcW w:w="80" w:type="dxa"/>
            <w:vAlign w:val="bottom"/>
          </w:tcPr>
          <w:p>
            <w:pPr>
              <w:spacing w:after="0"/>
              <w:rPr>
                <w:sz w:val="16"/>
                <w:szCs w:val="16"/>
                <w:color w:val="auto"/>
              </w:rPr>
            </w:pP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0.07</w:t>
            </w:r>
          </w:p>
        </w:tc>
        <w:tc>
          <w:tcPr>
            <w:tcW w:w="80" w:type="dxa"/>
            <w:vAlign w:val="bottom"/>
          </w:tcPr>
          <w:p>
            <w:pPr>
              <w:spacing w:after="0"/>
              <w:rPr>
                <w:sz w:val="16"/>
                <w:szCs w:val="16"/>
                <w:color w:val="auto"/>
              </w:rPr>
            </w:pP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0.01</w:t>
            </w:r>
          </w:p>
        </w:tc>
        <w:tc>
          <w:tcPr>
            <w:tcW w:w="80" w:type="dxa"/>
            <w:vAlign w:val="bottom"/>
          </w:tcPr>
          <w:p>
            <w:pPr>
              <w:spacing w:after="0"/>
              <w:rPr>
                <w:sz w:val="16"/>
                <w:szCs w:val="16"/>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0.02</w:t>
            </w:r>
          </w:p>
        </w:tc>
        <w:tc>
          <w:tcPr>
            <w:tcW w:w="100" w:type="dxa"/>
            <w:vAlign w:val="bottom"/>
          </w:tcPr>
          <w:p>
            <w:pPr>
              <w:spacing w:after="0"/>
              <w:rPr>
                <w:sz w:val="16"/>
                <w:szCs w:val="16"/>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0.01</w:t>
            </w:r>
          </w:p>
        </w:tc>
      </w:tr>
      <w:tr>
        <w:trPr>
          <w:trHeight w:val="185"/>
        </w:trPr>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1.48 %</w:t>
            </w:r>
          </w:p>
        </w:tc>
        <w:tc>
          <w:tcPr>
            <w:tcW w:w="8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1.65 %</w:t>
            </w:r>
          </w:p>
        </w:tc>
        <w:tc>
          <w:tcPr>
            <w:tcW w:w="10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1.34 %</w:t>
            </w:r>
          </w:p>
        </w:tc>
        <w:tc>
          <w:tcPr>
            <w:tcW w:w="8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1.14 %</w:t>
            </w:r>
          </w:p>
        </w:tc>
        <w:tc>
          <w:tcPr>
            <w:tcW w:w="8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0.72 %</w:t>
            </w:r>
          </w:p>
        </w:tc>
        <w:tc>
          <w:tcPr>
            <w:tcW w:w="8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1.56 %</w:t>
            </w:r>
          </w:p>
        </w:tc>
        <w:tc>
          <w:tcPr>
            <w:tcW w:w="10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0.86 %</w:t>
            </w:r>
          </w:p>
        </w:tc>
      </w:tr>
      <w:tr>
        <w:trPr>
          <w:trHeight w:val="24"/>
        </w:trPr>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535"/>
        </w:trPr>
        <w:tc>
          <w:tcPr>
            <w:tcW w:w="1080" w:type="dxa"/>
            <w:vAlign w:val="bottom"/>
          </w:tcPr>
          <w:p>
            <w:pPr>
              <w:jc w:val="right"/>
              <w:spacing w:after="0"/>
              <w:rPr>
                <w:sz w:val="20"/>
                <w:szCs w:val="20"/>
                <w:color w:val="auto"/>
              </w:rPr>
            </w:pPr>
            <w:r>
              <w:rPr>
                <w:rFonts w:ascii="Arial" w:cs="Arial" w:eastAsia="Arial" w:hAnsi="Arial"/>
                <w:sz w:val="14"/>
                <w:szCs w:val="14"/>
                <w:color w:val="auto"/>
              </w:rPr>
              <w:t>24.36 %</w:t>
            </w:r>
          </w:p>
        </w:tc>
        <w:tc>
          <w:tcPr>
            <w:tcW w:w="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23.17 %</w:t>
            </w:r>
          </w:p>
        </w:tc>
        <w:tc>
          <w:tcPr>
            <w:tcW w:w="1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27.27 %</w:t>
            </w:r>
          </w:p>
        </w:tc>
        <w:tc>
          <w:tcPr>
            <w:tcW w:w="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34.62 %</w:t>
            </w:r>
          </w:p>
        </w:tc>
        <w:tc>
          <w:tcPr>
            <w:tcW w:w="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56.25 %</w:t>
            </w:r>
          </w:p>
        </w:tc>
        <w:tc>
          <w:tcPr>
            <w:tcW w:w="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23.75 %</w:t>
            </w: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50.70 %</w:t>
            </w:r>
          </w:p>
        </w:tc>
      </w:tr>
      <w:tr>
        <w:trPr>
          <w:trHeight w:val="195"/>
        </w:trPr>
        <w:tc>
          <w:tcPr>
            <w:tcW w:w="1080" w:type="dxa"/>
            <w:vAlign w:val="bottom"/>
          </w:tcPr>
          <w:p>
            <w:pPr>
              <w:jc w:val="right"/>
              <w:ind w:right="88"/>
              <w:spacing w:after="0"/>
              <w:rPr>
                <w:sz w:val="20"/>
                <w:szCs w:val="20"/>
                <w:color w:val="auto"/>
              </w:rPr>
            </w:pPr>
            <w:r>
              <w:rPr>
                <w:rFonts w:ascii="Arial" w:cs="Arial" w:eastAsia="Arial" w:hAnsi="Arial"/>
                <w:sz w:val="14"/>
                <w:szCs w:val="14"/>
                <w:color w:val="auto"/>
              </w:rPr>
              <w:t>(0.31)</w:t>
            </w:r>
          </w:p>
        </w:tc>
        <w:tc>
          <w:tcPr>
            <w:tcW w:w="80" w:type="dxa"/>
            <w:vAlign w:val="bottom"/>
          </w:tcPr>
          <w:p>
            <w:pPr>
              <w:spacing w:after="0"/>
              <w:rPr>
                <w:sz w:val="16"/>
                <w:szCs w:val="16"/>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(0.28)</w:t>
            </w:r>
          </w:p>
        </w:tc>
        <w:tc>
          <w:tcPr>
            <w:tcW w:w="100" w:type="dxa"/>
            <w:vAlign w:val="bottom"/>
          </w:tcPr>
          <w:p>
            <w:pPr>
              <w:spacing w:after="0"/>
              <w:rPr>
                <w:sz w:val="16"/>
                <w:szCs w:val="16"/>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(0.80)</w:t>
            </w:r>
          </w:p>
        </w:tc>
        <w:tc>
          <w:tcPr>
            <w:tcW w:w="80" w:type="dxa"/>
            <w:vAlign w:val="bottom"/>
          </w:tcPr>
          <w:p>
            <w:pPr>
              <w:spacing w:after="0"/>
              <w:rPr>
                <w:sz w:val="16"/>
                <w:szCs w:val="16"/>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(1.89)</w:t>
            </w:r>
          </w:p>
        </w:tc>
        <w:tc>
          <w:tcPr>
            <w:tcW w:w="80" w:type="dxa"/>
            <w:vAlign w:val="bottom"/>
          </w:tcPr>
          <w:p>
            <w:pPr>
              <w:spacing w:after="0"/>
              <w:rPr>
                <w:sz w:val="16"/>
                <w:szCs w:val="16"/>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(0.29)</w:t>
            </w:r>
          </w:p>
        </w:tc>
        <w:tc>
          <w:tcPr>
            <w:tcW w:w="100" w:type="dxa"/>
            <w:vAlign w:val="bottom"/>
          </w:tcPr>
          <w:p>
            <w:pPr>
              <w:spacing w:after="0"/>
              <w:rPr>
                <w:sz w:val="16"/>
                <w:szCs w:val="16"/>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(1.38)</w:t>
            </w:r>
          </w:p>
        </w:tc>
      </w:tr>
      <w:tr>
        <w:trPr>
          <w:trHeight w:val="185"/>
        </w:trPr>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24.05 %</w:t>
            </w:r>
          </w:p>
        </w:tc>
        <w:tc>
          <w:tcPr>
            <w:tcW w:w="80" w:type="dxa"/>
            <w:vAlign w:val="bottom"/>
          </w:tcPr>
          <w:p>
            <w:pPr>
              <w:spacing w:after="0"/>
              <w:rPr>
                <w:sz w:val="16"/>
                <w:szCs w:val="16"/>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22.89 %</w:t>
            </w:r>
          </w:p>
        </w:tc>
        <w:tc>
          <w:tcPr>
            <w:tcW w:w="100" w:type="dxa"/>
            <w:vAlign w:val="bottom"/>
          </w:tcPr>
          <w:p>
            <w:pPr>
              <w:spacing w:after="0"/>
              <w:rPr>
                <w:sz w:val="16"/>
                <w:szCs w:val="16"/>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26.47 %</w:t>
            </w:r>
          </w:p>
        </w:tc>
        <w:tc>
          <w:tcPr>
            <w:tcW w:w="80" w:type="dxa"/>
            <w:vAlign w:val="bottom"/>
          </w:tcPr>
          <w:p>
            <w:pPr>
              <w:spacing w:after="0"/>
              <w:rPr>
                <w:sz w:val="16"/>
                <w:szCs w:val="16"/>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32.73 %</w:t>
            </w:r>
          </w:p>
        </w:tc>
        <w:tc>
          <w:tcPr>
            <w:tcW w:w="80" w:type="dxa"/>
            <w:vAlign w:val="bottom"/>
          </w:tcPr>
          <w:p>
            <w:pPr>
              <w:spacing w:after="0"/>
              <w:rPr>
                <w:sz w:val="16"/>
                <w:szCs w:val="16"/>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56.25 %</w:t>
            </w:r>
          </w:p>
        </w:tc>
        <w:tc>
          <w:tcPr>
            <w:tcW w:w="80" w:type="dxa"/>
            <w:vAlign w:val="bottom"/>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23.46 %</w:t>
            </w:r>
          </w:p>
        </w:tc>
        <w:tc>
          <w:tcPr>
            <w:tcW w:w="100" w:type="dxa"/>
            <w:vAlign w:val="bottom"/>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49.32 %</w:t>
            </w:r>
          </w:p>
        </w:tc>
      </w:tr>
      <w:tr>
        <w:trPr>
          <w:trHeight w:val="24"/>
        </w:trPr>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-1036320</wp:posOffset>
            </wp:positionV>
            <wp:extent cx="7132320" cy="1200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-796290</wp:posOffset>
            </wp:positionV>
            <wp:extent cx="7132320"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-521970</wp:posOffset>
            </wp:positionV>
            <wp:extent cx="7132320" cy="1200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-281940</wp:posOffset>
            </wp:positionV>
            <wp:extent cx="7132320" cy="1200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-16510</wp:posOffset>
            </wp:positionV>
            <wp:extent cx="7132320" cy="1282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28270"/>
                    </a:xfrm>
                    <a:prstGeom prst="rect">
                      <a:avLst/>
                    </a:prstGeom>
                    <a:noFill/>
                  </pic:spPr>
                </pic:pic>
              </a:graphicData>
            </a:graphic>
          </wp:anchor>
        </w:drawing>
      </w:r>
    </w:p>
    <w:p>
      <w:pPr>
        <w:spacing w:after="0" w:line="166" w:lineRule="exact"/>
        <w:rPr>
          <w:sz w:val="20"/>
          <w:szCs w:val="20"/>
          <w:color w:val="auto"/>
        </w:rPr>
      </w:pPr>
    </w:p>
    <w:p>
      <w:pPr>
        <w:sectPr>
          <w:pgSz w:w="11900" w:h="16838" w:orient="portrait"/>
          <w:cols w:equalWidth="0" w:num="2">
            <w:col w:w="2600" w:space="720"/>
            <w:col w:w="7920"/>
          </w:cols>
          <w:pgMar w:left="320" w:top="1062" w:right="339" w:bottom="1440" w:gutter="0" w:footer="0" w:header="0"/>
          <w:type w:val="continuous"/>
        </w:sectPr>
      </w:pPr>
    </w:p>
    <w:p>
      <w:pPr>
        <w:ind w:left="20"/>
        <w:spacing w:after="0"/>
        <w:rPr>
          <w:sz w:val="20"/>
          <w:szCs w:val="20"/>
          <w:color w:val="auto"/>
        </w:rPr>
      </w:pPr>
      <w:r>
        <w:rPr>
          <w:rFonts w:ascii="Arial" w:cs="Arial" w:eastAsia="Arial" w:hAnsi="Arial"/>
          <w:sz w:val="13"/>
          <w:szCs w:val="13"/>
          <w:b w:val="1"/>
          <w:bCs w:val="1"/>
          <w:color w:val="auto"/>
        </w:rPr>
        <w:t>Efficiency ratio reconciliation</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4"/>
          <w:szCs w:val="14"/>
          <w:color w:val="auto"/>
        </w:rPr>
        <w:t>Efficiency ratio (GAAP)</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2"/>
          <w:szCs w:val="12"/>
          <w:color w:val="auto"/>
        </w:rPr>
        <w:t>Merger-related and other charges</w:t>
      </w:r>
    </w:p>
    <w:p>
      <w:pPr>
        <w:spacing w:after="0" w:line="9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Efficiency ratio - operating</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1080" w:type="dxa"/>
            <w:vAlign w:val="bottom"/>
          </w:tcPr>
          <w:p>
            <w:pPr>
              <w:ind w:left="560"/>
              <w:spacing w:after="0"/>
              <w:rPr>
                <w:sz w:val="20"/>
                <w:szCs w:val="20"/>
                <w:color w:val="auto"/>
              </w:rPr>
            </w:pPr>
            <w:r>
              <w:rPr>
                <w:rFonts w:ascii="Arial" w:cs="Arial" w:eastAsia="Arial" w:hAnsi="Arial"/>
                <w:sz w:val="14"/>
                <w:szCs w:val="14"/>
                <w:color w:val="auto"/>
                <w:w w:val="97"/>
              </w:rPr>
              <w:t>54.53 %</w:t>
            </w:r>
          </w:p>
        </w:tc>
        <w:tc>
          <w:tcPr>
            <w:tcW w:w="80" w:type="dxa"/>
            <w:vAlign w:val="bottom"/>
          </w:tcPr>
          <w:p>
            <w:pPr>
              <w:spacing w:after="0"/>
              <w:rPr>
                <w:sz w:val="15"/>
                <w:szCs w:val="15"/>
                <w:color w:val="auto"/>
              </w:rPr>
            </w:pPr>
          </w:p>
        </w:tc>
        <w:tc>
          <w:tcPr>
            <w:tcW w:w="1080" w:type="dxa"/>
            <w:vAlign w:val="bottom"/>
          </w:tcPr>
          <w:p>
            <w:pPr>
              <w:ind w:left="560"/>
              <w:spacing w:after="0"/>
              <w:rPr>
                <w:sz w:val="20"/>
                <w:szCs w:val="20"/>
                <w:color w:val="auto"/>
              </w:rPr>
            </w:pPr>
            <w:r>
              <w:rPr>
                <w:rFonts w:ascii="Arial" w:cs="Arial" w:eastAsia="Arial" w:hAnsi="Arial"/>
                <w:sz w:val="14"/>
                <w:szCs w:val="14"/>
                <w:color w:val="auto"/>
                <w:w w:val="97"/>
              </w:rPr>
              <w:t>53.55 %</w:t>
            </w:r>
          </w:p>
        </w:tc>
        <w:tc>
          <w:tcPr>
            <w:tcW w:w="100" w:type="dxa"/>
            <w:vAlign w:val="bottom"/>
          </w:tcPr>
          <w:p>
            <w:pPr>
              <w:spacing w:after="0"/>
              <w:rPr>
                <w:sz w:val="15"/>
                <w:szCs w:val="15"/>
                <w:color w:val="auto"/>
              </w:rPr>
            </w:pPr>
          </w:p>
        </w:tc>
        <w:tc>
          <w:tcPr>
            <w:tcW w:w="1080" w:type="dxa"/>
            <w:vAlign w:val="bottom"/>
          </w:tcPr>
          <w:p>
            <w:pPr>
              <w:ind w:left="560"/>
              <w:spacing w:after="0"/>
              <w:rPr>
                <w:sz w:val="20"/>
                <w:szCs w:val="20"/>
                <w:color w:val="auto"/>
              </w:rPr>
            </w:pPr>
            <w:r>
              <w:rPr>
                <w:rFonts w:ascii="Arial" w:cs="Arial" w:eastAsia="Arial" w:hAnsi="Arial"/>
                <w:sz w:val="14"/>
                <w:szCs w:val="14"/>
                <w:color w:val="auto"/>
                <w:w w:val="97"/>
              </w:rPr>
              <w:t>56.73 %</w:t>
            </w:r>
          </w:p>
        </w:tc>
        <w:tc>
          <w:tcPr>
            <w:tcW w:w="80" w:type="dxa"/>
            <w:vAlign w:val="bottom"/>
          </w:tcPr>
          <w:p>
            <w:pPr>
              <w:spacing w:after="0"/>
              <w:rPr>
                <w:sz w:val="15"/>
                <w:szCs w:val="15"/>
                <w:color w:val="auto"/>
              </w:rPr>
            </w:pPr>
          </w:p>
        </w:tc>
        <w:tc>
          <w:tcPr>
            <w:tcW w:w="1080" w:type="dxa"/>
            <w:vAlign w:val="bottom"/>
          </w:tcPr>
          <w:p>
            <w:pPr>
              <w:ind w:left="560"/>
              <w:spacing w:after="0"/>
              <w:rPr>
                <w:sz w:val="20"/>
                <w:szCs w:val="20"/>
                <w:color w:val="auto"/>
              </w:rPr>
            </w:pPr>
            <w:r>
              <w:rPr>
                <w:rFonts w:ascii="Arial" w:cs="Arial" w:eastAsia="Arial" w:hAnsi="Arial"/>
                <w:sz w:val="14"/>
                <w:szCs w:val="14"/>
                <w:color w:val="auto"/>
                <w:w w:val="97"/>
              </w:rPr>
              <w:t>54.14 %</w:t>
            </w:r>
          </w:p>
        </w:tc>
        <w:tc>
          <w:tcPr>
            <w:tcW w:w="80" w:type="dxa"/>
            <w:vAlign w:val="bottom"/>
          </w:tcPr>
          <w:p>
            <w:pPr>
              <w:spacing w:after="0"/>
              <w:rPr>
                <w:sz w:val="15"/>
                <w:szCs w:val="15"/>
                <w:color w:val="auto"/>
              </w:rPr>
            </w:pPr>
          </w:p>
        </w:tc>
        <w:tc>
          <w:tcPr>
            <w:tcW w:w="1080" w:type="dxa"/>
            <w:vAlign w:val="bottom"/>
          </w:tcPr>
          <w:p>
            <w:pPr>
              <w:ind w:left="560"/>
              <w:spacing w:after="0"/>
              <w:rPr>
                <w:sz w:val="20"/>
                <w:szCs w:val="20"/>
                <w:color w:val="auto"/>
              </w:rPr>
            </w:pPr>
            <w:r>
              <w:rPr>
                <w:rFonts w:ascii="Arial" w:cs="Arial" w:eastAsia="Arial" w:hAnsi="Arial"/>
                <w:sz w:val="14"/>
                <w:szCs w:val="14"/>
                <w:color w:val="auto"/>
                <w:w w:val="97"/>
              </w:rPr>
              <w:t>55.86 %</w:t>
            </w:r>
          </w:p>
        </w:tc>
        <w:tc>
          <w:tcPr>
            <w:tcW w:w="80" w:type="dxa"/>
            <w:vAlign w:val="bottom"/>
          </w:tcPr>
          <w:p>
            <w:pPr>
              <w:spacing w:after="0"/>
              <w:rPr>
                <w:sz w:val="15"/>
                <w:szCs w:val="15"/>
                <w:color w:val="auto"/>
              </w:rPr>
            </w:pPr>
          </w:p>
        </w:tc>
        <w:tc>
          <w:tcPr>
            <w:tcW w:w="1000" w:type="dxa"/>
            <w:vAlign w:val="bottom"/>
          </w:tcPr>
          <w:p>
            <w:pPr>
              <w:ind w:left="500"/>
              <w:spacing w:after="0"/>
              <w:rPr>
                <w:sz w:val="20"/>
                <w:szCs w:val="20"/>
                <w:color w:val="auto"/>
              </w:rPr>
            </w:pPr>
            <w:r>
              <w:rPr>
                <w:rFonts w:ascii="Arial" w:cs="Arial" w:eastAsia="Arial" w:hAnsi="Arial"/>
                <w:sz w:val="14"/>
                <w:szCs w:val="14"/>
                <w:color w:val="auto"/>
                <w:w w:val="93"/>
              </w:rPr>
              <w:t>54.04 %</w:t>
            </w:r>
          </w:p>
        </w:tc>
        <w:tc>
          <w:tcPr>
            <w:tcW w:w="100" w:type="dxa"/>
            <w:vAlign w:val="bottom"/>
          </w:tcPr>
          <w:p>
            <w:pPr>
              <w:spacing w:after="0"/>
              <w:rPr>
                <w:sz w:val="15"/>
                <w:szCs w:val="15"/>
                <w:color w:val="auto"/>
              </w:rPr>
            </w:pPr>
          </w:p>
        </w:tc>
        <w:tc>
          <w:tcPr>
            <w:tcW w:w="1000" w:type="dxa"/>
            <w:vAlign w:val="bottom"/>
          </w:tcPr>
          <w:p>
            <w:pPr>
              <w:ind w:left="500"/>
              <w:spacing w:after="0"/>
              <w:rPr>
                <w:sz w:val="20"/>
                <w:szCs w:val="20"/>
                <w:color w:val="auto"/>
              </w:rPr>
            </w:pPr>
            <w:r>
              <w:rPr>
                <w:rFonts w:ascii="Arial" w:cs="Arial" w:eastAsia="Arial" w:hAnsi="Arial"/>
                <w:sz w:val="14"/>
                <w:szCs w:val="14"/>
                <w:color w:val="auto"/>
                <w:w w:val="93"/>
              </w:rPr>
              <w:t>56.00 %</w:t>
            </w:r>
          </w:p>
        </w:tc>
      </w:tr>
      <w:tr>
        <w:trPr>
          <w:trHeight w:val="195"/>
        </w:trPr>
        <w:tc>
          <w:tcPr>
            <w:tcW w:w="108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(0.61)</w:t>
            </w:r>
          </w:p>
        </w:tc>
        <w:tc>
          <w:tcPr>
            <w:tcW w:w="80" w:type="dxa"/>
            <w:vAlign w:val="bottom"/>
          </w:tcPr>
          <w:p>
            <w:pPr>
              <w:spacing w:after="0"/>
              <w:rPr>
                <w:sz w:val="16"/>
                <w:szCs w:val="16"/>
                <w:color w:val="auto"/>
              </w:rPr>
            </w:pPr>
          </w:p>
        </w:tc>
        <w:tc>
          <w:tcPr>
            <w:tcW w:w="108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(0.87)</w:t>
            </w:r>
          </w:p>
        </w:tc>
        <w:tc>
          <w:tcPr>
            <w:tcW w:w="100" w:type="dxa"/>
            <w:vAlign w:val="bottom"/>
          </w:tcPr>
          <w:p>
            <w:pPr>
              <w:spacing w:after="0"/>
              <w:rPr>
                <w:sz w:val="16"/>
                <w:szCs w:val="16"/>
                <w:color w:val="auto"/>
              </w:rPr>
            </w:pPr>
          </w:p>
        </w:tc>
        <w:tc>
          <w:tcPr>
            <w:tcW w:w="108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(1.31)</w:t>
            </w:r>
          </w:p>
        </w:tc>
        <w:tc>
          <w:tcPr>
            <w:tcW w:w="80" w:type="dxa"/>
            <w:vAlign w:val="bottom"/>
          </w:tcPr>
          <w:p>
            <w:pPr>
              <w:spacing w:after="0"/>
              <w:rPr>
                <w:sz w:val="16"/>
                <w:szCs w:val="16"/>
                <w:color w:val="auto"/>
              </w:rPr>
            </w:pPr>
          </w:p>
        </w:tc>
        <w:tc>
          <w:tcPr>
            <w:tcW w:w="108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(1.90)</w:t>
            </w:r>
          </w:p>
        </w:tc>
        <w:tc>
          <w:tcPr>
            <w:tcW w:w="80" w:type="dxa"/>
            <w:vAlign w:val="bottom"/>
          </w:tcPr>
          <w:p>
            <w:pPr>
              <w:spacing w:after="0"/>
              <w:rPr>
                <w:sz w:val="16"/>
                <w:szCs w:val="16"/>
                <w:color w:val="auto"/>
              </w:rPr>
            </w:pPr>
          </w:p>
        </w:tc>
        <w:tc>
          <w:tcPr>
            <w:tcW w:w="108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(0.27)</w:t>
            </w:r>
          </w:p>
        </w:tc>
        <w:tc>
          <w:tcPr>
            <w:tcW w:w="80" w:type="dxa"/>
            <w:vAlign w:val="bottom"/>
          </w:tcPr>
          <w:p>
            <w:pPr>
              <w:spacing w:after="0"/>
              <w:rPr>
                <w:sz w:val="16"/>
                <w:szCs w:val="16"/>
                <w:color w:val="auto"/>
              </w:rPr>
            </w:pPr>
          </w:p>
        </w:tc>
        <w:tc>
          <w:tcPr>
            <w:tcW w:w="1000" w:type="dxa"/>
            <w:vAlign w:val="bottom"/>
            <w:tcBorders>
              <w:bottom w:val="single" w:sz="8" w:color="auto"/>
            </w:tcBorders>
          </w:tcPr>
          <w:p>
            <w:pPr>
              <w:ind w:left="520"/>
              <w:spacing w:after="0"/>
              <w:rPr>
                <w:sz w:val="20"/>
                <w:szCs w:val="20"/>
                <w:color w:val="auto"/>
              </w:rPr>
            </w:pPr>
            <w:r>
              <w:rPr>
                <w:rFonts w:ascii="Arial" w:cs="Arial" w:eastAsia="Arial" w:hAnsi="Arial"/>
                <w:sz w:val="14"/>
                <w:szCs w:val="14"/>
                <w:color w:val="auto"/>
              </w:rPr>
              <w:t>(0.74)</w:t>
            </w:r>
          </w:p>
        </w:tc>
        <w:tc>
          <w:tcPr>
            <w:tcW w:w="100" w:type="dxa"/>
            <w:vAlign w:val="bottom"/>
          </w:tcPr>
          <w:p>
            <w:pPr>
              <w:spacing w:after="0"/>
              <w:rPr>
                <w:sz w:val="16"/>
                <w:szCs w:val="16"/>
                <w:color w:val="auto"/>
              </w:rPr>
            </w:pPr>
          </w:p>
        </w:tc>
        <w:tc>
          <w:tcPr>
            <w:tcW w:w="100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(0.41)</w:t>
            </w:r>
          </w:p>
        </w:tc>
      </w:tr>
      <w:tr>
        <w:trPr>
          <w:trHeight w:val="185"/>
        </w:trPr>
        <w:tc>
          <w:tcPr>
            <w:tcW w:w="108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w w:val="97"/>
              </w:rPr>
              <w:t>53.92 %</w:t>
            </w:r>
          </w:p>
        </w:tc>
        <w:tc>
          <w:tcPr>
            <w:tcW w:w="80" w:type="dxa"/>
            <w:vAlign w:val="bottom"/>
          </w:tcPr>
          <w:p>
            <w:pPr>
              <w:spacing w:after="0"/>
              <w:rPr>
                <w:sz w:val="16"/>
                <w:szCs w:val="16"/>
                <w:color w:val="auto"/>
              </w:rPr>
            </w:pPr>
          </w:p>
        </w:tc>
        <w:tc>
          <w:tcPr>
            <w:tcW w:w="108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w w:val="97"/>
              </w:rPr>
              <w:t>52.68 %</w:t>
            </w:r>
          </w:p>
        </w:tc>
        <w:tc>
          <w:tcPr>
            <w:tcW w:w="100" w:type="dxa"/>
            <w:vAlign w:val="bottom"/>
          </w:tcPr>
          <w:p>
            <w:pPr>
              <w:spacing w:after="0"/>
              <w:rPr>
                <w:sz w:val="16"/>
                <w:szCs w:val="16"/>
                <w:color w:val="auto"/>
              </w:rPr>
            </w:pPr>
          </w:p>
        </w:tc>
        <w:tc>
          <w:tcPr>
            <w:tcW w:w="108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w w:val="97"/>
              </w:rPr>
              <w:t>55.42 %</w:t>
            </w:r>
          </w:p>
        </w:tc>
        <w:tc>
          <w:tcPr>
            <w:tcW w:w="80" w:type="dxa"/>
            <w:vAlign w:val="bottom"/>
          </w:tcPr>
          <w:p>
            <w:pPr>
              <w:spacing w:after="0"/>
              <w:rPr>
                <w:sz w:val="16"/>
                <w:szCs w:val="16"/>
                <w:color w:val="auto"/>
              </w:rPr>
            </w:pPr>
          </w:p>
        </w:tc>
        <w:tc>
          <w:tcPr>
            <w:tcW w:w="108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w w:val="97"/>
              </w:rPr>
              <w:t>52.24 %</w:t>
            </w:r>
          </w:p>
        </w:tc>
        <w:tc>
          <w:tcPr>
            <w:tcW w:w="80" w:type="dxa"/>
            <w:vAlign w:val="bottom"/>
          </w:tcPr>
          <w:p>
            <w:pPr>
              <w:spacing w:after="0"/>
              <w:rPr>
                <w:sz w:val="16"/>
                <w:szCs w:val="16"/>
                <w:color w:val="auto"/>
              </w:rPr>
            </w:pPr>
          </w:p>
        </w:tc>
        <w:tc>
          <w:tcPr>
            <w:tcW w:w="108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w w:val="97"/>
              </w:rPr>
              <w:t>55.59 %</w:t>
            </w:r>
          </w:p>
        </w:tc>
        <w:tc>
          <w:tcPr>
            <w:tcW w:w="80" w:type="dxa"/>
            <w:vAlign w:val="bottom"/>
          </w:tcPr>
          <w:p>
            <w:pPr>
              <w:spacing w:after="0"/>
              <w:rPr>
                <w:sz w:val="16"/>
                <w:szCs w:val="16"/>
                <w:color w:val="auto"/>
              </w:rPr>
            </w:pPr>
          </w:p>
        </w:tc>
        <w:tc>
          <w:tcPr>
            <w:tcW w:w="100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w w:val="93"/>
              </w:rPr>
              <w:t>53.30 %</w:t>
            </w:r>
          </w:p>
        </w:tc>
        <w:tc>
          <w:tcPr>
            <w:tcW w:w="100" w:type="dxa"/>
            <w:vAlign w:val="bottom"/>
          </w:tcPr>
          <w:p>
            <w:pPr>
              <w:spacing w:after="0"/>
              <w:rPr>
                <w:sz w:val="16"/>
                <w:szCs w:val="16"/>
                <w:color w:val="auto"/>
              </w:rPr>
            </w:pPr>
          </w:p>
        </w:tc>
        <w:tc>
          <w:tcPr>
            <w:tcW w:w="100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w w:val="93"/>
              </w:rPr>
              <w:t>55.59 %</w:t>
            </w:r>
          </w:p>
        </w:tc>
      </w:tr>
      <w:tr>
        <w:trPr>
          <w:trHeight w:val="24"/>
        </w:trPr>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-402590</wp:posOffset>
            </wp:positionV>
            <wp:extent cx="7132320" cy="1200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-162560</wp:posOffset>
            </wp:positionV>
            <wp:extent cx="7132320" cy="146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56" w:lineRule="exact"/>
        <w:rPr>
          <w:sz w:val="20"/>
          <w:szCs w:val="20"/>
          <w:color w:val="auto"/>
        </w:rPr>
      </w:pPr>
    </w:p>
    <w:p>
      <w:pPr>
        <w:sectPr>
          <w:pgSz w:w="11900" w:h="16838" w:orient="portrait"/>
          <w:cols w:equalWidth="0" w:num="2">
            <w:col w:w="2600" w:space="720"/>
            <w:col w:w="7920"/>
          </w:cols>
          <w:pgMar w:left="320" w:top="1062" w:right="339" w:bottom="1440" w:gutter="0" w:footer="0" w:header="0"/>
          <w:type w:val="continuous"/>
        </w:sectPr>
      </w:pPr>
    </w:p>
    <w:p>
      <w:pPr>
        <w:ind w:left="20"/>
        <w:spacing w:after="0"/>
        <w:rPr>
          <w:sz w:val="20"/>
          <w:szCs w:val="20"/>
          <w:color w:val="auto"/>
        </w:rPr>
      </w:pPr>
      <w:r>
        <w:rPr>
          <w:rFonts w:ascii="Arial" w:cs="Arial" w:eastAsia="Arial" w:hAnsi="Arial"/>
          <w:sz w:val="14"/>
          <w:szCs w:val="14"/>
          <w:b w:val="1"/>
          <w:bCs w:val="1"/>
          <w:color w:val="auto"/>
        </w:rPr>
        <w:t>Tangible common equity to 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2057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reconciliation</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320" w:type="dxa"/>
            <w:vAlign w:val="bottom"/>
          </w:tcPr>
          <w:p>
            <w:pPr>
              <w:ind w:left="20"/>
              <w:spacing w:after="0"/>
              <w:rPr>
                <w:sz w:val="20"/>
                <w:szCs w:val="20"/>
                <w:color w:val="auto"/>
              </w:rPr>
            </w:pPr>
            <w:r>
              <w:rPr>
                <w:rFonts w:ascii="Arial" w:cs="Arial" w:eastAsia="Arial" w:hAnsi="Arial"/>
                <w:sz w:val="14"/>
                <w:szCs w:val="14"/>
                <w:color w:val="auto"/>
              </w:rPr>
              <w:t>Equity to total assets (GAAP)</w:t>
            </w:r>
          </w:p>
        </w:tc>
        <w:tc>
          <w:tcPr>
            <w:tcW w:w="1080" w:type="dxa"/>
            <w:vAlign w:val="bottom"/>
          </w:tcPr>
          <w:p>
            <w:pPr>
              <w:ind w:left="580"/>
              <w:spacing w:after="0"/>
              <w:rPr>
                <w:sz w:val="20"/>
                <w:szCs w:val="20"/>
                <w:color w:val="auto"/>
              </w:rPr>
            </w:pPr>
            <w:r>
              <w:rPr>
                <w:rFonts w:ascii="Arial" w:cs="Arial" w:eastAsia="Arial" w:hAnsi="Arial"/>
                <w:sz w:val="14"/>
                <w:szCs w:val="14"/>
                <w:color w:val="auto"/>
                <w:w w:val="93"/>
              </w:rPr>
              <w:t>11.04 %</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10.95 %</w:t>
            </w:r>
          </w:p>
        </w:tc>
        <w:tc>
          <w:tcPr>
            <w:tcW w:w="100" w:type="dxa"/>
            <w:vAlign w:val="bottom"/>
          </w:tcPr>
          <w:p>
            <w:pPr>
              <w:spacing w:after="0"/>
              <w:rPr>
                <w:sz w:val="16"/>
                <w:szCs w:val="16"/>
                <w:color w:val="auto"/>
              </w:rPr>
            </w:pPr>
          </w:p>
        </w:tc>
        <w:tc>
          <w:tcPr>
            <w:tcW w:w="1080" w:type="dxa"/>
            <w:vAlign w:val="bottom"/>
          </w:tcPr>
          <w:p>
            <w:pPr>
              <w:ind w:left="560"/>
              <w:spacing w:after="0"/>
              <w:rPr>
                <w:sz w:val="20"/>
                <w:szCs w:val="20"/>
                <w:color w:val="auto"/>
              </w:rPr>
            </w:pPr>
            <w:r>
              <w:rPr>
                <w:rFonts w:ascii="Arial" w:cs="Arial" w:eastAsia="Arial" w:hAnsi="Arial"/>
                <w:sz w:val="14"/>
                <w:szCs w:val="14"/>
                <w:color w:val="auto"/>
                <w:w w:val="97"/>
              </w:rPr>
              <w:t>11.29 %</w:t>
            </w:r>
          </w:p>
        </w:tc>
        <w:tc>
          <w:tcPr>
            <w:tcW w:w="80" w:type="dxa"/>
            <w:vAlign w:val="bottom"/>
          </w:tcPr>
          <w:p>
            <w:pPr>
              <w:spacing w:after="0"/>
              <w:rPr>
                <w:sz w:val="16"/>
                <w:szCs w:val="16"/>
                <w:color w:val="auto"/>
              </w:rPr>
            </w:pPr>
          </w:p>
        </w:tc>
        <w:tc>
          <w:tcPr>
            <w:tcW w:w="1080" w:type="dxa"/>
            <w:vAlign w:val="bottom"/>
          </w:tcPr>
          <w:p>
            <w:pPr>
              <w:ind w:left="560"/>
              <w:spacing w:after="0"/>
              <w:rPr>
                <w:sz w:val="20"/>
                <w:szCs w:val="20"/>
                <w:color w:val="auto"/>
              </w:rPr>
            </w:pPr>
            <w:r>
              <w:rPr>
                <w:rFonts w:ascii="Arial" w:cs="Arial" w:eastAsia="Arial" w:hAnsi="Arial"/>
                <w:sz w:val="14"/>
                <w:szCs w:val="14"/>
                <w:color w:val="auto"/>
                <w:w w:val="97"/>
              </w:rPr>
              <w:t>11.47 %</w:t>
            </w:r>
          </w:p>
        </w:tc>
        <w:tc>
          <w:tcPr>
            <w:tcW w:w="80" w:type="dxa"/>
            <w:vAlign w:val="bottom"/>
          </w:tcPr>
          <w:p>
            <w:pPr>
              <w:spacing w:after="0"/>
              <w:rPr>
                <w:sz w:val="16"/>
                <w:szCs w:val="16"/>
                <w:color w:val="auto"/>
              </w:rPr>
            </w:pPr>
          </w:p>
        </w:tc>
        <w:tc>
          <w:tcPr>
            <w:tcW w:w="1080" w:type="dxa"/>
            <w:vAlign w:val="bottom"/>
          </w:tcPr>
          <w:p>
            <w:pPr>
              <w:ind w:left="580"/>
              <w:spacing w:after="0"/>
              <w:rPr>
                <w:sz w:val="20"/>
                <w:szCs w:val="20"/>
                <w:color w:val="auto"/>
              </w:rPr>
            </w:pPr>
            <w:r>
              <w:rPr>
                <w:rFonts w:ascii="Arial" w:cs="Arial" w:eastAsia="Arial" w:hAnsi="Arial"/>
                <w:sz w:val="14"/>
                <w:szCs w:val="14"/>
                <w:color w:val="auto"/>
                <w:w w:val="93"/>
              </w:rPr>
              <w:t>11.81 %</w:t>
            </w:r>
          </w:p>
        </w:tc>
        <w:tc>
          <w:tcPr>
            <w:tcW w:w="80" w:type="dxa"/>
            <w:vAlign w:val="bottom"/>
          </w:tcPr>
          <w:p>
            <w:pPr>
              <w:spacing w:after="0"/>
              <w:rPr>
                <w:sz w:val="16"/>
                <w:szCs w:val="16"/>
                <w:color w:val="auto"/>
              </w:rPr>
            </w:pPr>
          </w:p>
        </w:tc>
        <w:tc>
          <w:tcPr>
            <w:tcW w:w="1000" w:type="dxa"/>
            <w:vAlign w:val="bottom"/>
          </w:tcPr>
          <w:p>
            <w:pPr>
              <w:ind w:left="500"/>
              <w:spacing w:after="0"/>
              <w:rPr>
                <w:sz w:val="20"/>
                <w:szCs w:val="20"/>
                <w:color w:val="auto"/>
              </w:rPr>
            </w:pPr>
            <w:r>
              <w:rPr>
                <w:rFonts w:ascii="Arial" w:cs="Arial" w:eastAsia="Arial" w:hAnsi="Arial"/>
                <w:sz w:val="14"/>
                <w:szCs w:val="14"/>
                <w:color w:val="auto"/>
                <w:w w:val="93"/>
              </w:rPr>
              <w:t>11.04 %</w:t>
            </w:r>
          </w:p>
        </w:tc>
        <w:tc>
          <w:tcPr>
            <w:tcW w:w="100" w:type="dxa"/>
            <w:vAlign w:val="bottom"/>
          </w:tcPr>
          <w:p>
            <w:pPr>
              <w:spacing w:after="0"/>
              <w:rPr>
                <w:sz w:val="16"/>
                <w:szCs w:val="16"/>
                <w:color w:val="auto"/>
              </w:rPr>
            </w:pPr>
          </w:p>
        </w:tc>
        <w:tc>
          <w:tcPr>
            <w:tcW w:w="1000" w:type="dxa"/>
            <w:vAlign w:val="bottom"/>
          </w:tcPr>
          <w:p>
            <w:pPr>
              <w:ind w:left="500"/>
              <w:spacing w:after="0"/>
              <w:rPr>
                <w:sz w:val="20"/>
                <w:szCs w:val="20"/>
                <w:color w:val="auto"/>
              </w:rPr>
            </w:pPr>
            <w:r>
              <w:rPr>
                <w:rFonts w:ascii="Arial" w:cs="Arial" w:eastAsia="Arial" w:hAnsi="Arial"/>
                <w:sz w:val="14"/>
                <w:szCs w:val="14"/>
                <w:color w:val="auto"/>
                <w:w w:val="93"/>
              </w:rPr>
              <w:t>11.81 %</w:t>
            </w:r>
          </w:p>
        </w:tc>
      </w:tr>
      <w:tr>
        <w:trPr>
          <w:trHeight w:val="195"/>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goodwill and other intangibles</w:t>
            </w:r>
          </w:p>
        </w:tc>
        <w:tc>
          <w:tcPr>
            <w:tcW w:w="1080" w:type="dxa"/>
            <w:vAlign w:val="bottom"/>
            <w:shd w:val="clear" w:color="auto" w:fill="CCEEFF"/>
          </w:tcPr>
          <w:p>
            <w:pPr>
              <w:ind w:left="580"/>
              <w:spacing w:after="0"/>
              <w:rPr>
                <w:sz w:val="20"/>
                <w:szCs w:val="20"/>
                <w:color w:val="auto"/>
              </w:rPr>
            </w:pPr>
            <w:r>
              <w:rPr>
                <w:rFonts w:ascii="Arial" w:cs="Arial" w:eastAsia="Arial" w:hAnsi="Arial"/>
                <w:sz w:val="14"/>
                <w:szCs w:val="14"/>
                <w:color w:val="auto"/>
              </w:rPr>
              <w:t>(1.82)</w:t>
            </w: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(1.86)</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ind w:left="580"/>
              <w:spacing w:after="0"/>
              <w:rPr>
                <w:sz w:val="20"/>
                <w:szCs w:val="20"/>
                <w:color w:val="auto"/>
              </w:rPr>
            </w:pPr>
            <w:r>
              <w:rPr>
                <w:rFonts w:ascii="Arial" w:cs="Arial" w:eastAsia="Arial" w:hAnsi="Arial"/>
                <w:sz w:val="14"/>
                <w:szCs w:val="14"/>
                <w:color w:val="auto"/>
              </w:rPr>
              <w:t>(1.94)</w:t>
            </w: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ind w:left="580"/>
              <w:spacing w:after="0"/>
              <w:rPr>
                <w:sz w:val="20"/>
                <w:szCs w:val="20"/>
                <w:color w:val="auto"/>
              </w:rPr>
            </w:pPr>
            <w:r>
              <w:rPr>
                <w:rFonts w:ascii="Arial" w:cs="Arial" w:eastAsia="Arial" w:hAnsi="Arial"/>
                <w:sz w:val="14"/>
                <w:szCs w:val="14"/>
                <w:color w:val="auto"/>
              </w:rPr>
              <w:t>(2.02)</w:t>
            </w: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ind w:left="580"/>
              <w:spacing w:after="0"/>
              <w:rPr>
                <w:sz w:val="20"/>
                <w:szCs w:val="20"/>
                <w:color w:val="auto"/>
              </w:rPr>
            </w:pPr>
            <w:r>
              <w:rPr>
                <w:rFonts w:ascii="Arial" w:cs="Arial" w:eastAsia="Arial" w:hAnsi="Arial"/>
                <w:sz w:val="14"/>
                <w:szCs w:val="14"/>
                <w:color w:val="auto"/>
              </w:rPr>
              <w:t>(2.05)</w:t>
            </w: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ind w:left="520"/>
              <w:spacing w:after="0"/>
              <w:rPr>
                <w:sz w:val="20"/>
                <w:szCs w:val="20"/>
                <w:color w:val="auto"/>
              </w:rPr>
            </w:pPr>
            <w:r>
              <w:rPr>
                <w:rFonts w:ascii="Arial" w:cs="Arial" w:eastAsia="Arial" w:hAnsi="Arial"/>
                <w:sz w:val="14"/>
                <w:szCs w:val="14"/>
                <w:color w:val="auto"/>
              </w:rPr>
              <w:t>(1.82)</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(2.05)</w:t>
            </w:r>
          </w:p>
        </w:tc>
      </w:tr>
      <w:tr>
        <w:trPr>
          <w:trHeight w:val="186"/>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Effect of preferred equity</w:t>
            </w:r>
          </w:p>
        </w:tc>
        <w:tc>
          <w:tcPr>
            <w:tcW w:w="108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(0.51)</w:t>
            </w:r>
          </w:p>
        </w:tc>
        <w:tc>
          <w:tcPr>
            <w:tcW w:w="8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(0.52)</w:t>
            </w: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(0.54)</w:t>
            </w:r>
          </w:p>
        </w:tc>
        <w:tc>
          <w:tcPr>
            <w:tcW w:w="8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(0.56)</w:t>
            </w:r>
          </w:p>
        </w:tc>
        <w:tc>
          <w:tcPr>
            <w:tcW w:w="8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(0.64)</w:t>
            </w:r>
          </w:p>
        </w:tc>
        <w:tc>
          <w:tcPr>
            <w:tcW w:w="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ind w:left="520"/>
              <w:spacing w:after="0"/>
              <w:rPr>
                <w:sz w:val="20"/>
                <w:szCs w:val="20"/>
                <w:color w:val="auto"/>
              </w:rPr>
            </w:pPr>
            <w:r>
              <w:rPr>
                <w:rFonts w:ascii="Arial" w:cs="Arial" w:eastAsia="Arial" w:hAnsi="Arial"/>
                <w:sz w:val="14"/>
                <w:szCs w:val="14"/>
                <w:color w:val="auto"/>
              </w:rPr>
              <w:t>(0.51)</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(0.64)</w:t>
            </w:r>
          </w:p>
        </w:tc>
      </w:tr>
      <w:tr>
        <w:trPr>
          <w:trHeight w:val="211"/>
        </w:trPr>
        <w:tc>
          <w:tcPr>
            <w:tcW w:w="3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Tangible common equity to tangible assets</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8.71 %</w:t>
            </w:r>
          </w:p>
        </w:tc>
        <w:tc>
          <w:tcPr>
            <w:tcW w:w="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8.57 %</w:t>
            </w: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8.81 %</w:t>
            </w:r>
          </w:p>
        </w:tc>
        <w:tc>
          <w:tcPr>
            <w:tcW w:w="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8.89 %</w:t>
            </w:r>
          </w:p>
        </w:tc>
        <w:tc>
          <w:tcPr>
            <w:tcW w:w="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9.12 %</w:t>
            </w:r>
          </w:p>
        </w:tc>
        <w:tc>
          <w:tcPr>
            <w:tcW w:w="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8.71 %</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9.12 %</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Net Interest Revenue</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Net interest revenue, which is the difference between the interest earned on assets and the interest paid on deposits and borrowed funds, is the single largest component of total revenue. Management seeks to optimize this revenue while balancing interest rate, credit and liquidity risks.</w:t>
      </w:r>
    </w:p>
    <w:p>
      <w:pPr>
        <w:spacing w:after="0" w:line="17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banking industry uses two ratios to measure the relative profitability of net interest revenue. The net interest spread measures the difference between the average yield on interest-earning assets and the average rate paid on interest-bearing liabilities. The interest rate spread eliminates the effect of noninterest-bearing deposits and gives a direct perspective on the effect of market interest rate movements. The net interest margin is an indication of the profitability of a company’s balance sheet and is defined as net interest revenue as a percent of average total interest-earning assets, which includes the positive effect of funding a portion of interest-earning assets with noninterest-bearing deposits and stockholders’ equity.</w:t>
      </w:r>
    </w:p>
    <w:p>
      <w:pPr>
        <w:spacing w:after="0" w:line="20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following tables indicate the relationship between interest revenue and expense and the average amounts of assets and liabilities, which provides further insight into net interest spread and net interest margin for the periods indicated. As shown in the tables, both average assets and average liabilities for the three and six months ended June 30, 2021 increased compared to the same periods of 2020. The increase in average assets was primarily in average interest-earning assets including average loans, securities and interest-earning deposits in banks. The increase in average liabilities was driven by the increase in both average interest-bearing and noninterest-bearing deposits. In addition to organic growth, the increases in average loans and deposits reflect those acquired from Three Shores and the addition of PPP loans to our loan portfolio. PPP loans also contributed to deposit growth, since in many cases the proceeds of PPP loans remained in United customer deposit accounts during the first half of 2021. Approximately $1.93 billion of the increase in average loans for the three months ended June 30, 2021 can be attributed to the Three Shores and PPP loan portfolios. The forgiveness of PPP loans and strong growth in deposits generated additional liquidity, which we deployed into our investment portfolio and was also reflected in our cash balances.</w:t>
      </w:r>
    </w:p>
    <w:p>
      <w:pPr>
        <w:spacing w:after="0" w:line="19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Net interest revenue for the second quarter and first six months of 2021 was $138 million and $270 million, respectively. As set forth in the following tables, FTE net interest revenue for the second quarter and first six months of 2021 was $139 million and $272 million, representing 27% and 19% increases, respectively, from the second quarter and first six months of 2020. The increase in net interest revenue for the three and six months ended June 30, 2021 compared to the same periods of 2020 was primarily driven by the loan growth discussed above and accelerated recognition of net deferred PPP loan fees upon forgiveness or repayment, partially offset by the impact of historically low interest rates on our asset sensitive balance sheet.</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net interest spread for the second quarter and first six months of 2021 decreased 7 and 36 basis points, respectively, from the same periods of 2020. The net interest margin for the second quarter and first six months of 2021 decreased 23 basis points and 53 basis points, respectively, from the same periods of 2020. The decrease in the net interest margin and net interest spread during the three and six months ended June 30, 2021 was primarily attributable to the impact of falling interest rates as the decreases in loan and securities yields exceeded the decrease in deposit rates. Also, strong deposit growth led to a changing mix of interest-earning assets, which contributed to the net interest margin and net interest spread compression as average cash balances increased and the average balance of the lower-yielding investment securities portfolio as a percentage of total assets was 25% for the second quarter of 2021 compared with 17% for the same period of 2020. The impact of the falling yield on our interest-earning assets was partially mitigated by a more favorable interest-bearing deposit mix. For the three months ended June 30, 2021, 84% of interest-bearing deposits consisted of lower-cost transaction deposits compared to 75% for the same period of 2020, representing a shift from higher-cost time deposits. The shift in the interest-bearing deposit mix was also evident when comparing the six months ended June 30, 2021 and 2020. The decrease in the net interest margin was also partially offset by continued growth in noninterest-bearing deposits.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8" w:name="page39"/>
    <w:bookmarkEnd w:id="38"/>
    <w:p>
      <w:pPr>
        <w:ind w:left="20"/>
        <w:spacing w:after="0"/>
        <w:rPr>
          <w:sz w:val="20"/>
          <w:szCs w:val="20"/>
          <w:color w:val="auto"/>
        </w:rPr>
      </w:pPr>
      <w:r>
        <w:rPr>
          <w:rFonts w:ascii="Arial" w:cs="Arial" w:eastAsia="Arial" w:hAnsi="Arial"/>
          <w:sz w:val="18"/>
          <w:szCs w:val="18"/>
          <w:b w:val="1"/>
          <w:bCs w:val="1"/>
          <w:color w:val="auto"/>
        </w:rPr>
        <w:t>Table 2 - Average Consolidated Balance Sheets and Net Interest Analysis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 the 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280" w:type="dxa"/>
            <w:vAlign w:val="bottom"/>
            <w:gridSpan w:val="2"/>
            <w:vMerge w:val="restart"/>
          </w:tcPr>
          <w:p>
            <w:pPr>
              <w:ind w:left="20"/>
              <w:spacing w:after="0"/>
              <w:rPr>
                <w:sz w:val="20"/>
                <w:szCs w:val="20"/>
                <w:color w:val="auto"/>
              </w:rPr>
            </w:pPr>
            <w:r>
              <w:rPr>
                <w:rFonts w:ascii="Arial" w:cs="Arial" w:eastAsia="Arial" w:hAnsi="Arial"/>
                <w:sz w:val="16"/>
                <w:szCs w:val="16"/>
                <w:b w:val="1"/>
                <w:bCs w:val="1"/>
                <w:i w:val="1"/>
                <w:iCs w:val="1"/>
                <w:color w:val="auto"/>
              </w:rPr>
              <w:t>(dollars in thousands, FTE)</w:t>
            </w:r>
          </w:p>
        </w:tc>
        <w:tc>
          <w:tcPr>
            <w:tcW w:w="200" w:type="dxa"/>
            <w:vAlign w:val="bottom"/>
          </w:tcPr>
          <w:p>
            <w:pPr>
              <w:spacing w:after="0"/>
              <w:rPr>
                <w:sz w:val="13"/>
                <w:szCs w:val="13"/>
                <w:color w:val="auto"/>
              </w:rPr>
            </w:pPr>
          </w:p>
        </w:tc>
        <w:tc>
          <w:tcPr>
            <w:tcW w:w="1040" w:type="dxa"/>
            <w:vAlign w:val="bottom"/>
            <w:gridSpan w:val="2"/>
          </w:tcPr>
          <w:p>
            <w:pPr>
              <w:ind w:left="100"/>
              <w:spacing w:after="0" w:line="158" w:lineRule="exact"/>
              <w:rPr>
                <w:sz w:val="20"/>
                <w:szCs w:val="20"/>
                <w:color w:val="auto"/>
              </w:rPr>
            </w:pPr>
            <w:r>
              <w:rPr>
                <w:rFonts w:ascii="Arial" w:cs="Arial" w:eastAsia="Arial" w:hAnsi="Arial"/>
                <w:sz w:val="16"/>
                <w:szCs w:val="16"/>
                <w:b w:val="1"/>
                <w:bCs w:val="1"/>
                <w:color w:val="auto"/>
              </w:rPr>
              <w:t>Average</w:t>
            </w:r>
          </w:p>
        </w:tc>
        <w:tc>
          <w:tcPr>
            <w:tcW w:w="180" w:type="dxa"/>
            <w:vAlign w:val="bottom"/>
          </w:tcPr>
          <w:p>
            <w:pPr>
              <w:spacing w:after="0"/>
              <w:rPr>
                <w:sz w:val="13"/>
                <w:szCs w:val="13"/>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Interest</w:t>
            </w: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1"/>
              </w:rPr>
              <w:t>Average Rate</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ind w:left="100"/>
              <w:spacing w:after="0" w:line="158" w:lineRule="exact"/>
              <w:rPr>
                <w:sz w:val="20"/>
                <w:szCs w:val="20"/>
                <w:color w:val="auto"/>
              </w:rPr>
            </w:pPr>
            <w:r>
              <w:rPr>
                <w:rFonts w:ascii="Arial" w:cs="Arial" w:eastAsia="Arial" w:hAnsi="Arial"/>
                <w:sz w:val="16"/>
                <w:szCs w:val="16"/>
                <w:b w:val="1"/>
                <w:bCs w:val="1"/>
                <w:color w:val="auto"/>
              </w:rPr>
              <w:t>Average</w:t>
            </w:r>
          </w:p>
        </w:tc>
        <w:tc>
          <w:tcPr>
            <w:tcW w:w="180" w:type="dxa"/>
            <w:vAlign w:val="bottom"/>
          </w:tcPr>
          <w:p>
            <w:pPr>
              <w:spacing w:after="0"/>
              <w:rPr>
                <w:sz w:val="13"/>
                <w:szCs w:val="13"/>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Interest</w:t>
            </w: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1"/>
              </w:rPr>
              <w:t>Average Rate</w:t>
            </w:r>
          </w:p>
        </w:tc>
        <w:tc>
          <w:tcPr>
            <w:tcW w:w="0" w:type="dxa"/>
            <w:vAlign w:val="bottom"/>
          </w:tcPr>
          <w:p>
            <w:pPr>
              <w:spacing w:after="0"/>
              <w:rPr>
                <w:sz w:val="1"/>
                <w:szCs w:val="1"/>
                <w:color w:val="auto"/>
              </w:rPr>
            </w:pPr>
          </w:p>
        </w:tc>
      </w:tr>
      <w:tr>
        <w:trPr>
          <w:trHeight w:val="213"/>
        </w:trPr>
        <w:tc>
          <w:tcPr>
            <w:tcW w:w="42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6"/>
                <w:szCs w:val="16"/>
                <w:b w:val="1"/>
                <w:bCs w:val="1"/>
                <w:color w:val="auto"/>
              </w:rPr>
              <w:t>Balance</w:t>
            </w:r>
          </w:p>
        </w:tc>
        <w:tc>
          <w:tcPr>
            <w:tcW w:w="1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120"/>
              <w:spacing w:after="0"/>
              <w:rPr>
                <w:sz w:val="20"/>
                <w:szCs w:val="20"/>
                <w:color w:val="auto"/>
              </w:rPr>
            </w:pPr>
            <w:r>
              <w:rPr>
                <w:rFonts w:ascii="Arial" w:cs="Arial" w:eastAsia="Arial" w:hAnsi="Arial"/>
                <w:sz w:val="16"/>
                <w:szCs w:val="16"/>
                <w:b w:val="1"/>
                <w:bCs w:val="1"/>
                <w:color w:val="auto"/>
              </w:rPr>
              <w:t>Balance</w:t>
            </w: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Assets:</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Interest-earning assets: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ind w:left="140"/>
              <w:spacing w:after="0" w:line="216" w:lineRule="exact"/>
              <w:rPr>
                <w:sz w:val="20"/>
                <w:szCs w:val="20"/>
                <w:color w:val="auto"/>
              </w:rPr>
            </w:pPr>
            <w:r>
              <w:rPr>
                <w:rFonts w:ascii="Arial" w:cs="Arial" w:eastAsia="Arial" w:hAnsi="Arial"/>
                <w:sz w:val="16"/>
                <w:szCs w:val="16"/>
                <w:color w:val="auto"/>
              </w:rPr>
              <w:t xml:space="preserve">Loans, net of unearned income (FTE) </w:t>
            </w:r>
            <w:r>
              <w:rPr>
                <w:rFonts w:ascii="Arial" w:cs="Arial" w:eastAsia="Arial" w:hAnsi="Arial"/>
                <w:sz w:val="21"/>
                <w:szCs w:val="21"/>
                <w:color w:val="auto"/>
                <w:vertAlign w:val="superscript"/>
              </w:rPr>
              <w:t>(1)(2)</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11,616,802</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127,458</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4.40 %</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9,772,703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107,398</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4.42 %</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140"/>
              <w:spacing w:after="0" w:line="216" w:lineRule="exact"/>
              <w:rPr>
                <w:sz w:val="20"/>
                <w:szCs w:val="20"/>
                <w:color w:val="auto"/>
              </w:rPr>
            </w:pPr>
            <w:r>
              <w:rPr>
                <w:rFonts w:ascii="Arial" w:cs="Arial" w:eastAsia="Arial" w:hAnsi="Arial"/>
                <w:sz w:val="16"/>
                <w:szCs w:val="16"/>
                <w:color w:val="auto"/>
              </w:rPr>
              <w:t xml:space="preserve">Taxable securities </w:t>
            </w:r>
            <w:r>
              <w:rPr>
                <w:rFonts w:ascii="Arial" w:cs="Arial" w:eastAsia="Arial" w:hAnsi="Arial"/>
                <w:sz w:val="21"/>
                <w:szCs w:val="21"/>
                <w:color w:val="auto"/>
                <w:vertAlign w:val="superscript"/>
              </w:rPr>
              <w:t>(3)</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4,242,297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15,287</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2,229,371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14,045</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2.52</w:t>
            </w:r>
          </w:p>
        </w:tc>
        <w:tc>
          <w:tcPr>
            <w:tcW w:w="0" w:type="dxa"/>
            <w:vAlign w:val="bottom"/>
          </w:tcPr>
          <w:p>
            <w:pPr>
              <w:spacing w:after="0"/>
              <w:rPr>
                <w:sz w:val="1"/>
                <w:szCs w:val="1"/>
                <w:color w:val="auto"/>
              </w:rPr>
            </w:pPr>
          </w:p>
        </w:tc>
      </w:tr>
      <w:tr>
        <w:trPr>
          <w:trHeight w:val="216"/>
        </w:trPr>
        <w:tc>
          <w:tcPr>
            <w:tcW w:w="4280" w:type="dxa"/>
            <w:vAlign w:val="bottom"/>
            <w:gridSpan w:val="2"/>
          </w:tcPr>
          <w:p>
            <w:pPr>
              <w:ind w:left="140"/>
              <w:spacing w:after="0" w:line="216" w:lineRule="exact"/>
              <w:rPr>
                <w:sz w:val="20"/>
                <w:szCs w:val="20"/>
                <w:color w:val="auto"/>
              </w:rPr>
            </w:pPr>
            <w:r>
              <w:rPr>
                <w:rFonts w:ascii="Arial" w:cs="Arial" w:eastAsia="Arial" w:hAnsi="Arial"/>
                <w:sz w:val="16"/>
                <w:szCs w:val="16"/>
                <w:color w:val="auto"/>
              </w:rPr>
              <w:t xml:space="preserve">Tax-exempt securities (FTE) </w:t>
            </w:r>
            <w:r>
              <w:rPr>
                <w:rFonts w:ascii="Arial" w:cs="Arial" w:eastAsia="Arial" w:hAnsi="Arial"/>
                <w:sz w:val="21"/>
                <w:szCs w:val="21"/>
                <w:color w:val="auto"/>
                <w:vertAlign w:val="superscript"/>
              </w:rPr>
              <w:t>(1)(3)</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388,609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3,030</w:t>
            </w:r>
          </w:p>
        </w:tc>
        <w:tc>
          <w:tcPr>
            <w:tcW w:w="1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3.12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178,903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2,110</w:t>
            </w:r>
          </w:p>
        </w:tc>
        <w:tc>
          <w:tcPr>
            <w:tcW w:w="1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4.72</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Federal funds sold and other interest-earning assets</w:t>
            </w: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1,292,026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1,055</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0.33</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776,776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857</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0.44</w:t>
            </w:r>
          </w:p>
        </w:tc>
        <w:tc>
          <w:tcPr>
            <w:tcW w:w="0" w:type="dxa"/>
            <w:vAlign w:val="bottom"/>
          </w:tcPr>
          <w:p>
            <w:pPr>
              <w:spacing w:after="0"/>
              <w:rPr>
                <w:sz w:val="1"/>
                <w:szCs w:val="1"/>
                <w:color w:val="auto"/>
              </w:rPr>
            </w:pPr>
          </w:p>
        </w:tc>
      </w:tr>
      <w:tr>
        <w:trPr>
          <w:trHeight w:val="206"/>
        </w:trPr>
        <w:tc>
          <w:tcPr>
            <w:tcW w:w="428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b w:val="1"/>
                <w:bCs w:val="1"/>
                <w:color w:val="auto"/>
              </w:rPr>
              <w:t>Total interest-earning assets (FTE)</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17,539,734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146,830</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Arial" w:cs="Arial" w:eastAsia="Arial" w:hAnsi="Arial"/>
                <w:sz w:val="16"/>
                <w:szCs w:val="16"/>
                <w:color w:val="auto"/>
              </w:rPr>
              <w:t>3.36</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12,957,753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124,410</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Arial" w:cs="Arial" w:eastAsia="Arial" w:hAnsi="Arial"/>
                <w:sz w:val="16"/>
                <w:szCs w:val="16"/>
                <w:color w:val="auto"/>
              </w:rPr>
              <w:t>3.86</w:t>
            </w:r>
          </w:p>
        </w:tc>
        <w:tc>
          <w:tcPr>
            <w:tcW w:w="0" w:type="dxa"/>
            <w:vAlign w:val="bottom"/>
          </w:tcPr>
          <w:p>
            <w:pPr>
              <w:spacing w:after="0"/>
              <w:rPr>
                <w:sz w:val="1"/>
                <w:szCs w:val="1"/>
                <w:color w:val="auto"/>
              </w:rPr>
            </w:pPr>
          </w:p>
        </w:tc>
      </w:tr>
      <w:tr>
        <w:trPr>
          <w:trHeight w:val="199"/>
        </w:trPr>
        <w:tc>
          <w:tcPr>
            <w:tcW w:w="4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80" w:type="dxa"/>
            <w:vAlign w:val="bottom"/>
            <w:gridSpan w:val="2"/>
          </w:tcPr>
          <w:p>
            <w:pPr>
              <w:ind w:left="20"/>
              <w:spacing w:after="0"/>
              <w:rPr>
                <w:sz w:val="20"/>
                <w:szCs w:val="20"/>
                <w:color w:val="auto"/>
              </w:rPr>
            </w:pPr>
            <w:r>
              <w:rPr>
                <w:rFonts w:ascii="Arial" w:cs="Arial" w:eastAsia="Arial" w:hAnsi="Arial"/>
                <w:sz w:val="16"/>
                <w:szCs w:val="16"/>
                <w:color w:val="auto"/>
              </w:rPr>
              <w:t>Noninterest-earning assets: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Allowance for credit losses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(128,073)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(89,992)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80" w:type="dxa"/>
            <w:vAlign w:val="bottom"/>
            <w:gridSpan w:val="2"/>
          </w:tcPr>
          <w:p>
            <w:pPr>
              <w:ind w:left="140"/>
              <w:spacing w:after="0"/>
              <w:rPr>
                <w:sz w:val="20"/>
                <w:szCs w:val="20"/>
                <w:color w:val="auto"/>
              </w:rPr>
            </w:pPr>
            <w:r>
              <w:rPr>
                <w:rFonts w:ascii="Arial" w:cs="Arial" w:eastAsia="Arial" w:hAnsi="Arial"/>
                <w:sz w:val="16"/>
                <w:szCs w:val="16"/>
                <w:color w:val="auto"/>
              </w:rPr>
              <w:t>Cash and due from banks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152,443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138,842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Premises and equipment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225,017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217,096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tcBorders>
              <w:bottom w:val="single" w:sz="8" w:color="CCEEFF"/>
            </w:tcBorders>
            <w:gridSpan w:val="2"/>
          </w:tcPr>
          <w:p>
            <w:pPr>
              <w:ind w:left="140"/>
              <w:spacing w:after="0" w:line="216" w:lineRule="exact"/>
              <w:rPr>
                <w:sz w:val="20"/>
                <w:szCs w:val="20"/>
                <w:color w:val="auto"/>
              </w:rPr>
            </w:pPr>
            <w:r>
              <w:rPr>
                <w:rFonts w:ascii="Arial" w:cs="Arial" w:eastAsia="Arial" w:hAnsi="Arial"/>
                <w:sz w:val="16"/>
                <w:szCs w:val="16"/>
                <w:color w:val="auto"/>
              </w:rPr>
              <w:t xml:space="preserve">Other assets </w:t>
            </w:r>
            <w:r>
              <w:rPr>
                <w:rFonts w:ascii="Arial" w:cs="Arial" w:eastAsia="Arial" w:hAnsi="Arial"/>
                <w:sz w:val="21"/>
                <w:szCs w:val="21"/>
                <w:color w:val="auto"/>
                <w:vertAlign w:val="superscript"/>
              </w:rPr>
              <w:t>(3)</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1,002,634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949,201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80" w:type="dxa"/>
            <w:vAlign w:val="bottom"/>
            <w:gridSpan w:val="2"/>
            <w:shd w:val="clear" w:color="auto" w:fill="CCEEFF"/>
          </w:tcPr>
          <w:p>
            <w:pPr>
              <w:ind w:left="220"/>
              <w:spacing w:after="0"/>
              <w:rPr>
                <w:sz w:val="20"/>
                <w:szCs w:val="20"/>
                <w:color w:val="auto"/>
              </w:rPr>
            </w:pPr>
            <w:r>
              <w:rPr>
                <w:rFonts w:ascii="Arial" w:cs="Arial" w:eastAsia="Arial" w:hAnsi="Arial"/>
                <w:sz w:val="16"/>
                <w:szCs w:val="16"/>
                <w:b w:val="1"/>
                <w:bCs w:val="1"/>
                <w:color w:val="auto"/>
              </w:rPr>
              <w:t>Total assets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18,791,755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14,172,900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80" w:type="dxa"/>
            <w:vAlign w:val="bottom"/>
            <w:gridSpan w:val="2"/>
          </w:tcPr>
          <w:p>
            <w:pPr>
              <w:ind w:left="20"/>
              <w:spacing w:after="0"/>
              <w:rPr>
                <w:sz w:val="20"/>
                <w:szCs w:val="20"/>
                <w:color w:val="auto"/>
              </w:rPr>
            </w:pPr>
            <w:r>
              <w:rPr>
                <w:rFonts w:ascii="Arial" w:cs="Arial" w:eastAsia="Arial" w:hAnsi="Arial"/>
                <w:sz w:val="16"/>
                <w:szCs w:val="16"/>
                <w:color w:val="auto"/>
              </w:rPr>
              <w:t>Interest-bearing liabilities: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Interest-bearing deposits: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80" w:type="dxa"/>
            <w:vAlign w:val="bottom"/>
            <w:gridSpan w:val="2"/>
          </w:tcPr>
          <w:p>
            <w:pPr>
              <w:ind w:left="220"/>
              <w:spacing w:after="0"/>
              <w:rPr>
                <w:sz w:val="20"/>
                <w:szCs w:val="20"/>
                <w:color w:val="auto"/>
              </w:rPr>
            </w:pPr>
            <w:r>
              <w:rPr>
                <w:rFonts w:ascii="Arial" w:cs="Arial" w:eastAsia="Arial" w:hAnsi="Arial"/>
                <w:sz w:val="16"/>
                <w:szCs w:val="16"/>
                <w:color w:val="auto"/>
              </w:rPr>
              <w:t>NOW and interest-bearing demand</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3,428,009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1,382</w:t>
            </w:r>
          </w:p>
        </w:tc>
        <w:tc>
          <w:tcPr>
            <w:tcW w:w="1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0.16</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2,444,895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1,628</w:t>
            </w:r>
          </w:p>
        </w:tc>
        <w:tc>
          <w:tcPr>
            <w:tcW w:w="1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0.27</w:t>
            </w:r>
          </w:p>
        </w:tc>
        <w:tc>
          <w:tcPr>
            <w:tcW w:w="0" w:type="dxa"/>
            <w:vAlign w:val="bottom"/>
          </w:tcPr>
          <w:p>
            <w:pPr>
              <w:spacing w:after="0"/>
              <w:rPr>
                <w:sz w:val="1"/>
                <w:szCs w:val="1"/>
                <w:color w:val="auto"/>
              </w:rPr>
            </w:pPr>
          </w:p>
        </w:tc>
      </w:tr>
      <w:tr>
        <w:trPr>
          <w:trHeight w:val="219"/>
        </w:trPr>
        <w:tc>
          <w:tcPr>
            <w:tcW w:w="42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Money market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3,814,960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1,355</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0.14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2,541,805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0.54</w:t>
            </w:r>
          </w:p>
        </w:tc>
        <w:tc>
          <w:tcPr>
            <w:tcW w:w="0" w:type="dxa"/>
            <w:vAlign w:val="bottom"/>
          </w:tcPr>
          <w:p>
            <w:pPr>
              <w:spacing w:after="0"/>
              <w:rPr>
                <w:sz w:val="1"/>
                <w:szCs w:val="1"/>
                <w:color w:val="auto"/>
              </w:rPr>
            </w:pPr>
          </w:p>
        </w:tc>
      </w:tr>
      <w:tr>
        <w:trPr>
          <w:trHeight w:val="213"/>
        </w:trPr>
        <w:tc>
          <w:tcPr>
            <w:tcW w:w="4280" w:type="dxa"/>
            <w:vAlign w:val="bottom"/>
            <w:gridSpan w:val="2"/>
          </w:tcPr>
          <w:p>
            <w:pPr>
              <w:ind w:left="220"/>
              <w:spacing w:after="0"/>
              <w:rPr>
                <w:sz w:val="20"/>
                <w:szCs w:val="20"/>
                <w:color w:val="auto"/>
              </w:rPr>
            </w:pPr>
            <w:r>
              <w:rPr>
                <w:rFonts w:ascii="Arial" w:cs="Arial" w:eastAsia="Arial" w:hAnsi="Arial"/>
                <w:sz w:val="16"/>
                <w:szCs w:val="16"/>
                <w:color w:val="auto"/>
              </w:rPr>
              <w:t>Savings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1,080,267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0.02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788,247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19"/>
        </w:trPr>
        <w:tc>
          <w:tcPr>
            <w:tcW w:w="42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Time</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1,548,487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899</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0.23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1,805,671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6,058</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Brokered time deposits</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64,332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79"/>
              <w:spacing w:after="0"/>
              <w:rPr>
                <w:sz w:val="20"/>
                <w:szCs w:val="20"/>
                <w:color w:val="auto"/>
              </w:rPr>
            </w:pPr>
            <w:r>
              <w:rPr>
                <w:rFonts w:ascii="Arial" w:cs="Arial" w:eastAsia="Arial" w:hAnsi="Arial"/>
                <w:sz w:val="16"/>
                <w:szCs w:val="16"/>
                <w:color w:val="auto"/>
              </w:rPr>
              <w:t>(0.43)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130,556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Arial" w:cs="Arial" w:eastAsia="Arial" w:hAnsi="Arial"/>
                <w:sz w:val="16"/>
                <w:szCs w:val="16"/>
                <w:color w:val="auto"/>
              </w:rPr>
              <w:t>0.39</w:t>
            </w:r>
          </w:p>
        </w:tc>
        <w:tc>
          <w:tcPr>
            <w:tcW w:w="0" w:type="dxa"/>
            <w:vAlign w:val="bottom"/>
          </w:tcPr>
          <w:p>
            <w:pPr>
              <w:spacing w:after="0"/>
              <w:rPr>
                <w:sz w:val="1"/>
                <w:szCs w:val="1"/>
                <w:color w:val="auto"/>
              </w:rPr>
            </w:pPr>
          </w:p>
        </w:tc>
      </w:tr>
      <w:tr>
        <w:trPr>
          <w:trHeight w:val="213"/>
        </w:trPr>
        <w:tc>
          <w:tcPr>
            <w:tcW w:w="428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Total interest-bearing deposits</w:t>
            </w: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9,936,055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0.15</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7,711,174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11,271</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0.59</w:t>
            </w:r>
          </w:p>
        </w:tc>
        <w:tc>
          <w:tcPr>
            <w:tcW w:w="0" w:type="dxa"/>
            <w:vAlign w:val="bottom"/>
          </w:tcPr>
          <w:p>
            <w:pPr>
              <w:spacing w:after="0"/>
              <w:rPr>
                <w:sz w:val="1"/>
                <w:szCs w:val="1"/>
                <w:color w:val="auto"/>
              </w:rPr>
            </w:pPr>
          </w:p>
        </w:tc>
      </w:tr>
      <w:tr>
        <w:trPr>
          <w:trHeight w:val="206"/>
        </w:trPr>
        <w:tc>
          <w:tcPr>
            <w:tcW w:w="4280" w:type="dxa"/>
            <w:vAlign w:val="bottom"/>
            <w:gridSpan w:val="2"/>
          </w:tcPr>
          <w:p>
            <w:pPr>
              <w:ind w:left="140"/>
              <w:spacing w:after="0"/>
              <w:rPr>
                <w:sz w:val="20"/>
                <w:szCs w:val="20"/>
                <w:color w:val="auto"/>
              </w:rPr>
            </w:pPr>
            <w:r>
              <w:rPr>
                <w:rFonts w:ascii="Arial" w:cs="Arial" w:eastAsia="Arial" w:hAnsi="Arial"/>
                <w:sz w:val="16"/>
                <w:szCs w:val="16"/>
                <w:color w:val="auto"/>
              </w:rPr>
              <w:t>Federal funds purchased and other borrowings</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2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Federal Home Loan Bank advances</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Long-term debt</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285,389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3,813</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Arial" w:cs="Arial" w:eastAsia="Arial" w:hAnsi="Arial"/>
                <w:sz w:val="16"/>
                <w:szCs w:val="16"/>
                <w:color w:val="auto"/>
              </w:rPr>
              <w:t>5.36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228,096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3,030</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Arial" w:cs="Arial" w:eastAsia="Arial" w:hAnsi="Arial"/>
                <w:sz w:val="16"/>
                <w:szCs w:val="16"/>
                <w:color w:val="auto"/>
              </w:rPr>
              <w:t>5.34</w:t>
            </w:r>
          </w:p>
        </w:tc>
        <w:tc>
          <w:tcPr>
            <w:tcW w:w="0" w:type="dxa"/>
            <w:vAlign w:val="bottom"/>
          </w:tcPr>
          <w:p>
            <w:pPr>
              <w:spacing w:after="0"/>
              <w:rPr>
                <w:sz w:val="1"/>
                <w:szCs w:val="1"/>
                <w:color w:val="auto"/>
              </w:rPr>
            </w:pPr>
          </w:p>
        </w:tc>
      </w:tr>
      <w:tr>
        <w:trPr>
          <w:trHeight w:val="213"/>
        </w:trPr>
        <w:tc>
          <w:tcPr>
            <w:tcW w:w="42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 borrowed funds</w:t>
            </w: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285,500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3,813</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5.36</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228,097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5.34</w:t>
            </w:r>
          </w:p>
        </w:tc>
        <w:tc>
          <w:tcPr>
            <w:tcW w:w="0" w:type="dxa"/>
            <w:vAlign w:val="bottom"/>
          </w:tcPr>
          <w:p>
            <w:pPr>
              <w:spacing w:after="0"/>
              <w:rPr>
                <w:sz w:val="1"/>
                <w:szCs w:val="1"/>
                <w:color w:val="auto"/>
              </w:rPr>
            </w:pPr>
          </w:p>
        </w:tc>
      </w:tr>
      <w:tr>
        <w:trPr>
          <w:trHeight w:val="207"/>
        </w:trPr>
        <w:tc>
          <w:tcPr>
            <w:tcW w:w="428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b w:val="1"/>
                <w:bCs w:val="1"/>
                <w:color w:val="auto"/>
              </w:rPr>
              <w:t>Total interest-bearing liabilities</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10,221,555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7,433</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Arial" w:cs="Arial" w:eastAsia="Arial" w:hAnsi="Arial"/>
                <w:sz w:val="16"/>
                <w:szCs w:val="16"/>
                <w:color w:val="auto"/>
              </w:rPr>
              <w:t>0.29</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7,939,271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14,301</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Arial" w:cs="Arial" w:eastAsia="Arial" w:hAnsi="Arial"/>
                <w:sz w:val="16"/>
                <w:szCs w:val="16"/>
                <w:color w:val="auto"/>
              </w:rPr>
              <w:t>0.72</w:t>
            </w:r>
          </w:p>
        </w:tc>
        <w:tc>
          <w:tcPr>
            <w:tcW w:w="0" w:type="dxa"/>
            <w:vAlign w:val="bottom"/>
          </w:tcPr>
          <w:p>
            <w:pPr>
              <w:spacing w:after="0"/>
              <w:rPr>
                <w:sz w:val="1"/>
                <w:szCs w:val="1"/>
                <w:color w:val="auto"/>
              </w:rPr>
            </w:pPr>
          </w:p>
        </w:tc>
      </w:tr>
      <w:tr>
        <w:trPr>
          <w:trHeight w:val="199"/>
        </w:trPr>
        <w:tc>
          <w:tcPr>
            <w:tcW w:w="4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80" w:type="dxa"/>
            <w:vAlign w:val="bottom"/>
            <w:gridSpan w:val="2"/>
          </w:tcPr>
          <w:p>
            <w:pPr>
              <w:ind w:left="20"/>
              <w:spacing w:after="0"/>
              <w:rPr>
                <w:sz w:val="20"/>
                <w:szCs w:val="20"/>
                <w:color w:val="auto"/>
              </w:rPr>
            </w:pPr>
            <w:r>
              <w:rPr>
                <w:rFonts w:ascii="Arial" w:cs="Arial" w:eastAsia="Arial" w:hAnsi="Arial"/>
                <w:sz w:val="16"/>
                <w:szCs w:val="16"/>
                <w:color w:val="auto"/>
              </w:rPr>
              <w:t>Noninterest-bearing liabilities: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Noninterest-bearing deposits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6,196,045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4,360,095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Other liabilities</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314,130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187,375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 liabilities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16,731,730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12,486,741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Shareholders' equity</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2,060,025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1,686,159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280" w:type="dxa"/>
            <w:vAlign w:val="bottom"/>
            <w:gridSpan w:val="2"/>
            <w:shd w:val="clear" w:color="auto" w:fill="CCEEFF"/>
          </w:tcPr>
          <w:p>
            <w:pPr>
              <w:ind w:left="140"/>
              <w:spacing w:after="0"/>
              <w:rPr>
                <w:sz w:val="20"/>
                <w:szCs w:val="20"/>
                <w:color w:val="auto"/>
              </w:rPr>
            </w:pPr>
            <w:r>
              <w:rPr>
                <w:rFonts w:ascii="Arial" w:cs="Arial" w:eastAsia="Arial" w:hAnsi="Arial"/>
                <w:sz w:val="16"/>
                <w:szCs w:val="16"/>
                <w:b w:val="1"/>
                <w:bCs w:val="1"/>
                <w:color w:val="auto"/>
              </w:rPr>
              <w:t>Total liabilities and shareholders' equity</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18,791,755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14,172,900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4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Net interest revenue (FTE)</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139,397</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110,109</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6"/>
                <w:szCs w:val="16"/>
                <w:color w:val="auto"/>
              </w:rPr>
              <w:t>Net interest-rate spread (FTE)</w:t>
            </w: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3.07 %</w:t>
            </w: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3.14 %</w:t>
            </w:r>
          </w:p>
        </w:tc>
        <w:tc>
          <w:tcPr>
            <w:tcW w:w="0" w:type="dxa"/>
            <w:vAlign w:val="bottom"/>
          </w:tcPr>
          <w:p>
            <w:pPr>
              <w:spacing w:after="0" w:line="20" w:lineRule="exact"/>
              <w:rPr>
                <w:sz w:val="1"/>
                <w:szCs w:val="1"/>
                <w:color w:val="auto"/>
              </w:rPr>
            </w:pPr>
          </w:p>
        </w:tc>
      </w:tr>
      <w:tr>
        <w:trPr>
          <w:trHeight w:val="163"/>
        </w:trPr>
        <w:tc>
          <w:tcPr>
            <w:tcW w:w="42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280" w:type="dxa"/>
            <w:vAlign w:val="bottom"/>
            <w:tcBorders>
              <w:bottom w:val="single" w:sz="8" w:color="CCEEFF"/>
            </w:tcBorders>
            <w:gridSpan w:val="2"/>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Net interest margin (FTE) </w:t>
            </w:r>
            <w:r>
              <w:rPr>
                <w:rFonts w:ascii="Arial" w:cs="Arial" w:eastAsia="Arial" w:hAnsi="Arial"/>
                <w:sz w:val="21"/>
                <w:szCs w:val="21"/>
                <w:color w:val="auto"/>
                <w:vertAlign w:val="superscript"/>
              </w:rPr>
              <w:t>(4)</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3.19 %</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3.42 %</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ind w:left="340" w:right="100" w:hanging="332"/>
        <w:spacing w:after="0" w:line="250" w:lineRule="auto"/>
        <w:tabs>
          <w:tab w:leader="none" w:pos="327" w:val="left"/>
        </w:tabs>
        <w:numPr>
          <w:ilvl w:val="0"/>
          <w:numId w:val="9"/>
        </w:numPr>
        <w:rPr>
          <w:rFonts w:ascii="Arial" w:cs="Arial" w:eastAsia="Arial" w:hAnsi="Arial"/>
          <w:sz w:val="9"/>
          <w:szCs w:val="9"/>
          <w:color w:val="auto"/>
        </w:rPr>
      </w:pPr>
      <w:r>
        <w:rPr>
          <w:rFonts w:ascii="Arial" w:cs="Arial" w:eastAsia="Arial" w:hAnsi="Arial"/>
          <w:sz w:val="14"/>
          <w:szCs w:val="14"/>
          <w:color w:val="auto"/>
        </w:rPr>
        <w:t>Interest revenue on tax-exempt securities and loans has been increased to reflect comparable interest on taxable securities and loans. The rate used was 26%, reflecting the statutory federal income tax rate and the federal tax adjusted state income tax rate.</w:t>
      </w:r>
    </w:p>
    <w:p>
      <w:pPr>
        <w:ind w:left="320" w:hanging="312"/>
        <w:spacing w:after="0"/>
        <w:tabs>
          <w:tab w:leader="none" w:pos="320" w:val="left"/>
        </w:tabs>
        <w:numPr>
          <w:ilvl w:val="0"/>
          <w:numId w:val="9"/>
        </w:numPr>
        <w:rPr>
          <w:rFonts w:ascii="Arial" w:cs="Arial" w:eastAsia="Arial" w:hAnsi="Arial"/>
          <w:sz w:val="9"/>
          <w:szCs w:val="9"/>
          <w:color w:val="auto"/>
        </w:rPr>
      </w:pPr>
      <w:r>
        <w:rPr>
          <w:rFonts w:ascii="Arial" w:cs="Arial" w:eastAsia="Arial" w:hAnsi="Arial"/>
          <w:sz w:val="14"/>
          <w:szCs w:val="14"/>
          <w:color w:val="auto"/>
        </w:rPr>
        <w:t>Included in the average balance of loans outstanding are loans on which the accrual of interest has been discontinued and loans that are held for sale.</w:t>
      </w:r>
    </w:p>
    <w:p>
      <w:pPr>
        <w:spacing w:after="0" w:line="1" w:lineRule="exact"/>
        <w:rPr>
          <w:rFonts w:ascii="Arial" w:cs="Arial" w:eastAsia="Arial" w:hAnsi="Arial"/>
          <w:sz w:val="9"/>
          <w:szCs w:val="9"/>
          <w:color w:val="auto"/>
        </w:rPr>
      </w:pPr>
    </w:p>
    <w:p>
      <w:pPr>
        <w:ind w:left="340" w:right="380" w:hanging="332"/>
        <w:spacing w:after="0" w:line="241" w:lineRule="auto"/>
        <w:tabs>
          <w:tab w:leader="none" w:pos="327" w:val="left"/>
        </w:tabs>
        <w:numPr>
          <w:ilvl w:val="0"/>
          <w:numId w:val="9"/>
        </w:numPr>
        <w:rPr>
          <w:rFonts w:ascii="Arial" w:cs="Arial" w:eastAsia="Arial" w:hAnsi="Arial"/>
          <w:sz w:val="9"/>
          <w:szCs w:val="9"/>
          <w:color w:val="auto"/>
        </w:rPr>
      </w:pPr>
      <w:r>
        <w:rPr>
          <w:rFonts w:ascii="Arial" w:cs="Arial" w:eastAsia="Arial" w:hAnsi="Arial"/>
          <w:sz w:val="14"/>
          <w:szCs w:val="14"/>
          <w:color w:val="auto"/>
        </w:rPr>
        <w:t>AFS securities are shown at amortized cost. Pretax unrealized gains of $28.6 million and $66.3 million in 2021 and 2020, respectively, are included in other assets for purposes of this presentation.</w:t>
      </w:r>
    </w:p>
    <w:p>
      <w:pPr>
        <w:ind w:left="320" w:hanging="312"/>
        <w:spacing w:after="0"/>
        <w:tabs>
          <w:tab w:leader="none" w:pos="320" w:val="left"/>
        </w:tabs>
        <w:numPr>
          <w:ilvl w:val="0"/>
          <w:numId w:val="9"/>
        </w:numPr>
        <w:rPr>
          <w:rFonts w:ascii="Arial" w:cs="Arial" w:eastAsia="Arial" w:hAnsi="Arial"/>
          <w:sz w:val="9"/>
          <w:szCs w:val="9"/>
          <w:color w:val="auto"/>
        </w:rPr>
      </w:pPr>
      <w:r>
        <w:rPr>
          <w:rFonts w:ascii="Arial" w:cs="Arial" w:eastAsia="Arial" w:hAnsi="Arial"/>
          <w:sz w:val="14"/>
          <w:szCs w:val="14"/>
          <w:color w:val="auto"/>
        </w:rPr>
        <w:t>Net interest margin is taxable equivalent net interest revenue divided by average interest-earning assets.</w:t>
      </w:r>
    </w:p>
    <w:p>
      <w:pPr>
        <w:sectPr>
          <w:pgSz w:w="11900" w:h="16838" w:orient="portrait"/>
          <w:cols w:equalWidth="0" w:num="1">
            <w:col w:w="11200"/>
          </w:cols>
          <w:pgMar w:left="320" w:top="972"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72" w:right="379" w:bottom="1440" w:gutter="0" w:footer="0" w:header="0"/>
          <w:type w:val="continuous"/>
        </w:sectPr>
      </w:pPr>
    </w:p>
    <w:bookmarkStart w:id="39" w:name="page40"/>
    <w:bookmarkEnd w:id="39"/>
    <w:p>
      <w:pPr>
        <w:ind w:left="120"/>
        <w:spacing w:after="0"/>
        <w:rPr>
          <w:sz w:val="20"/>
          <w:szCs w:val="20"/>
          <w:color w:val="auto"/>
        </w:rPr>
      </w:pPr>
      <w:r>
        <w:rPr>
          <w:rFonts w:ascii="Arial" w:cs="Arial" w:eastAsia="Arial" w:hAnsi="Arial"/>
          <w:sz w:val="18"/>
          <w:szCs w:val="18"/>
          <w:b w:val="1"/>
          <w:bCs w:val="1"/>
          <w:color w:val="auto"/>
        </w:rPr>
        <w:t>Table 3 - Average Consolidated Balance Sheets and Net Interest Analysis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the 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14605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37" w:lineRule="exact"/>
        <w:rPr>
          <w:sz w:val="20"/>
          <w:szCs w:val="20"/>
          <w:color w:val="auto"/>
        </w:rPr>
      </w:pPr>
    </w:p>
    <w:tbl>
      <w:tblPr>
        <w:tblLayout w:type="fixed"/>
        <w:tblInd w:w="100" w:type="dxa"/>
        <w:tblCellMar>
          <w:top w:w="0" w:type="dxa"/>
          <w:left w:w="0" w:type="dxa"/>
          <w:bottom w:w="0" w:type="dxa"/>
          <w:right w:w="0" w:type="dxa"/>
        </w:tblCellMar>
      </w:tblP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280" w:type="dxa"/>
            <w:vAlign w:val="bottom"/>
            <w:gridSpan w:val="2"/>
            <w:vMerge w:val="restart"/>
          </w:tcPr>
          <w:p>
            <w:pPr>
              <w:ind w:left="20"/>
              <w:spacing w:after="0"/>
              <w:rPr>
                <w:sz w:val="20"/>
                <w:szCs w:val="20"/>
                <w:color w:val="auto"/>
              </w:rPr>
            </w:pPr>
            <w:r>
              <w:rPr>
                <w:rFonts w:ascii="Arial" w:cs="Arial" w:eastAsia="Arial" w:hAnsi="Arial"/>
                <w:sz w:val="16"/>
                <w:szCs w:val="16"/>
                <w:b w:val="1"/>
                <w:bCs w:val="1"/>
                <w:i w:val="1"/>
                <w:iCs w:val="1"/>
                <w:color w:val="auto"/>
              </w:rPr>
              <w:t>(dollars in thousands, fully taxable equivalent (FTE))</w:t>
            </w:r>
          </w:p>
        </w:tc>
        <w:tc>
          <w:tcPr>
            <w:tcW w:w="180" w:type="dxa"/>
            <w:vAlign w:val="bottom"/>
          </w:tcPr>
          <w:p>
            <w:pPr>
              <w:spacing w:after="0"/>
              <w:rPr>
                <w:sz w:val="13"/>
                <w:szCs w:val="13"/>
                <w:color w:val="auto"/>
              </w:rPr>
            </w:pPr>
          </w:p>
        </w:tc>
        <w:tc>
          <w:tcPr>
            <w:tcW w:w="1060" w:type="dxa"/>
            <w:vAlign w:val="bottom"/>
            <w:gridSpan w:val="2"/>
          </w:tcPr>
          <w:p>
            <w:pPr>
              <w:ind w:left="100"/>
              <w:spacing w:after="0" w:line="158" w:lineRule="exact"/>
              <w:rPr>
                <w:sz w:val="20"/>
                <w:szCs w:val="20"/>
                <w:color w:val="auto"/>
              </w:rPr>
            </w:pPr>
            <w:r>
              <w:rPr>
                <w:rFonts w:ascii="Arial" w:cs="Arial" w:eastAsia="Arial" w:hAnsi="Arial"/>
                <w:sz w:val="16"/>
                <w:szCs w:val="16"/>
                <w:b w:val="1"/>
                <w:bCs w:val="1"/>
                <w:color w:val="auto"/>
              </w:rPr>
              <w:t>Average</w:t>
            </w:r>
          </w:p>
        </w:tc>
        <w:tc>
          <w:tcPr>
            <w:tcW w:w="160" w:type="dxa"/>
            <w:vAlign w:val="bottom"/>
          </w:tcPr>
          <w:p>
            <w:pPr>
              <w:spacing w:after="0"/>
              <w:rPr>
                <w:sz w:val="13"/>
                <w:szCs w:val="13"/>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Interest</w:t>
            </w: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3"/>
              </w:rPr>
              <w:t>Average Rate</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tcPr>
          <w:p>
            <w:pPr>
              <w:ind w:left="100"/>
              <w:spacing w:after="0" w:line="158" w:lineRule="exact"/>
              <w:rPr>
                <w:sz w:val="20"/>
                <w:szCs w:val="20"/>
                <w:color w:val="auto"/>
              </w:rPr>
            </w:pPr>
            <w:r>
              <w:rPr>
                <w:rFonts w:ascii="Arial" w:cs="Arial" w:eastAsia="Arial" w:hAnsi="Arial"/>
                <w:sz w:val="16"/>
                <w:szCs w:val="16"/>
                <w:b w:val="1"/>
                <w:bCs w:val="1"/>
                <w:color w:val="auto"/>
              </w:rPr>
              <w:t>Average</w:t>
            </w:r>
          </w:p>
        </w:tc>
        <w:tc>
          <w:tcPr>
            <w:tcW w:w="180" w:type="dxa"/>
            <w:vAlign w:val="bottom"/>
          </w:tcPr>
          <w:p>
            <w:pPr>
              <w:spacing w:after="0"/>
              <w:rPr>
                <w:sz w:val="13"/>
                <w:szCs w:val="13"/>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Interest</w:t>
            </w:r>
          </w:p>
        </w:tc>
        <w:tc>
          <w:tcPr>
            <w:tcW w:w="1060" w:type="dxa"/>
            <w:vAlign w:val="bottom"/>
            <w:vMerge w:val="restart"/>
          </w:tcPr>
          <w:p>
            <w:pPr>
              <w:ind w:left="60"/>
              <w:spacing w:after="0"/>
              <w:rPr>
                <w:sz w:val="20"/>
                <w:szCs w:val="20"/>
                <w:color w:val="auto"/>
              </w:rPr>
            </w:pPr>
            <w:r>
              <w:rPr>
                <w:rFonts w:ascii="Arial" w:cs="Arial" w:eastAsia="Arial" w:hAnsi="Arial"/>
                <w:sz w:val="16"/>
                <w:szCs w:val="16"/>
                <w:b w:val="1"/>
                <w:bCs w:val="1"/>
                <w:color w:val="auto"/>
                <w:w w:val="95"/>
              </w:rPr>
              <w:t>Average Rate</w:t>
            </w:r>
          </w:p>
        </w:tc>
        <w:tc>
          <w:tcPr>
            <w:tcW w:w="0" w:type="dxa"/>
            <w:vAlign w:val="bottom"/>
          </w:tcPr>
          <w:p>
            <w:pPr>
              <w:spacing w:after="0"/>
              <w:rPr>
                <w:sz w:val="1"/>
                <w:szCs w:val="1"/>
                <w:color w:val="auto"/>
              </w:rPr>
            </w:pPr>
          </w:p>
        </w:tc>
      </w:tr>
      <w:tr>
        <w:trPr>
          <w:trHeight w:val="213"/>
        </w:trPr>
        <w:tc>
          <w:tcPr>
            <w:tcW w:w="42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ind w:left="100"/>
              <w:spacing w:after="0"/>
              <w:rPr>
                <w:sz w:val="20"/>
                <w:szCs w:val="20"/>
                <w:color w:val="auto"/>
              </w:rPr>
            </w:pPr>
            <w:r>
              <w:rPr>
                <w:rFonts w:ascii="Arial" w:cs="Arial" w:eastAsia="Arial" w:hAnsi="Arial"/>
                <w:sz w:val="16"/>
                <w:szCs w:val="16"/>
                <w:b w:val="1"/>
                <w:bCs w:val="1"/>
                <w:color w:val="auto"/>
              </w:rPr>
              <w:t>Balance</w:t>
            </w:r>
          </w:p>
        </w:tc>
        <w:tc>
          <w:tcPr>
            <w:tcW w:w="1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100"/>
              <w:spacing w:after="0"/>
              <w:rPr>
                <w:sz w:val="20"/>
                <w:szCs w:val="20"/>
                <w:color w:val="auto"/>
              </w:rPr>
            </w:pPr>
            <w:r>
              <w:rPr>
                <w:rFonts w:ascii="Arial" w:cs="Arial" w:eastAsia="Arial" w:hAnsi="Arial"/>
                <w:sz w:val="16"/>
                <w:szCs w:val="16"/>
                <w:b w:val="1"/>
                <w:bCs w:val="1"/>
                <w:color w:val="auto"/>
              </w:rPr>
              <w:t>Balance</w:t>
            </w:r>
          </w:p>
        </w:tc>
        <w:tc>
          <w:tcPr>
            <w:tcW w:w="1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Assets:</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Interest-earning assets: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ind w:left="140"/>
              <w:spacing w:after="0" w:line="216" w:lineRule="exact"/>
              <w:rPr>
                <w:sz w:val="20"/>
                <w:szCs w:val="20"/>
                <w:color w:val="auto"/>
              </w:rPr>
            </w:pPr>
            <w:r>
              <w:rPr>
                <w:rFonts w:ascii="Arial" w:cs="Arial" w:eastAsia="Arial" w:hAnsi="Arial"/>
                <w:sz w:val="16"/>
                <w:szCs w:val="16"/>
                <w:color w:val="auto"/>
              </w:rPr>
              <w:t xml:space="preserve">Loans, net of unearned income (FTE) </w:t>
            </w:r>
            <w:r>
              <w:rPr>
                <w:rFonts w:ascii="Arial" w:cs="Arial" w:eastAsia="Arial" w:hAnsi="Arial"/>
                <w:sz w:val="21"/>
                <w:szCs w:val="21"/>
                <w:color w:val="auto"/>
                <w:vertAlign w:val="superscript"/>
              </w:rPr>
              <w:t>(1)(2)</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11,525,363</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252,580</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4.42 %</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9,300,792</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225,194</w:t>
            </w:r>
          </w:p>
        </w:tc>
        <w:tc>
          <w:tcPr>
            <w:tcW w:w="100" w:type="dxa"/>
            <w:vAlign w:val="bottom"/>
          </w:tcPr>
          <w:p>
            <w:pPr>
              <w:spacing w:after="0"/>
              <w:rPr>
                <w:sz w:val="18"/>
                <w:szCs w:val="18"/>
                <w:color w:val="auto"/>
              </w:rPr>
            </w:pPr>
          </w:p>
        </w:tc>
        <w:tc>
          <w:tcPr>
            <w:tcW w:w="1060" w:type="dxa"/>
            <w:vAlign w:val="bottom"/>
          </w:tcPr>
          <w:p>
            <w:pPr>
              <w:ind w:left="560"/>
              <w:spacing w:after="0"/>
              <w:rPr>
                <w:sz w:val="20"/>
                <w:szCs w:val="20"/>
                <w:color w:val="auto"/>
              </w:rPr>
            </w:pPr>
            <w:r>
              <w:rPr>
                <w:rFonts w:ascii="Arial" w:cs="Arial" w:eastAsia="Arial" w:hAnsi="Arial"/>
                <w:sz w:val="16"/>
                <w:szCs w:val="16"/>
                <w:color w:val="auto"/>
                <w:w w:val="96"/>
              </w:rPr>
              <w:t>4.87 %</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140"/>
              <w:spacing w:after="0" w:line="216" w:lineRule="exact"/>
              <w:rPr>
                <w:sz w:val="20"/>
                <w:szCs w:val="20"/>
                <w:color w:val="auto"/>
              </w:rPr>
            </w:pPr>
            <w:r>
              <w:rPr>
                <w:rFonts w:ascii="Arial" w:cs="Arial" w:eastAsia="Arial" w:hAnsi="Arial"/>
                <w:sz w:val="16"/>
                <w:szCs w:val="16"/>
                <w:color w:val="auto"/>
              </w:rPr>
              <w:t xml:space="preserve">Taxable securities </w:t>
            </w:r>
            <w:r>
              <w:rPr>
                <w:rFonts w:ascii="Arial" w:cs="Arial" w:eastAsia="Arial" w:hAnsi="Arial"/>
                <w:sz w:val="21"/>
                <w:szCs w:val="21"/>
                <w:color w:val="auto"/>
                <w:vertAlign w:val="superscript"/>
              </w:rPr>
              <w:t>(3)</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3,932,545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28,585</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2,293,502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29,916</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216"/>
        </w:trPr>
        <w:tc>
          <w:tcPr>
            <w:tcW w:w="4280" w:type="dxa"/>
            <w:vAlign w:val="bottom"/>
            <w:gridSpan w:val="2"/>
          </w:tcPr>
          <w:p>
            <w:pPr>
              <w:ind w:left="140"/>
              <w:spacing w:after="0" w:line="216" w:lineRule="exact"/>
              <w:rPr>
                <w:sz w:val="20"/>
                <w:szCs w:val="20"/>
                <w:color w:val="auto"/>
              </w:rPr>
            </w:pPr>
            <w:r>
              <w:rPr>
                <w:rFonts w:ascii="Arial" w:cs="Arial" w:eastAsia="Arial" w:hAnsi="Arial"/>
                <w:sz w:val="16"/>
                <w:szCs w:val="16"/>
                <w:color w:val="auto"/>
              </w:rPr>
              <w:t xml:space="preserve">Tax-exempt securities (FTE) </w:t>
            </w:r>
            <w:r>
              <w:rPr>
                <w:rFonts w:ascii="Arial" w:cs="Arial" w:eastAsia="Arial" w:hAnsi="Arial"/>
                <w:sz w:val="21"/>
                <w:szCs w:val="21"/>
                <w:color w:val="auto"/>
                <w:vertAlign w:val="superscript"/>
              </w:rPr>
              <w:t>(1)(3)</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380,370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5,918</w:t>
            </w:r>
          </w:p>
        </w:tc>
        <w:tc>
          <w:tcPr>
            <w:tcW w:w="1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3.11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170,578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4,155</w:t>
            </w:r>
          </w:p>
        </w:tc>
        <w:tc>
          <w:tcPr>
            <w:tcW w:w="100" w:type="dxa"/>
            <w:vAlign w:val="bottom"/>
          </w:tcPr>
          <w:p>
            <w:pPr>
              <w:spacing w:after="0"/>
              <w:rPr>
                <w:sz w:val="18"/>
                <w:szCs w:val="18"/>
                <w:color w:val="auto"/>
              </w:rPr>
            </w:pPr>
          </w:p>
        </w:tc>
        <w:tc>
          <w:tcPr>
            <w:tcW w:w="1060" w:type="dxa"/>
            <w:vAlign w:val="bottom"/>
          </w:tcPr>
          <w:p>
            <w:pPr>
              <w:ind w:left="560"/>
              <w:spacing w:after="0"/>
              <w:rPr>
                <w:sz w:val="20"/>
                <w:szCs w:val="20"/>
                <w:color w:val="auto"/>
              </w:rPr>
            </w:pPr>
            <w:r>
              <w:rPr>
                <w:rFonts w:ascii="Arial" w:cs="Arial" w:eastAsia="Arial" w:hAnsi="Arial"/>
                <w:sz w:val="16"/>
                <w:szCs w:val="16"/>
                <w:color w:val="auto"/>
              </w:rPr>
              <w:t>4.87</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Federal funds sold and other interest-earning assets</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1,324,776</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2,277</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0.34</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612,776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2,489</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0.81</w:t>
            </w:r>
          </w:p>
        </w:tc>
        <w:tc>
          <w:tcPr>
            <w:tcW w:w="0" w:type="dxa"/>
            <w:vAlign w:val="bottom"/>
          </w:tcPr>
          <w:p>
            <w:pPr>
              <w:spacing w:after="0"/>
              <w:rPr>
                <w:sz w:val="1"/>
                <w:szCs w:val="1"/>
                <w:color w:val="auto"/>
              </w:rPr>
            </w:pPr>
          </w:p>
        </w:tc>
      </w:tr>
      <w:tr>
        <w:trPr>
          <w:trHeight w:val="207"/>
        </w:trPr>
        <w:tc>
          <w:tcPr>
            <w:tcW w:w="428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b w:val="1"/>
                <w:bCs w:val="1"/>
                <w:color w:val="auto"/>
              </w:rPr>
              <w:t>Total interest-earning assets (FTE)</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17,163,054</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289,360</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Arial" w:cs="Arial" w:eastAsia="Arial" w:hAnsi="Arial"/>
                <w:sz w:val="16"/>
                <w:szCs w:val="16"/>
                <w:color w:val="auto"/>
              </w:rPr>
              <w:t>3.40</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12,377,648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261,754</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4.25</w:t>
            </w:r>
          </w:p>
        </w:tc>
        <w:tc>
          <w:tcPr>
            <w:tcW w:w="0" w:type="dxa"/>
            <w:vAlign w:val="bottom"/>
          </w:tcPr>
          <w:p>
            <w:pPr>
              <w:spacing w:after="0"/>
              <w:rPr>
                <w:sz w:val="1"/>
                <w:szCs w:val="1"/>
                <w:color w:val="auto"/>
              </w:rPr>
            </w:pPr>
          </w:p>
        </w:tc>
      </w:tr>
      <w:tr>
        <w:trPr>
          <w:trHeight w:val="199"/>
        </w:trPr>
        <w:tc>
          <w:tcPr>
            <w:tcW w:w="4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80" w:type="dxa"/>
            <w:vAlign w:val="bottom"/>
            <w:gridSpan w:val="2"/>
          </w:tcPr>
          <w:p>
            <w:pPr>
              <w:ind w:left="20"/>
              <w:spacing w:after="0"/>
              <w:rPr>
                <w:sz w:val="20"/>
                <w:szCs w:val="20"/>
                <w:color w:val="auto"/>
              </w:rPr>
            </w:pPr>
            <w:r>
              <w:rPr>
                <w:rFonts w:ascii="Arial" w:cs="Arial" w:eastAsia="Arial" w:hAnsi="Arial"/>
                <w:sz w:val="16"/>
                <w:szCs w:val="16"/>
                <w:color w:val="auto"/>
              </w:rPr>
              <w:t>Non-interest-earning assets: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Allowance for loan losses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(135,845)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(79,885)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80" w:type="dxa"/>
            <w:vAlign w:val="bottom"/>
            <w:gridSpan w:val="2"/>
          </w:tcPr>
          <w:p>
            <w:pPr>
              <w:ind w:left="140"/>
              <w:spacing w:after="0"/>
              <w:rPr>
                <w:sz w:val="20"/>
                <w:szCs w:val="20"/>
                <w:color w:val="auto"/>
              </w:rPr>
            </w:pPr>
            <w:r>
              <w:rPr>
                <w:rFonts w:ascii="Arial" w:cs="Arial" w:eastAsia="Arial" w:hAnsi="Arial"/>
                <w:sz w:val="16"/>
                <w:szCs w:val="16"/>
                <w:color w:val="auto"/>
              </w:rPr>
              <w:t>Cash and due from banks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146,401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133,548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Premises and equipment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223,224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218,170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tcBorders>
              <w:bottom w:val="single" w:sz="8" w:color="CCEEFF"/>
            </w:tcBorders>
            <w:gridSpan w:val="2"/>
          </w:tcPr>
          <w:p>
            <w:pPr>
              <w:ind w:left="140"/>
              <w:spacing w:after="0" w:line="216" w:lineRule="exact"/>
              <w:rPr>
                <w:sz w:val="20"/>
                <w:szCs w:val="20"/>
                <w:color w:val="auto"/>
              </w:rPr>
            </w:pPr>
            <w:r>
              <w:rPr>
                <w:rFonts w:ascii="Arial" w:cs="Arial" w:eastAsia="Arial" w:hAnsi="Arial"/>
                <w:sz w:val="16"/>
                <w:szCs w:val="16"/>
                <w:color w:val="auto"/>
              </w:rPr>
              <w:t xml:space="preserve">Other assets </w:t>
            </w:r>
            <w:r>
              <w:rPr>
                <w:rFonts w:ascii="Arial" w:cs="Arial" w:eastAsia="Arial" w:hAnsi="Arial"/>
                <w:sz w:val="21"/>
                <w:szCs w:val="21"/>
                <w:color w:val="auto"/>
                <w:vertAlign w:val="superscript"/>
              </w:rPr>
              <w:t>(3)</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1,012,896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908,828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80" w:type="dxa"/>
            <w:vAlign w:val="bottom"/>
            <w:gridSpan w:val="2"/>
            <w:shd w:val="clear" w:color="auto" w:fill="CCEEFF"/>
          </w:tcPr>
          <w:p>
            <w:pPr>
              <w:ind w:left="220"/>
              <w:spacing w:after="0"/>
              <w:rPr>
                <w:sz w:val="20"/>
                <w:szCs w:val="20"/>
                <w:color w:val="auto"/>
              </w:rPr>
            </w:pPr>
            <w:r>
              <w:rPr>
                <w:rFonts w:ascii="Arial" w:cs="Arial" w:eastAsia="Arial" w:hAnsi="Arial"/>
                <w:sz w:val="16"/>
                <w:szCs w:val="16"/>
                <w:b w:val="1"/>
                <w:bCs w:val="1"/>
                <w:color w:val="auto"/>
              </w:rPr>
              <w:t>Total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18,409,730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13,558,309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80" w:type="dxa"/>
            <w:vAlign w:val="bottom"/>
            <w:gridSpan w:val="2"/>
          </w:tcPr>
          <w:p>
            <w:pPr>
              <w:ind w:left="20"/>
              <w:spacing w:after="0"/>
              <w:rPr>
                <w:sz w:val="20"/>
                <w:szCs w:val="20"/>
                <w:color w:val="auto"/>
              </w:rPr>
            </w:pPr>
            <w:r>
              <w:rPr>
                <w:rFonts w:ascii="Arial" w:cs="Arial" w:eastAsia="Arial" w:hAnsi="Arial"/>
                <w:sz w:val="16"/>
                <w:szCs w:val="16"/>
                <w:color w:val="auto"/>
              </w:rPr>
              <w:t>Interest-bearing liabilities: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Interest-bearing deposits: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80" w:type="dxa"/>
            <w:vAlign w:val="bottom"/>
            <w:gridSpan w:val="2"/>
          </w:tcPr>
          <w:p>
            <w:pPr>
              <w:ind w:left="220"/>
              <w:spacing w:after="0"/>
              <w:rPr>
                <w:sz w:val="20"/>
                <w:szCs w:val="20"/>
                <w:color w:val="auto"/>
              </w:rPr>
            </w:pPr>
            <w:r>
              <w:rPr>
                <w:rFonts w:ascii="Arial" w:cs="Arial" w:eastAsia="Arial" w:hAnsi="Arial"/>
                <w:sz w:val="16"/>
                <w:szCs w:val="16"/>
                <w:color w:val="auto"/>
              </w:rPr>
              <w:t>NOW and interest-bearing demand</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3,379,794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2,868</w:t>
            </w:r>
          </w:p>
        </w:tc>
        <w:tc>
          <w:tcPr>
            <w:tcW w:w="1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0.17</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2,428,815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4,606</w:t>
            </w:r>
          </w:p>
        </w:tc>
        <w:tc>
          <w:tcPr>
            <w:tcW w:w="100" w:type="dxa"/>
            <w:vAlign w:val="bottom"/>
          </w:tcPr>
          <w:p>
            <w:pPr>
              <w:spacing w:after="0"/>
              <w:rPr>
                <w:sz w:val="18"/>
                <w:szCs w:val="18"/>
                <w:color w:val="auto"/>
              </w:rPr>
            </w:pPr>
          </w:p>
        </w:tc>
        <w:tc>
          <w:tcPr>
            <w:tcW w:w="1060" w:type="dxa"/>
            <w:vAlign w:val="bottom"/>
          </w:tcPr>
          <w:p>
            <w:pPr>
              <w:ind w:left="560"/>
              <w:spacing w:after="0"/>
              <w:rPr>
                <w:sz w:val="20"/>
                <w:szCs w:val="20"/>
                <w:color w:val="auto"/>
              </w:rPr>
            </w:pPr>
            <w:r>
              <w:rPr>
                <w:rFonts w:ascii="Arial" w:cs="Arial" w:eastAsia="Arial" w:hAnsi="Arial"/>
                <w:sz w:val="16"/>
                <w:szCs w:val="16"/>
                <w:color w:val="auto"/>
              </w:rPr>
              <w:t>0.38</w:t>
            </w:r>
          </w:p>
        </w:tc>
        <w:tc>
          <w:tcPr>
            <w:tcW w:w="0" w:type="dxa"/>
            <w:vAlign w:val="bottom"/>
          </w:tcPr>
          <w:p>
            <w:pPr>
              <w:spacing w:after="0"/>
              <w:rPr>
                <w:sz w:val="1"/>
                <w:szCs w:val="1"/>
                <w:color w:val="auto"/>
              </w:rPr>
            </w:pPr>
          </w:p>
        </w:tc>
      </w:tr>
      <w:tr>
        <w:trPr>
          <w:trHeight w:val="219"/>
        </w:trPr>
        <w:tc>
          <w:tcPr>
            <w:tcW w:w="42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Money market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3,774,201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3,159</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2,441,264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7,952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0.66</w:t>
            </w:r>
          </w:p>
        </w:tc>
        <w:tc>
          <w:tcPr>
            <w:tcW w:w="0" w:type="dxa"/>
            <w:vAlign w:val="bottom"/>
          </w:tcPr>
          <w:p>
            <w:pPr>
              <w:spacing w:after="0"/>
              <w:rPr>
                <w:sz w:val="1"/>
                <w:szCs w:val="1"/>
                <w:color w:val="auto"/>
              </w:rPr>
            </w:pPr>
          </w:p>
        </w:tc>
      </w:tr>
      <w:tr>
        <w:trPr>
          <w:trHeight w:val="213"/>
        </w:trPr>
        <w:tc>
          <w:tcPr>
            <w:tcW w:w="4280" w:type="dxa"/>
            <w:vAlign w:val="bottom"/>
            <w:gridSpan w:val="2"/>
          </w:tcPr>
          <w:p>
            <w:pPr>
              <w:ind w:left="220"/>
              <w:spacing w:after="0"/>
              <w:rPr>
                <w:sz w:val="20"/>
                <w:szCs w:val="20"/>
                <w:color w:val="auto"/>
              </w:rPr>
            </w:pPr>
            <w:r>
              <w:rPr>
                <w:rFonts w:ascii="Arial" w:cs="Arial" w:eastAsia="Arial" w:hAnsi="Arial"/>
                <w:sz w:val="16"/>
                <w:szCs w:val="16"/>
                <w:color w:val="auto"/>
              </w:rPr>
              <w:t>Savings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1,035,176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0.02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750,179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8"/>
                <w:szCs w:val="18"/>
                <w:color w:val="auto"/>
              </w:rPr>
            </w:pPr>
          </w:p>
        </w:tc>
        <w:tc>
          <w:tcPr>
            <w:tcW w:w="1060" w:type="dxa"/>
            <w:vAlign w:val="bottom"/>
          </w:tcPr>
          <w:p>
            <w:pPr>
              <w:ind w:left="560"/>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19"/>
        </w:trPr>
        <w:tc>
          <w:tcPr>
            <w:tcW w:w="42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Time</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1,595,196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0.31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1,823,612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13,308</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Brokered time deposits</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69,765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Arial" w:cs="Arial" w:eastAsia="Arial" w:hAnsi="Arial"/>
                <w:sz w:val="16"/>
                <w:szCs w:val="16"/>
                <w:color w:val="auto"/>
              </w:rPr>
              <w:t>0.64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105,689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0.77</w:t>
            </w:r>
          </w:p>
        </w:tc>
        <w:tc>
          <w:tcPr>
            <w:tcW w:w="0" w:type="dxa"/>
            <w:vAlign w:val="bottom"/>
          </w:tcPr>
          <w:p>
            <w:pPr>
              <w:spacing w:after="0"/>
              <w:rPr>
                <w:sz w:val="1"/>
                <w:szCs w:val="1"/>
                <w:color w:val="auto"/>
              </w:rPr>
            </w:pPr>
          </w:p>
        </w:tc>
      </w:tr>
      <w:tr>
        <w:trPr>
          <w:trHeight w:val="213"/>
        </w:trPr>
        <w:tc>
          <w:tcPr>
            <w:tcW w:w="428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Total interest-bearing deposits</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9,854,132</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8,839</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0.18</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7,549,559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26,346</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0.70</w:t>
            </w:r>
          </w:p>
        </w:tc>
        <w:tc>
          <w:tcPr>
            <w:tcW w:w="0" w:type="dxa"/>
            <w:vAlign w:val="bottom"/>
          </w:tcPr>
          <w:p>
            <w:pPr>
              <w:spacing w:after="0"/>
              <w:rPr>
                <w:sz w:val="1"/>
                <w:szCs w:val="1"/>
                <w:color w:val="auto"/>
              </w:rPr>
            </w:pPr>
          </w:p>
        </w:tc>
      </w:tr>
      <w:tr>
        <w:trPr>
          <w:trHeight w:val="206"/>
        </w:trPr>
        <w:tc>
          <w:tcPr>
            <w:tcW w:w="4280" w:type="dxa"/>
            <w:vAlign w:val="bottom"/>
            <w:gridSpan w:val="2"/>
          </w:tcPr>
          <w:p>
            <w:pPr>
              <w:ind w:left="140"/>
              <w:spacing w:after="0"/>
              <w:rPr>
                <w:sz w:val="20"/>
                <w:szCs w:val="20"/>
                <w:color w:val="auto"/>
              </w:rPr>
            </w:pPr>
            <w:r>
              <w:rPr>
                <w:rFonts w:ascii="Arial" w:cs="Arial" w:eastAsia="Arial" w:hAnsi="Arial"/>
                <w:sz w:val="16"/>
                <w:szCs w:val="16"/>
                <w:color w:val="auto"/>
              </w:rPr>
              <w:t>Federal funds purchased and other borrowings</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060" w:type="dxa"/>
            <w:vAlign w:val="bottom"/>
          </w:tcPr>
          <w:p>
            <w:pPr>
              <w:ind w:left="560"/>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19"/>
        </w:trPr>
        <w:tc>
          <w:tcPr>
            <w:tcW w:w="42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Federal Home Loan Bank advances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0.24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Long-term debt</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301,193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8,070</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Arial" w:cs="Arial" w:eastAsia="Arial" w:hAnsi="Arial"/>
                <w:sz w:val="16"/>
                <w:szCs w:val="16"/>
                <w:color w:val="auto"/>
              </w:rPr>
              <w:t>5.40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220,429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5,894</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5.38</w:t>
            </w:r>
          </w:p>
        </w:tc>
        <w:tc>
          <w:tcPr>
            <w:tcW w:w="0" w:type="dxa"/>
            <w:vAlign w:val="bottom"/>
          </w:tcPr>
          <w:p>
            <w:pPr>
              <w:spacing w:after="0"/>
              <w:rPr>
                <w:sz w:val="1"/>
                <w:szCs w:val="1"/>
                <w:color w:val="auto"/>
              </w:rPr>
            </w:pPr>
          </w:p>
        </w:tc>
      </w:tr>
      <w:tr>
        <w:trPr>
          <w:trHeight w:val="213"/>
        </w:trPr>
        <w:tc>
          <w:tcPr>
            <w:tcW w:w="42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 borrowed funds</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302,912</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8,072</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5.37</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220,711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5,896</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5.37</w:t>
            </w:r>
          </w:p>
        </w:tc>
        <w:tc>
          <w:tcPr>
            <w:tcW w:w="0" w:type="dxa"/>
            <w:vAlign w:val="bottom"/>
          </w:tcPr>
          <w:p>
            <w:pPr>
              <w:spacing w:after="0"/>
              <w:rPr>
                <w:sz w:val="1"/>
                <w:szCs w:val="1"/>
                <w:color w:val="auto"/>
              </w:rPr>
            </w:pPr>
          </w:p>
        </w:tc>
      </w:tr>
      <w:tr>
        <w:trPr>
          <w:trHeight w:val="207"/>
        </w:trPr>
        <w:tc>
          <w:tcPr>
            <w:tcW w:w="428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b w:val="1"/>
                <w:bCs w:val="1"/>
                <w:color w:val="auto"/>
              </w:rPr>
              <w:t>Total interest-bearing liabilities</w:t>
            </w:r>
          </w:p>
        </w:tc>
        <w:tc>
          <w:tcPr>
            <w:tcW w:w="18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10,157,044</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16,911</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Arial" w:cs="Arial" w:eastAsia="Arial" w:hAnsi="Arial"/>
                <w:sz w:val="16"/>
                <w:szCs w:val="16"/>
                <w:color w:val="auto"/>
              </w:rPr>
              <w:t>0.34</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7,770,270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32,242</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0.83</w:t>
            </w:r>
          </w:p>
        </w:tc>
        <w:tc>
          <w:tcPr>
            <w:tcW w:w="0" w:type="dxa"/>
            <w:vAlign w:val="bottom"/>
          </w:tcPr>
          <w:p>
            <w:pPr>
              <w:spacing w:after="0"/>
              <w:rPr>
                <w:sz w:val="1"/>
                <w:szCs w:val="1"/>
                <w:color w:val="auto"/>
              </w:rPr>
            </w:pPr>
          </w:p>
        </w:tc>
      </w:tr>
      <w:tr>
        <w:trPr>
          <w:trHeight w:val="199"/>
        </w:trPr>
        <w:tc>
          <w:tcPr>
            <w:tcW w:w="4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80" w:type="dxa"/>
            <w:vAlign w:val="bottom"/>
            <w:gridSpan w:val="2"/>
          </w:tcPr>
          <w:p>
            <w:pPr>
              <w:ind w:left="20"/>
              <w:spacing w:after="0"/>
              <w:rPr>
                <w:sz w:val="20"/>
                <w:szCs w:val="20"/>
                <w:color w:val="auto"/>
              </w:rPr>
            </w:pPr>
            <w:r>
              <w:rPr>
                <w:rFonts w:ascii="Arial" w:cs="Arial" w:eastAsia="Arial" w:hAnsi="Arial"/>
                <w:sz w:val="16"/>
                <w:szCs w:val="16"/>
                <w:color w:val="auto"/>
              </w:rPr>
              <w:t>Noninterest-bearing liabilities: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Noninterest-bearing deposits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5,896,882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3,943,740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Other liabilities</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313,374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174,781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 liabilities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16,367,300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11,888,791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Shareholders' equity</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2,042,430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1,669,518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280" w:type="dxa"/>
            <w:vAlign w:val="bottom"/>
            <w:gridSpan w:val="2"/>
            <w:shd w:val="clear" w:color="auto" w:fill="CCEEFF"/>
          </w:tcPr>
          <w:p>
            <w:pPr>
              <w:ind w:left="140"/>
              <w:spacing w:after="0"/>
              <w:rPr>
                <w:sz w:val="20"/>
                <w:szCs w:val="20"/>
                <w:color w:val="auto"/>
              </w:rPr>
            </w:pPr>
            <w:r>
              <w:rPr>
                <w:rFonts w:ascii="Arial" w:cs="Arial" w:eastAsia="Arial" w:hAnsi="Arial"/>
                <w:sz w:val="16"/>
                <w:szCs w:val="16"/>
                <w:b w:val="1"/>
                <w:bCs w:val="1"/>
                <w:color w:val="auto"/>
              </w:rPr>
              <w:t>Total liabilities and shareholders' equity</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18,409,730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13,558,309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4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Net interest revenue (FTE)</w:t>
            </w: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272,449</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229,512</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6"/>
                <w:szCs w:val="16"/>
                <w:color w:val="auto"/>
              </w:rPr>
              <w:t>Net interest-rate spread (FTE)</w:t>
            </w: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3.06 %</w:t>
            </w: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CCEEFF"/>
            </w:tcBorders>
            <w:vMerge w:val="restart"/>
          </w:tcPr>
          <w:p>
            <w:pPr>
              <w:ind w:left="560"/>
              <w:spacing w:after="0"/>
              <w:rPr>
                <w:sz w:val="20"/>
                <w:szCs w:val="20"/>
                <w:color w:val="auto"/>
              </w:rPr>
            </w:pPr>
            <w:r>
              <w:rPr>
                <w:rFonts w:ascii="Arial" w:cs="Arial" w:eastAsia="Arial" w:hAnsi="Arial"/>
                <w:sz w:val="16"/>
                <w:szCs w:val="16"/>
                <w:color w:val="auto"/>
                <w:w w:val="96"/>
              </w:rPr>
              <w:t>3.42 %</w:t>
            </w:r>
          </w:p>
        </w:tc>
        <w:tc>
          <w:tcPr>
            <w:tcW w:w="0" w:type="dxa"/>
            <w:vAlign w:val="bottom"/>
          </w:tcPr>
          <w:p>
            <w:pPr>
              <w:spacing w:after="0" w:line="20" w:lineRule="exact"/>
              <w:rPr>
                <w:sz w:val="1"/>
                <w:szCs w:val="1"/>
                <w:color w:val="auto"/>
              </w:rPr>
            </w:pPr>
          </w:p>
        </w:tc>
      </w:tr>
      <w:tr>
        <w:trPr>
          <w:trHeight w:val="163"/>
        </w:trPr>
        <w:tc>
          <w:tcPr>
            <w:tcW w:w="42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280" w:type="dxa"/>
            <w:vAlign w:val="bottom"/>
            <w:tcBorders>
              <w:bottom w:val="single" w:sz="8" w:color="CCEEFF"/>
            </w:tcBorders>
            <w:gridSpan w:val="2"/>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Net interest margin (FTE) </w:t>
            </w:r>
            <w:r>
              <w:rPr>
                <w:rFonts w:ascii="Arial" w:cs="Arial" w:eastAsia="Arial" w:hAnsi="Arial"/>
                <w:sz w:val="21"/>
                <w:szCs w:val="21"/>
                <w:color w:val="auto"/>
                <w:vertAlign w:val="superscript"/>
              </w:rPr>
              <w:t>(4)</w:t>
            </w: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3.20 %</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6"/>
                <w:szCs w:val="16"/>
                <w:color w:val="auto"/>
                <w:w w:val="96"/>
              </w:rPr>
              <w:t>3.73 %</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ind w:left="280" w:right="280" w:hanging="280"/>
        <w:spacing w:after="0" w:line="250" w:lineRule="auto"/>
        <w:tabs>
          <w:tab w:leader="none" w:pos="267" w:val="left"/>
        </w:tabs>
        <w:numPr>
          <w:ilvl w:val="0"/>
          <w:numId w:val="10"/>
        </w:numPr>
        <w:rPr>
          <w:rFonts w:ascii="Arial" w:cs="Arial" w:eastAsia="Arial" w:hAnsi="Arial"/>
          <w:sz w:val="9"/>
          <w:szCs w:val="9"/>
          <w:color w:val="auto"/>
        </w:rPr>
      </w:pPr>
      <w:r>
        <w:rPr>
          <w:rFonts w:ascii="Arial" w:cs="Arial" w:eastAsia="Arial" w:hAnsi="Arial"/>
          <w:sz w:val="14"/>
          <w:szCs w:val="14"/>
          <w:color w:val="auto"/>
        </w:rPr>
        <w:t>Interest revenue on tax-exempt securities and loans has been increased to reflect comparable interest on taxable securities and loans. The rate used was 26%, reflecting the statutory federal income tax rate and the federal tax adjusted state income tax rate.</w:t>
      </w:r>
    </w:p>
    <w:p>
      <w:pPr>
        <w:ind w:left="260" w:hanging="260"/>
        <w:spacing w:after="0"/>
        <w:tabs>
          <w:tab w:leader="none" w:pos="260" w:val="left"/>
        </w:tabs>
        <w:numPr>
          <w:ilvl w:val="0"/>
          <w:numId w:val="10"/>
        </w:numPr>
        <w:rPr>
          <w:rFonts w:ascii="Arial" w:cs="Arial" w:eastAsia="Arial" w:hAnsi="Arial"/>
          <w:sz w:val="9"/>
          <w:szCs w:val="9"/>
          <w:color w:val="auto"/>
        </w:rPr>
      </w:pPr>
      <w:r>
        <w:rPr>
          <w:rFonts w:ascii="Arial" w:cs="Arial" w:eastAsia="Arial" w:hAnsi="Arial"/>
          <w:sz w:val="14"/>
          <w:szCs w:val="14"/>
          <w:color w:val="auto"/>
        </w:rPr>
        <w:t>Included in the average balance of loans outstanding are loans on which the accrual of interest has been discontinued and loans that are held for sale.</w:t>
      </w:r>
    </w:p>
    <w:p>
      <w:pPr>
        <w:spacing w:after="0" w:line="1" w:lineRule="exact"/>
        <w:rPr>
          <w:rFonts w:ascii="Arial" w:cs="Arial" w:eastAsia="Arial" w:hAnsi="Arial"/>
          <w:sz w:val="9"/>
          <w:szCs w:val="9"/>
          <w:color w:val="auto"/>
        </w:rPr>
      </w:pPr>
    </w:p>
    <w:p>
      <w:pPr>
        <w:ind w:left="280" w:right="540" w:hanging="280"/>
        <w:spacing w:after="0" w:line="241" w:lineRule="auto"/>
        <w:tabs>
          <w:tab w:leader="none" w:pos="267" w:val="left"/>
        </w:tabs>
        <w:numPr>
          <w:ilvl w:val="0"/>
          <w:numId w:val="10"/>
        </w:numPr>
        <w:rPr>
          <w:rFonts w:ascii="Arial" w:cs="Arial" w:eastAsia="Arial" w:hAnsi="Arial"/>
          <w:sz w:val="9"/>
          <w:szCs w:val="9"/>
          <w:color w:val="auto"/>
        </w:rPr>
      </w:pPr>
      <w:r>
        <w:rPr>
          <w:rFonts w:ascii="Arial" w:cs="Arial" w:eastAsia="Arial" w:hAnsi="Arial"/>
          <w:sz w:val="14"/>
          <w:szCs w:val="14"/>
          <w:color w:val="auto"/>
        </w:rPr>
        <w:t>Securities AFS are shown at amortized cost. Pretax unrealized gains of $43.4 million and $59.6 million in 2021 and 2020, respectively, are included in other assets for purposes of this presentation.</w:t>
      </w:r>
    </w:p>
    <w:p>
      <w:pPr>
        <w:ind w:left="260" w:hanging="260"/>
        <w:spacing w:after="0"/>
        <w:tabs>
          <w:tab w:leader="none" w:pos="260" w:val="left"/>
        </w:tabs>
        <w:numPr>
          <w:ilvl w:val="0"/>
          <w:numId w:val="10"/>
        </w:numPr>
        <w:rPr>
          <w:rFonts w:ascii="Arial" w:cs="Arial" w:eastAsia="Arial" w:hAnsi="Arial"/>
          <w:sz w:val="9"/>
          <w:szCs w:val="9"/>
          <w:color w:val="auto"/>
        </w:rPr>
      </w:pPr>
      <w:r>
        <w:rPr>
          <w:rFonts w:ascii="Arial" w:cs="Arial" w:eastAsia="Arial" w:hAnsi="Arial"/>
          <w:sz w:val="14"/>
          <w:szCs w:val="14"/>
          <w:color w:val="auto"/>
        </w:rPr>
        <w:t>Net interest margin is taxable equivalent net-interest revenue divided by average interest-earning assets.</w:t>
      </w:r>
    </w:p>
    <w:p>
      <w:pPr>
        <w:sectPr>
          <w:pgSz w:w="11900" w:h="16838" w:orient="portrait"/>
          <w:cols w:equalWidth="0" w:num="1">
            <w:col w:w="11320"/>
          </w:cols>
          <w:pgMar w:left="220" w:top="97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85090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220" w:top="972" w:right="359" w:bottom="1440" w:gutter="0" w:footer="0" w:header="0"/>
          <w:type w:val="continuous"/>
        </w:sectPr>
      </w:pPr>
    </w:p>
    <w:bookmarkStart w:id="40" w:name="page41"/>
    <w:bookmarkEnd w:id="40"/>
    <w:p>
      <w:pPr>
        <w:jc w:val="both"/>
        <w:spacing w:after="0" w:line="263" w:lineRule="auto"/>
        <w:rPr>
          <w:sz w:val="20"/>
          <w:szCs w:val="20"/>
          <w:color w:val="auto"/>
        </w:rPr>
      </w:pPr>
      <w:r>
        <w:rPr>
          <w:rFonts w:ascii="Arial" w:cs="Arial" w:eastAsia="Arial" w:hAnsi="Arial"/>
          <w:sz w:val="18"/>
          <w:szCs w:val="18"/>
          <w:color w:val="auto"/>
        </w:rPr>
        <w:t>The following table shows the relative effect on net interest revenue for changes in the average outstanding amounts (volume) of interest-earning assets and interest-bearing liabilities and the rates earned and paid on such assets and liabilities (rate). Variances resulting from a combination of changes in rate and volume are allocated in proportion to the absolute dollar amounts of the change in each category.</w:t>
      </w:r>
    </w:p>
    <w:p>
      <w:pPr>
        <w:spacing w:after="0" w:line="315" w:lineRule="exact"/>
        <w:rPr>
          <w:sz w:val="20"/>
          <w:szCs w:val="20"/>
          <w:color w:val="auto"/>
        </w:rPr>
      </w:pPr>
    </w:p>
    <w:p>
      <w:pPr>
        <w:ind w:left="20" w:right="5000"/>
        <w:spacing w:after="0" w:line="297" w:lineRule="auto"/>
        <w:rPr>
          <w:sz w:val="20"/>
          <w:szCs w:val="20"/>
          <w:color w:val="auto"/>
        </w:rPr>
      </w:pPr>
      <w:r>
        <w:rPr>
          <w:rFonts w:ascii="Arial" w:cs="Arial" w:eastAsia="Arial" w:hAnsi="Arial"/>
          <w:sz w:val="18"/>
          <w:szCs w:val="18"/>
          <w:b w:val="1"/>
          <w:bCs w:val="1"/>
          <w:color w:val="auto"/>
        </w:rPr>
        <w:t xml:space="preserve">Table 4 - Change in Interest Revenue and Expense on a Taxable Equivalent Basis </w:t>
      </w: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gridSpan w:val="8"/>
          </w:tcPr>
          <w:p>
            <w:pPr>
              <w:ind w:left="320"/>
              <w:spacing w:after="0"/>
              <w:rPr>
                <w:sz w:val="20"/>
                <w:szCs w:val="20"/>
                <w:color w:val="auto"/>
              </w:rPr>
            </w:pPr>
            <w:r>
              <w:rPr>
                <w:rFonts w:ascii="Arial" w:cs="Arial" w:eastAsia="Arial" w:hAnsi="Arial"/>
                <w:sz w:val="16"/>
                <w:szCs w:val="16"/>
                <w:b w:val="1"/>
                <w:bCs w:val="1"/>
                <w:color w:val="auto"/>
              </w:rPr>
              <w:t>Three Months Ended June 30, 2021</w:t>
            </w:r>
          </w:p>
        </w:tc>
        <w:tc>
          <w:tcPr>
            <w:tcW w:w="18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7"/>
          </w:tcPr>
          <w:p>
            <w:pPr>
              <w:jc w:val="center"/>
              <w:ind w:right="99"/>
              <w:spacing w:after="0"/>
              <w:rPr>
                <w:sz w:val="20"/>
                <w:szCs w:val="20"/>
                <w:color w:val="auto"/>
              </w:rPr>
            </w:pPr>
            <w:r>
              <w:rPr>
                <w:rFonts w:ascii="Arial" w:cs="Arial" w:eastAsia="Arial" w:hAnsi="Arial"/>
                <w:sz w:val="16"/>
                <w:szCs w:val="16"/>
                <w:b w:val="1"/>
                <w:bCs w:val="1"/>
                <w:color w:val="auto"/>
                <w:w w:val="91"/>
              </w:rPr>
              <w:t>Six Months Ended June 30, 2021</w:t>
            </w:r>
          </w:p>
        </w:tc>
      </w:tr>
      <w:tr>
        <w:trPr>
          <w:trHeight w:val="210"/>
        </w:trPr>
        <w:tc>
          <w:tcPr>
            <w:tcW w:w="40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660" w:type="dxa"/>
            <w:vAlign w:val="bottom"/>
            <w:tcBorders>
              <w:bottom w:val="single" w:sz="8" w:color="auto"/>
            </w:tcBorders>
            <w:gridSpan w:val="11"/>
          </w:tcPr>
          <w:p>
            <w:pPr>
              <w:ind w:left="160"/>
              <w:spacing w:after="0"/>
              <w:rPr>
                <w:sz w:val="20"/>
                <w:szCs w:val="20"/>
                <w:color w:val="auto"/>
              </w:rPr>
            </w:pPr>
            <w:r>
              <w:rPr>
                <w:rFonts w:ascii="Arial" w:cs="Arial" w:eastAsia="Arial" w:hAnsi="Arial"/>
                <w:sz w:val="16"/>
                <w:szCs w:val="16"/>
                <w:b w:val="1"/>
                <w:bCs w:val="1"/>
                <w:color w:val="auto"/>
              </w:rPr>
              <w:t>Compared to 2020 Increase (Decrease) Due to Changes in</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r>
      <w:tr>
        <w:trPr>
          <w:trHeight w:val="207"/>
        </w:trPr>
        <w:tc>
          <w:tcPr>
            <w:tcW w:w="4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ind w:left="80"/>
              <w:spacing w:after="0"/>
              <w:rPr>
                <w:sz w:val="20"/>
                <w:szCs w:val="20"/>
                <w:color w:val="auto"/>
              </w:rPr>
            </w:pPr>
            <w:r>
              <w:rPr>
                <w:rFonts w:ascii="Arial" w:cs="Arial" w:eastAsia="Arial" w:hAnsi="Arial"/>
                <w:sz w:val="16"/>
                <w:szCs w:val="16"/>
                <w:b w:val="1"/>
                <w:bCs w:val="1"/>
                <w:color w:val="auto"/>
              </w:rPr>
              <w:t>Volume</w:t>
            </w:r>
          </w:p>
        </w:tc>
        <w:tc>
          <w:tcPr>
            <w:tcW w:w="240" w:type="dxa"/>
            <w:vAlign w:val="bottom"/>
          </w:tcPr>
          <w:p>
            <w:pPr>
              <w:spacing w:after="0"/>
              <w:rPr>
                <w:sz w:val="17"/>
                <w:szCs w:val="17"/>
                <w:color w:val="auto"/>
              </w:rPr>
            </w:pPr>
          </w:p>
        </w:tc>
        <w:tc>
          <w:tcPr>
            <w:tcW w:w="960" w:type="dxa"/>
            <w:vAlign w:val="bottom"/>
            <w:gridSpan w:val="2"/>
          </w:tcPr>
          <w:p>
            <w:pPr>
              <w:ind w:left="160"/>
              <w:spacing w:after="0"/>
              <w:rPr>
                <w:sz w:val="20"/>
                <w:szCs w:val="20"/>
                <w:color w:val="auto"/>
              </w:rPr>
            </w:pPr>
            <w:r>
              <w:rPr>
                <w:rFonts w:ascii="Arial" w:cs="Arial" w:eastAsia="Arial" w:hAnsi="Arial"/>
                <w:sz w:val="16"/>
                <w:szCs w:val="16"/>
                <w:b w:val="1"/>
                <w:bCs w:val="1"/>
                <w:color w:val="auto"/>
              </w:rPr>
              <w:t>Rate</w:t>
            </w:r>
          </w:p>
        </w:tc>
        <w:tc>
          <w:tcPr>
            <w:tcW w:w="240" w:type="dxa"/>
            <w:vAlign w:val="bottom"/>
          </w:tcPr>
          <w:p>
            <w:pPr>
              <w:spacing w:after="0"/>
              <w:rPr>
                <w:sz w:val="17"/>
                <w:szCs w:val="17"/>
                <w:color w:val="auto"/>
              </w:rPr>
            </w:pPr>
          </w:p>
        </w:tc>
        <w:tc>
          <w:tcPr>
            <w:tcW w:w="1060" w:type="dxa"/>
            <w:vAlign w:val="bottom"/>
            <w:gridSpan w:val="2"/>
          </w:tcPr>
          <w:p>
            <w:pPr>
              <w:ind w:left="140"/>
              <w:spacing w:after="0"/>
              <w:rPr>
                <w:sz w:val="20"/>
                <w:szCs w:val="20"/>
                <w:color w:val="auto"/>
              </w:rPr>
            </w:pPr>
            <w:r>
              <w:rPr>
                <w:rFonts w:ascii="Arial" w:cs="Arial" w:eastAsia="Arial" w:hAnsi="Arial"/>
                <w:sz w:val="16"/>
                <w:szCs w:val="16"/>
                <w:b w:val="1"/>
                <w:bCs w:val="1"/>
                <w:color w:val="auto"/>
              </w:rPr>
              <w:t>Total</w:t>
            </w:r>
          </w:p>
        </w:tc>
        <w:tc>
          <w:tcPr>
            <w:tcW w:w="180" w:type="dxa"/>
            <w:vAlign w:val="bottom"/>
          </w:tcPr>
          <w:p>
            <w:pPr>
              <w:spacing w:after="0"/>
              <w:rPr>
                <w:sz w:val="17"/>
                <w:szCs w:val="17"/>
                <w:color w:val="auto"/>
              </w:rPr>
            </w:pPr>
          </w:p>
        </w:tc>
        <w:tc>
          <w:tcPr>
            <w:tcW w:w="1020" w:type="dxa"/>
            <w:vAlign w:val="bottom"/>
            <w:gridSpan w:val="2"/>
          </w:tcPr>
          <w:p>
            <w:pPr>
              <w:ind w:left="100"/>
              <w:spacing w:after="0"/>
              <w:rPr>
                <w:sz w:val="20"/>
                <w:szCs w:val="20"/>
                <w:color w:val="auto"/>
              </w:rPr>
            </w:pPr>
            <w:r>
              <w:rPr>
                <w:rFonts w:ascii="Arial" w:cs="Arial" w:eastAsia="Arial" w:hAnsi="Arial"/>
                <w:sz w:val="16"/>
                <w:szCs w:val="16"/>
                <w:b w:val="1"/>
                <w:bCs w:val="1"/>
                <w:color w:val="auto"/>
              </w:rPr>
              <w:t>Volume</w:t>
            </w:r>
          </w:p>
        </w:tc>
        <w:tc>
          <w:tcPr>
            <w:tcW w:w="240" w:type="dxa"/>
            <w:vAlign w:val="bottom"/>
          </w:tcPr>
          <w:p>
            <w:pPr>
              <w:spacing w:after="0"/>
              <w:rPr>
                <w:sz w:val="17"/>
                <w:szCs w:val="17"/>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Rate</w:t>
            </w:r>
          </w:p>
        </w:tc>
        <w:tc>
          <w:tcPr>
            <w:tcW w:w="220" w:type="dxa"/>
            <w:vAlign w:val="bottom"/>
          </w:tcPr>
          <w:p>
            <w:pPr>
              <w:spacing w:after="0"/>
              <w:rPr>
                <w:sz w:val="17"/>
                <w:szCs w:val="17"/>
                <w:color w:val="auto"/>
              </w:rPr>
            </w:pPr>
          </w:p>
        </w:tc>
        <w:tc>
          <w:tcPr>
            <w:tcW w:w="840" w:type="dxa"/>
            <w:vAlign w:val="bottom"/>
          </w:tcPr>
          <w:p>
            <w:pPr>
              <w:jc w:val="right"/>
              <w:ind w:right="279"/>
              <w:spacing w:after="0"/>
              <w:rPr>
                <w:sz w:val="20"/>
                <w:szCs w:val="20"/>
                <w:color w:val="auto"/>
              </w:rPr>
            </w:pPr>
            <w:r>
              <w:rPr>
                <w:rFonts w:ascii="Arial" w:cs="Arial" w:eastAsia="Arial" w:hAnsi="Arial"/>
                <w:sz w:val="16"/>
                <w:szCs w:val="16"/>
                <w:b w:val="1"/>
                <w:bCs w:val="1"/>
                <w:color w:val="auto"/>
              </w:rPr>
              <w:t>Total</w:t>
            </w:r>
          </w:p>
        </w:tc>
      </w:tr>
      <w:tr>
        <w:trPr>
          <w:trHeight w:val="199"/>
        </w:trPr>
        <w:tc>
          <w:tcPr>
            <w:tcW w:w="4080" w:type="dxa"/>
            <w:vAlign w:val="bottom"/>
          </w:tcPr>
          <w:p>
            <w:pPr>
              <w:ind w:left="20"/>
              <w:spacing w:after="0"/>
              <w:rPr>
                <w:sz w:val="20"/>
                <w:szCs w:val="20"/>
                <w:color w:val="auto"/>
              </w:rPr>
            </w:pPr>
            <w:r>
              <w:rPr>
                <w:rFonts w:ascii="Arial" w:cs="Arial" w:eastAsia="Arial" w:hAnsi="Arial"/>
                <w:sz w:val="16"/>
                <w:szCs w:val="16"/>
                <w:b w:val="1"/>
                <w:bCs w:val="1"/>
                <w:color w:val="auto"/>
              </w:rPr>
              <w:t>Interest-earning assets:</w:t>
            </w: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r>
      <w:tr>
        <w:trPr>
          <w:trHeight w:val="219"/>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Loans (FTE)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20,060</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50,203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(22,817)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27,386</w:t>
            </w:r>
          </w:p>
        </w:tc>
      </w:tr>
      <w:tr>
        <w:trPr>
          <w:trHeight w:val="213"/>
        </w:trPr>
        <w:tc>
          <w:tcPr>
            <w:tcW w:w="4080" w:type="dxa"/>
            <w:vAlign w:val="bottom"/>
          </w:tcPr>
          <w:p>
            <w:pPr>
              <w:ind w:left="20"/>
              <w:spacing w:after="0"/>
              <w:rPr>
                <w:sz w:val="20"/>
                <w:szCs w:val="20"/>
                <w:color w:val="auto"/>
              </w:rPr>
            </w:pPr>
            <w:r>
              <w:rPr>
                <w:rFonts w:ascii="Arial" w:cs="Arial" w:eastAsia="Arial" w:hAnsi="Arial"/>
                <w:sz w:val="16"/>
                <w:szCs w:val="16"/>
                <w:color w:val="auto"/>
              </w:rPr>
              <w:t>Taxable securities</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8,999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(7,757)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1,242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15,535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(16,866)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(1,331)</w:t>
            </w:r>
          </w:p>
        </w:tc>
      </w:tr>
      <w:tr>
        <w:trPr>
          <w:trHeight w:val="219"/>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Tax-exempt securities (FTE)</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1,763</w:t>
            </w:r>
          </w:p>
        </w:tc>
      </w:tr>
      <w:tr>
        <w:trPr>
          <w:trHeight w:val="213"/>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Federal funds sold and other interest-earning assets</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1,777</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w:t>
            </w:r>
          </w:p>
        </w:tc>
      </w:tr>
      <w:tr>
        <w:trPr>
          <w:trHeight w:val="209"/>
        </w:trPr>
        <w:tc>
          <w:tcPr>
            <w:tcW w:w="408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Total interest-earning assets (FTE)</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31,517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(9,097)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22,420</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71,198</w:t>
            </w:r>
          </w:p>
        </w:tc>
        <w:tc>
          <w:tcPr>
            <w:tcW w:w="1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(43,592)</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27,606</w:t>
            </w:r>
          </w:p>
        </w:tc>
      </w:tr>
      <w:tr>
        <w:trPr>
          <w:trHeight w:val="199"/>
        </w:trPr>
        <w:tc>
          <w:tcPr>
            <w:tcW w:w="4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Interest-bearing liabilities: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3"/>
        </w:trPr>
        <w:tc>
          <w:tcPr>
            <w:tcW w:w="4080" w:type="dxa"/>
            <w:vAlign w:val="bottom"/>
          </w:tcPr>
          <w:p>
            <w:pPr>
              <w:ind w:left="20"/>
              <w:spacing w:after="0"/>
              <w:rPr>
                <w:sz w:val="20"/>
                <w:szCs w:val="20"/>
                <w:color w:val="auto"/>
              </w:rPr>
            </w:pPr>
            <w:r>
              <w:rPr>
                <w:rFonts w:ascii="Arial" w:cs="Arial" w:eastAsia="Arial" w:hAnsi="Arial"/>
                <w:sz w:val="16"/>
                <w:szCs w:val="16"/>
                <w:color w:val="auto"/>
              </w:rPr>
              <w:t>NOW and interest-bearing demand accounts</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(770)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1,390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(3,128)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(1,738)</w:t>
            </w:r>
          </w:p>
        </w:tc>
      </w:tr>
      <w:tr>
        <w:trPr>
          <w:trHeight w:val="219"/>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Money market accounts</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(2,066)</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(7,768)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(4,793)</w:t>
            </w:r>
          </w:p>
        </w:tc>
      </w:tr>
      <w:tr>
        <w:trPr>
          <w:trHeight w:val="213"/>
        </w:trPr>
        <w:tc>
          <w:tcPr>
            <w:tcW w:w="4080" w:type="dxa"/>
            <w:vAlign w:val="bottom"/>
          </w:tcPr>
          <w:p>
            <w:pPr>
              <w:ind w:left="20"/>
              <w:spacing w:after="0"/>
              <w:rPr>
                <w:sz w:val="20"/>
                <w:szCs w:val="20"/>
                <w:color w:val="auto"/>
              </w:rPr>
            </w:pPr>
            <w:r>
              <w:rPr>
                <w:rFonts w:ascii="Arial" w:cs="Arial" w:eastAsia="Arial" w:hAnsi="Arial"/>
                <w:sz w:val="16"/>
                <w:szCs w:val="16"/>
                <w:color w:val="auto"/>
              </w:rPr>
              <w:t>Savings deposits</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19"/>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Time deposits</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(5,159)</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(9,334)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(10,821)</w:t>
            </w:r>
          </w:p>
        </w:tc>
      </w:tr>
      <w:tr>
        <w:trPr>
          <w:trHeight w:val="213"/>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Brokered deposits</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w:t>
            </w:r>
          </w:p>
        </w:tc>
      </w:tr>
      <w:tr>
        <w:trPr>
          <w:trHeight w:val="213"/>
        </w:trPr>
        <w:tc>
          <w:tcPr>
            <w:tcW w:w="4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interest-bearing deposits</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(8,597)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(7,651)</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2,784</w:t>
            </w:r>
          </w:p>
        </w:tc>
        <w:tc>
          <w:tcPr>
            <w:tcW w:w="1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(20,291)</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(17,507)</w:t>
            </w:r>
          </w:p>
        </w:tc>
      </w:tr>
      <w:tr>
        <w:trPr>
          <w:trHeight w:val="207"/>
        </w:trPr>
        <w:tc>
          <w:tcPr>
            <w:tcW w:w="4080" w:type="dxa"/>
            <w:vAlign w:val="bottom"/>
          </w:tcPr>
          <w:p>
            <w:pPr>
              <w:ind w:left="20"/>
              <w:spacing w:after="0"/>
              <w:rPr>
                <w:sz w:val="20"/>
                <w:szCs w:val="20"/>
                <w:color w:val="auto"/>
              </w:rPr>
            </w:pPr>
            <w:r>
              <w:rPr>
                <w:rFonts w:ascii="Arial" w:cs="Arial" w:eastAsia="Arial" w:hAnsi="Arial"/>
                <w:sz w:val="16"/>
                <w:szCs w:val="16"/>
                <w:color w:val="auto"/>
              </w:rPr>
              <w:t>Federal funds purchased &amp; other borrowings</w:t>
            </w:r>
          </w:p>
        </w:tc>
        <w:tc>
          <w:tcPr>
            <w:tcW w:w="20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9"/>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FHLB advances</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3"/>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Long-term debt</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783</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2,164</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2,176</w:t>
            </w:r>
          </w:p>
        </w:tc>
      </w:tr>
      <w:tr>
        <w:trPr>
          <w:trHeight w:val="213"/>
        </w:trPr>
        <w:tc>
          <w:tcPr>
            <w:tcW w:w="4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borrowed funds</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783</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2,167</w:t>
            </w:r>
          </w:p>
        </w:tc>
        <w:tc>
          <w:tcPr>
            <w:tcW w:w="1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2,176</w:t>
            </w:r>
          </w:p>
        </w:tc>
      </w:tr>
      <w:tr>
        <w:trPr>
          <w:trHeight w:val="206"/>
        </w:trPr>
        <w:tc>
          <w:tcPr>
            <w:tcW w:w="4080" w:type="dxa"/>
            <w:vAlign w:val="bottom"/>
            <w:tcBorders>
              <w:bottom w:val="single" w:sz="8" w:color="CCEEFF"/>
            </w:tcBorders>
          </w:tcPr>
          <w:p>
            <w:pPr>
              <w:ind w:left="220"/>
              <w:spacing w:after="0"/>
              <w:rPr>
                <w:sz w:val="20"/>
                <w:szCs w:val="20"/>
                <w:color w:val="auto"/>
              </w:rPr>
            </w:pPr>
            <w:r>
              <w:rPr>
                <w:rFonts w:ascii="Arial" w:cs="Arial" w:eastAsia="Arial" w:hAnsi="Arial"/>
                <w:sz w:val="16"/>
                <w:szCs w:val="16"/>
                <w:b w:val="1"/>
                <w:bCs w:val="1"/>
                <w:color w:val="auto"/>
              </w:rPr>
              <w:t>Total interest-bearing liabilities</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(8,579)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(6,868)</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4,951</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(20,282)</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(15,331)</w:t>
            </w:r>
          </w:p>
        </w:tc>
      </w:tr>
      <w:tr>
        <w:trPr>
          <w:trHeight w:val="199"/>
        </w:trPr>
        <w:tc>
          <w:tcPr>
            <w:tcW w:w="4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6"/>
        </w:trPr>
        <w:tc>
          <w:tcPr>
            <w:tcW w:w="4080" w:type="dxa"/>
            <w:vAlign w:val="bottom"/>
          </w:tcPr>
          <w:p>
            <w:pPr>
              <w:ind w:left="360"/>
              <w:spacing w:after="0"/>
              <w:rPr>
                <w:sz w:val="20"/>
                <w:szCs w:val="20"/>
                <w:color w:val="auto"/>
              </w:rPr>
            </w:pPr>
            <w:r>
              <w:rPr>
                <w:rFonts w:ascii="Arial" w:cs="Arial" w:eastAsia="Arial" w:hAnsi="Arial"/>
                <w:sz w:val="16"/>
                <w:szCs w:val="16"/>
                <w:b w:val="1"/>
                <w:bCs w:val="1"/>
                <w:color w:val="auto"/>
              </w:rPr>
              <w:t>Increase in net interest revenue (FTE)</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29,806</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(518)</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29,288</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66,247</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(23,310)</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42,937</w:t>
            </w:r>
          </w:p>
        </w:tc>
      </w:tr>
      <w:tr>
        <w:trPr>
          <w:trHeight w:val="20"/>
        </w:trPr>
        <w:tc>
          <w:tcPr>
            <w:tcW w:w="4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Credit Losses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ACL represents management’s estimate of life of loan credit losses in the loan portfolio and unfunded loan commitments. Management’s estimate of credit losses under CECL is determined using a model that relies on reasonable and supportable forecasts and historical loss information to determine the balance of the ACL and resulting provision for credit losses.</w:t>
      </w:r>
    </w:p>
    <w:p>
      <w:pPr>
        <w:spacing w:after="0" w:line="2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recorded negative provisions for credit losses of $13.6 million and $25.9 million for the three and six months ended June 30, 2021, respectively, compared to $33.5 million and $55.7 million in provision expense for the same periods in 2020, respectively. The amount of provision recorded in each period was the amount required such that the total ACL reflected the appropriate balance as determined by management reflecting expected life of loan losses. The negative provision expense for the three and six months ended June 30, 2021 compared to the same periods of 2020 was primarily a result of an improved economic forecast combined with net recoveries recognized during the second quarter and first half of 2021. The provision for credit losses for the second quarter and first half of 2020 was elevated due to a less optimistic economic forecast amidst the COVID-19 pandemic.</w:t>
      </w:r>
    </w:p>
    <w:p>
      <w:pPr>
        <w:spacing w:after="0" w:line="19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For the six months ended June 30, 2021, net loan charge-offs (recoveries) as an annualized percentage of average outstanding loans were (0.01)% compared to 0.31% for the same period in 2020. The net recoveries amount recorded during the first six months of 2021 was mostly attributable to one large commercial credit recovery during the first quarter, strong recoveries from a number of other credits and lower charge-offs during the second quarter.</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Additional discussion on credit quality and the ACL is included in the “Asset Quality and Risk Elements” section of MD&amp;A in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Noninterest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noninterest income for the periods indicated.</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Table 5 - Noninterest Income</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6"/>
                <w:szCs w:val="16"/>
                <w:color w:val="auto"/>
              </w:rPr>
            </w:pPr>
          </w:p>
        </w:tc>
        <w:tc>
          <w:tcPr>
            <w:tcW w:w="1100" w:type="dxa"/>
            <w:vAlign w:val="bottom"/>
            <w:gridSpan w:val="3"/>
            <w:vMerge w:val="restart"/>
          </w:tcPr>
          <w:p>
            <w:pPr>
              <w:ind w:left="580"/>
              <w:spacing w:after="0"/>
              <w:rPr>
                <w:sz w:val="20"/>
                <w:szCs w:val="20"/>
                <w:color w:val="auto"/>
              </w:rPr>
            </w:pPr>
            <w:r>
              <w:rPr>
                <w:rFonts w:ascii="Arial" w:cs="Arial" w:eastAsia="Arial" w:hAnsi="Arial"/>
                <w:sz w:val="16"/>
                <w:szCs w:val="16"/>
                <w:b w:val="1"/>
                <w:bCs w:val="1"/>
                <w:color w:val="auto"/>
                <w:w w:val="85"/>
              </w:rPr>
              <w:t>Change</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5"/>
          </w:tcPr>
          <w:p>
            <w:pPr>
              <w:ind w:left="200"/>
              <w:spacing w:after="0"/>
              <w:rPr>
                <w:sz w:val="20"/>
                <w:szCs w:val="20"/>
                <w:color w:val="auto"/>
              </w:rPr>
            </w:pPr>
            <w:r>
              <w:rPr>
                <w:rFonts w:ascii="Arial" w:cs="Arial" w:eastAsia="Arial" w:hAnsi="Arial"/>
                <w:sz w:val="16"/>
                <w:szCs w:val="16"/>
                <w:b w:val="1"/>
                <w:bCs w:val="1"/>
                <w:color w:val="auto"/>
              </w:rPr>
              <w:t>Six Months Ended</w:t>
            </w:r>
          </w:p>
        </w:tc>
        <w:tc>
          <w:tcPr>
            <w:tcW w:w="160" w:type="dxa"/>
            <w:vAlign w:val="bottom"/>
          </w:tcPr>
          <w:p>
            <w:pPr>
              <w:spacing w:after="0"/>
              <w:rPr>
                <w:sz w:val="16"/>
                <w:szCs w:val="16"/>
                <w:color w:val="auto"/>
              </w:rPr>
            </w:pPr>
          </w:p>
        </w:tc>
        <w:tc>
          <w:tcPr>
            <w:tcW w:w="1180" w:type="dxa"/>
            <w:vAlign w:val="bottom"/>
            <w:gridSpan w:val="3"/>
            <w:vMerge w:val="restart"/>
          </w:tcPr>
          <w:p>
            <w:pPr>
              <w:ind w:left="640"/>
              <w:spacing w:after="0"/>
              <w:rPr>
                <w:sz w:val="20"/>
                <w:szCs w:val="20"/>
                <w:color w:val="auto"/>
              </w:rPr>
            </w:pPr>
            <w:r>
              <w:rPr>
                <w:rFonts w:ascii="Arial" w:cs="Arial" w:eastAsia="Arial" w:hAnsi="Arial"/>
                <w:sz w:val="16"/>
                <w:szCs w:val="16"/>
                <w:b w:val="1"/>
                <w:bCs w:val="1"/>
                <w:color w:val="auto"/>
                <w:w w:val="88"/>
              </w:rPr>
              <w:t>Change</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5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vMerge w:val="continue"/>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vMerge w:val="continue"/>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jc w:val="right"/>
              <w:ind w:right="2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3"/>
          </w:tcPr>
          <w:p>
            <w:pPr>
              <w:ind w:left="40"/>
              <w:spacing w:after="0"/>
              <w:rPr>
                <w:sz w:val="20"/>
                <w:szCs w:val="20"/>
                <w:color w:val="auto"/>
              </w:rPr>
            </w:pPr>
            <w:r>
              <w:rPr>
                <w:rFonts w:ascii="Arial" w:cs="Arial" w:eastAsia="Arial" w:hAnsi="Arial"/>
                <w:sz w:val="16"/>
                <w:szCs w:val="16"/>
                <w:b w:val="1"/>
                <w:bCs w:val="1"/>
                <w:color w:val="auto"/>
              </w:rPr>
              <w:t>Amount</w:t>
            </w:r>
          </w:p>
        </w:tc>
        <w:tc>
          <w:tcPr>
            <w:tcW w:w="740" w:type="dxa"/>
            <w:vAlign w:val="bottom"/>
          </w:tcPr>
          <w:p>
            <w:pPr>
              <w:jc w:val="right"/>
              <w:ind w:right="119"/>
              <w:spacing w:after="0"/>
              <w:rPr>
                <w:sz w:val="20"/>
                <w:szCs w:val="20"/>
                <w:color w:val="auto"/>
              </w:rPr>
            </w:pPr>
            <w:r>
              <w:rPr>
                <w:rFonts w:ascii="Arial" w:cs="Arial" w:eastAsia="Arial" w:hAnsi="Arial"/>
                <w:sz w:val="16"/>
                <w:szCs w:val="16"/>
                <w:b w:val="1"/>
                <w:bCs w:val="1"/>
                <w:color w:val="auto"/>
                <w:w w:val="88"/>
              </w:rPr>
              <w:t>Percent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3"/>
          </w:tcPr>
          <w:p>
            <w:pPr>
              <w:ind w:left="40"/>
              <w:spacing w:after="0"/>
              <w:rPr>
                <w:sz w:val="20"/>
                <w:szCs w:val="20"/>
                <w:color w:val="auto"/>
              </w:rPr>
            </w:pPr>
            <w:r>
              <w:rPr>
                <w:rFonts w:ascii="Arial" w:cs="Arial" w:eastAsia="Arial" w:hAnsi="Arial"/>
                <w:sz w:val="16"/>
                <w:szCs w:val="16"/>
                <w:b w:val="1"/>
                <w:bCs w:val="1"/>
                <w:color w:val="auto"/>
              </w:rPr>
              <w:t>Amount</w:t>
            </w:r>
          </w:p>
        </w:tc>
        <w:tc>
          <w:tcPr>
            <w:tcW w:w="780" w:type="dxa"/>
            <w:vAlign w:val="bottom"/>
          </w:tcPr>
          <w:p>
            <w:pPr>
              <w:jc w:val="right"/>
              <w:ind w:right="179"/>
              <w:spacing w:after="0"/>
              <w:rPr>
                <w:sz w:val="20"/>
                <w:szCs w:val="20"/>
                <w:color w:val="auto"/>
              </w:rPr>
            </w:pPr>
            <w:r>
              <w:rPr>
                <w:rFonts w:ascii="Arial" w:cs="Arial" w:eastAsia="Arial" w:hAnsi="Arial"/>
                <w:sz w:val="16"/>
                <w:szCs w:val="16"/>
                <w:b w:val="1"/>
                <w:bCs w:val="1"/>
                <w:color w:val="auto"/>
                <w:w w:val="85"/>
              </w:rPr>
              <w:t>Percent</w:t>
            </w:r>
          </w:p>
        </w:tc>
        <w:tc>
          <w:tcPr>
            <w:tcW w:w="0" w:type="dxa"/>
            <w:vAlign w:val="bottom"/>
          </w:tcPr>
          <w:p>
            <w:pPr>
              <w:spacing w:after="0"/>
              <w:rPr>
                <w:sz w:val="1"/>
                <w:szCs w:val="1"/>
                <w:color w:val="auto"/>
              </w:rPr>
            </w:pPr>
          </w:p>
        </w:tc>
      </w:tr>
      <w:tr>
        <w:trPr>
          <w:trHeight w:val="212"/>
        </w:trPr>
        <w:tc>
          <w:tcPr>
            <w:tcW w:w="2560" w:type="dxa"/>
            <w:vAlign w:val="bottom"/>
          </w:tcPr>
          <w:p>
            <w:pPr>
              <w:ind w:left="20"/>
              <w:spacing w:after="0"/>
              <w:rPr>
                <w:sz w:val="20"/>
                <w:szCs w:val="20"/>
                <w:color w:val="auto"/>
              </w:rPr>
            </w:pPr>
            <w:r>
              <w:rPr>
                <w:rFonts w:ascii="Arial" w:cs="Arial" w:eastAsia="Arial" w:hAnsi="Arial"/>
                <w:sz w:val="16"/>
                <w:szCs w:val="16"/>
                <w:color w:val="auto"/>
              </w:rPr>
              <w:t>Overdraft fees</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2,274</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1,997</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14 %</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4,616</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5,516</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(900)</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ind w:left="340"/>
              <w:spacing w:after="0"/>
              <w:rPr>
                <w:sz w:val="20"/>
                <w:szCs w:val="20"/>
                <w:color w:val="auto"/>
              </w:rPr>
            </w:pPr>
            <w:r>
              <w:rPr>
                <w:rFonts w:ascii="Arial" w:cs="Arial" w:eastAsia="Arial" w:hAnsi="Arial"/>
                <w:sz w:val="16"/>
                <w:szCs w:val="16"/>
                <w:color w:val="auto"/>
                <w:w w:val="98"/>
              </w:rPr>
              <w:t>(16)%</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ATM and debit card fees</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2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service charges and fees</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jc w:val="right"/>
              <w:ind w:right="139"/>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4,893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jc w:val="right"/>
              <w:ind w:right="119"/>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3"/>
        </w:trPr>
        <w:tc>
          <w:tcPr>
            <w:tcW w:w="2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service charges and fees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8,335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6,995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15,905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15,633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2560" w:type="dxa"/>
            <w:vAlign w:val="bottom"/>
          </w:tcPr>
          <w:p>
            <w:pPr>
              <w:ind w:left="20"/>
              <w:spacing w:after="0"/>
              <w:rPr>
                <w:sz w:val="20"/>
                <w:szCs w:val="20"/>
                <w:color w:val="auto"/>
              </w:rPr>
            </w:pPr>
            <w:r>
              <w:rPr>
                <w:rFonts w:ascii="Arial" w:cs="Arial" w:eastAsia="Arial" w:hAnsi="Arial"/>
                <w:sz w:val="16"/>
                <w:szCs w:val="16"/>
                <w:color w:val="auto"/>
                <w:w w:val="95"/>
              </w:rPr>
              <w:t>Mortgage loan gains and related fees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11,136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23,659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(12,523)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99"/>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33,708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31,969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1,739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ind w:right="1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Wealth management fees</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13"/>
        </w:trPr>
        <w:tc>
          <w:tcPr>
            <w:tcW w:w="2560" w:type="dxa"/>
            <w:vAlign w:val="bottom"/>
          </w:tcPr>
          <w:p>
            <w:pPr>
              <w:ind w:left="20"/>
              <w:spacing w:after="0"/>
              <w:rPr>
                <w:sz w:val="20"/>
                <w:szCs w:val="20"/>
                <w:color w:val="auto"/>
              </w:rPr>
            </w:pPr>
            <w:r>
              <w:rPr>
                <w:rFonts w:ascii="Arial" w:cs="Arial" w:eastAsia="Arial" w:hAnsi="Arial"/>
                <w:sz w:val="16"/>
                <w:szCs w:val="16"/>
                <w:color w:val="auto"/>
              </w:rPr>
              <w:t>Gains on sales of other loans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4,123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3,083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139"/>
              <w:spacing w:after="0"/>
              <w:rPr>
                <w:sz w:val="20"/>
                <w:szCs w:val="20"/>
                <w:color w:val="auto"/>
              </w:rPr>
            </w:pPr>
            <w:r>
              <w:rPr>
                <w:rFonts w:ascii="Arial" w:cs="Arial" w:eastAsia="Arial" w:hAnsi="Arial"/>
                <w:sz w:val="16"/>
                <w:szCs w:val="16"/>
                <w:color w:val="auto"/>
              </w:rPr>
              <w:t>296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5,153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2,714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2,439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ind w:right="119"/>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Securities gains, net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560" w:type="dxa"/>
            <w:vAlign w:val="bottom"/>
          </w:tcPr>
          <w:p>
            <w:pPr>
              <w:ind w:left="20"/>
              <w:spacing w:after="0"/>
              <w:rPr>
                <w:sz w:val="20"/>
                <w:szCs w:val="20"/>
                <w:color w:val="auto"/>
              </w:rPr>
            </w:pPr>
            <w:r>
              <w:rPr>
                <w:rFonts w:ascii="Arial" w:cs="Arial" w:eastAsia="Arial" w:hAnsi="Arial"/>
                <w:sz w:val="16"/>
                <w:szCs w:val="16"/>
                <w:color w:val="auto"/>
              </w:rPr>
              <w:t>Other noninterest income:</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56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Other lending and loan servicing</w:t>
            </w:r>
          </w:p>
        </w:tc>
        <w:tc>
          <w:tcPr>
            <w:tcW w:w="2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2,085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1,298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787</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4,245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2,963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1,282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2"/>
        </w:trPr>
        <w:tc>
          <w:tcPr>
            <w:tcW w:w="2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fees</w:t>
            </w:r>
          </w:p>
        </w:tc>
        <w:tc>
          <w:tcPr>
            <w:tcW w:w="2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60" w:type="dxa"/>
            <w:vAlign w:val="bottom"/>
          </w:tcPr>
          <w:p>
            <w:pPr>
              <w:ind w:left="140"/>
              <w:spacing w:after="0"/>
              <w:rPr>
                <w:sz w:val="20"/>
                <w:szCs w:val="20"/>
                <w:color w:val="auto"/>
              </w:rPr>
            </w:pPr>
            <w:r>
              <w:rPr>
                <w:rFonts w:ascii="Arial" w:cs="Arial" w:eastAsia="Arial" w:hAnsi="Arial"/>
                <w:sz w:val="16"/>
                <w:szCs w:val="16"/>
                <w:color w:val="auto"/>
              </w:rPr>
              <w:t>Customer derivatives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(921)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99"/>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1,952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(636)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ind w:left="34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investment gains (losses)</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560" w:type="dxa"/>
            <w:vAlign w:val="bottom"/>
          </w:tcPr>
          <w:p>
            <w:pPr>
              <w:ind w:left="140"/>
              <w:spacing w:after="0"/>
              <w:rPr>
                <w:sz w:val="20"/>
                <w:szCs w:val="20"/>
                <w:color w:val="auto"/>
              </w:rPr>
            </w:pPr>
            <w:r>
              <w:rPr>
                <w:rFonts w:ascii="Arial" w:cs="Arial" w:eastAsia="Arial" w:hAnsi="Arial"/>
                <w:sz w:val="16"/>
                <w:szCs w:val="16"/>
                <w:color w:val="auto"/>
              </w:rPr>
              <w:t>BOLI</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972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(1,060)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99"/>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1,829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2,877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(1,048)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ind w:left="340"/>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Treasury management income</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3"/>
        </w:trPr>
        <w:tc>
          <w:tcPr>
            <w:tcW w:w="25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jc w:val="right"/>
              <w:ind w:right="139"/>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5,877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jc w:val="right"/>
              <w:ind w:right="119"/>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09"/>
        </w:trPr>
        <w:tc>
          <w:tcPr>
            <w:tcW w:w="2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other noninterest income</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8,384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7,220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18,412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12,772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5,640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3"/>
        </w:trPr>
        <w:tc>
          <w:tcPr>
            <w:tcW w:w="2560" w:type="dxa"/>
            <w:vAlign w:val="bottom"/>
          </w:tcPr>
          <w:p>
            <w:pPr>
              <w:ind w:left="140"/>
              <w:spacing w:after="0"/>
              <w:rPr>
                <w:sz w:val="20"/>
                <w:szCs w:val="20"/>
                <w:color w:val="auto"/>
              </w:rPr>
            </w:pPr>
            <w:r>
              <w:rPr>
                <w:rFonts w:ascii="Arial" w:cs="Arial" w:eastAsia="Arial" w:hAnsi="Arial"/>
                <w:sz w:val="16"/>
                <w:szCs w:val="16"/>
                <w:color w:val="auto"/>
              </w:rPr>
              <w:t>Total noninterest income</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35,841</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40,238</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9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80,546</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66,052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14,494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ind w:right="119"/>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Total service charges and fees for the first half of 2021 were flat compared to the same period of 2020, reflecting an increase in other service charges and fees that was mostly offset by a decrease in overdraft fees. During the second quarter of 2021, total service charges and fees increased $1.34 million compared to the respective period of 2020, which was mostly driven by the receipt of larger vendor rebates reflected in other service charges and fees for the three and six months ended 2021. Overdraft fees have remained at relatively low levels since the onset of the COVID-19 pandemic. During the first half of 2020, the decrease in overdraft fees was attributable to lower transaction volume due to widespread economic shutdowns combined with government stimulus payments disbursed during the second quarter, both of which increased transaction deposit account balances. During the first half of 2021, transaction deposit account balances remained elevated due to government stimulus payments and customer preferences to allocate more funds to transaction deposit accounts rather than time deposits in the current low interest rate environment.</w:t>
      </w:r>
    </w:p>
    <w:p>
      <w:pPr>
        <w:spacing w:after="0" w:line="194"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Mortgage loan gains and related fees consists primarily of fees earned on mortgage originations, gains on the sale of mortgages in the secondary market and fair value adjustments to our mortgage servicing asset. We recognize the majority of gains on mortgages at the point customers enter into mortgage rate lock commitments, making our mortgage pipeline a significant driver of mortgage gains in any given period. The change in mortgage loan gains and related fees is strongly tied to the interest rate environment. Customer demand, also primarily driven by interest rates, as well as the market-driven gain on sale spread are also primary drivers of mortgage income. From the second quarter of 2020 through the first quarter of 2021, we experienced a strong demand for mortgage refinances and home purchases following the drop in interest rates in early 2020. During the second quarter of 2021, the demand for refinances began to decrease as rates increased, resulting in a decrease in the volume of mortgage rate locks compared to the same period of 2020. Overall mortgage originations for the three and six months ended June 30, 2021 surpassed that of the respective periods of 2020 as the demand for home purchases remained strong. Offsetting strong mortgage origination demand, during the three months ended June 30, 2021 and 2020, we recorded negative fair value adjustments to the mortgage servicing rights asset of $2.58 million and $1.78 million, respectively, as projected mortgage prepayments accelerated as interest rates decreased. Additionally, our gain on sale spread for the second quarter of 2021 of 3.86% decreased compared to 4.24% for the second quarter of 2020 contributing to the decrease in mortgage loan gains.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42" w:name="page43"/>
    <w:bookmarkEnd w:id="42"/>
    <w:p>
      <w:pPr>
        <w:ind w:left="20"/>
        <w:spacing w:after="0"/>
        <w:rPr>
          <w:sz w:val="20"/>
          <w:szCs w:val="20"/>
          <w:color w:val="auto"/>
        </w:rPr>
      </w:pPr>
      <w:r>
        <w:rPr>
          <w:rFonts w:ascii="Arial" w:cs="Arial" w:eastAsia="Arial" w:hAnsi="Arial"/>
          <w:sz w:val="18"/>
          <w:szCs w:val="18"/>
          <w:b w:val="1"/>
          <w:bCs w:val="1"/>
          <w:color w:val="auto"/>
        </w:rPr>
        <w:t>Table 6 - Selected Mortgage Metrics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(dollars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8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500" w:type="dxa"/>
            <w:vAlign w:val="bottom"/>
            <w:tcBorders>
              <w:top w:val="single" w:sz="8" w:color="auto"/>
            </w:tcBorders>
            <w:gridSpan w:val="7"/>
          </w:tcPr>
          <w:p>
            <w:pPr>
              <w:ind w:left="540"/>
              <w:spacing w:after="0"/>
              <w:rPr>
                <w:sz w:val="20"/>
                <w:szCs w:val="20"/>
                <w:color w:val="auto"/>
              </w:rPr>
            </w:pPr>
            <w:r>
              <w:rPr>
                <w:rFonts w:ascii="Arial" w:cs="Arial" w:eastAsia="Arial" w:hAnsi="Arial"/>
                <w:sz w:val="16"/>
                <w:szCs w:val="16"/>
                <w:b w:val="1"/>
                <w:bCs w:val="1"/>
                <w:color w:val="auto"/>
              </w:rPr>
              <w:t>Three Months Ended June 30,</w:t>
            </w:r>
          </w:p>
        </w:tc>
        <w:tc>
          <w:tcPr>
            <w:tcW w:w="240" w:type="dxa"/>
            <w:vAlign w:val="bottom"/>
            <w:tcBorders>
              <w:top w:val="single" w:sz="8" w:color="auto"/>
            </w:tcBorders>
          </w:tcPr>
          <w:p>
            <w:pPr>
              <w:spacing w:after="0"/>
              <w:rPr>
                <w:sz w:val="18"/>
                <w:szCs w:val="18"/>
                <w:color w:val="auto"/>
              </w:rPr>
            </w:pPr>
          </w:p>
        </w:tc>
        <w:tc>
          <w:tcPr>
            <w:tcW w:w="3440" w:type="dxa"/>
            <w:vAlign w:val="bottom"/>
            <w:tcBorders>
              <w:top w:val="single" w:sz="8" w:color="auto"/>
            </w:tcBorders>
            <w:gridSpan w:val="6"/>
          </w:tcPr>
          <w:p>
            <w:pPr>
              <w:jc w:val="right"/>
              <w:ind w:right="819"/>
              <w:spacing w:after="0"/>
              <w:rPr>
                <w:sz w:val="20"/>
                <w:szCs w:val="20"/>
                <w:color w:val="auto"/>
              </w:rPr>
            </w:pPr>
            <w:r>
              <w:rPr>
                <w:rFonts w:ascii="Arial" w:cs="Arial" w:eastAsia="Arial" w:hAnsi="Arial"/>
                <w:sz w:val="16"/>
                <w:szCs w:val="16"/>
                <w:b w:val="1"/>
                <w:bCs w:val="1"/>
                <w:color w:val="auto"/>
              </w:rPr>
              <w:t>Six Months Ended June 30,</w:t>
            </w:r>
          </w:p>
        </w:tc>
      </w:tr>
      <w:tr>
        <w:trPr>
          <w:trHeight w:val="207"/>
        </w:trPr>
        <w:tc>
          <w:tcPr>
            <w:tcW w:w="38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top w:val="single" w:sz="8" w:color="auto"/>
              <w:bottom w:val="single" w:sz="8" w:color="CCEEFF"/>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Change</w:t>
            </w:r>
          </w:p>
        </w:tc>
        <w:tc>
          <w:tcPr>
            <w:tcW w:w="8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top w:val="single" w:sz="8" w:color="auto"/>
              <w:bottom w:val="single" w:sz="8" w:color="CCEEFF"/>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212"/>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Mortgage rate locks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701,666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801,836</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1,695,005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1,602,493</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6 %</w:t>
            </w:r>
          </w:p>
        </w:tc>
      </w:tr>
      <w:tr>
        <w:trPr>
          <w:trHeight w:val="213"/>
        </w:trPr>
        <w:tc>
          <w:tcPr>
            <w:tcW w:w="3820" w:type="dxa"/>
            <w:vAlign w:val="bottom"/>
          </w:tcPr>
          <w:p>
            <w:pPr>
              <w:ind w:left="20"/>
              <w:spacing w:after="0"/>
              <w:rPr>
                <w:sz w:val="20"/>
                <w:szCs w:val="20"/>
                <w:color w:val="auto"/>
              </w:rPr>
            </w:pPr>
            <w:r>
              <w:rPr>
                <w:rFonts w:ascii="Arial" w:cs="Arial" w:eastAsia="Arial" w:hAnsi="Arial"/>
                <w:sz w:val="16"/>
                <w:szCs w:val="16"/>
                <w:color w:val="auto"/>
              </w:rPr>
              <w:t># of mortgage rate locks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2,090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2,981</w:t>
            </w:r>
          </w:p>
        </w:tc>
        <w:tc>
          <w:tcPr>
            <w:tcW w:w="1340" w:type="dxa"/>
            <w:vAlign w:val="bottom"/>
            <w:gridSpan w:val="2"/>
          </w:tcPr>
          <w:p>
            <w:pPr>
              <w:jc w:val="right"/>
              <w:ind w:right="79"/>
              <w:spacing w:after="0"/>
              <w:rPr>
                <w:sz w:val="20"/>
                <w:szCs w:val="20"/>
                <w:color w:val="auto"/>
              </w:rPr>
            </w:pPr>
            <w:r>
              <w:rPr>
                <w:rFonts w:ascii="Arial" w:cs="Arial" w:eastAsia="Arial" w:hAnsi="Arial"/>
                <w:sz w:val="16"/>
                <w:szCs w:val="16"/>
                <w:color w:val="auto"/>
              </w:rPr>
              <w:t>(30)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5,072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5,877</w:t>
            </w:r>
          </w:p>
        </w:tc>
        <w:tc>
          <w:tcPr>
            <w:tcW w:w="1340" w:type="dxa"/>
            <w:vAlign w:val="bottom"/>
            <w:gridSpan w:val="2"/>
          </w:tcPr>
          <w:p>
            <w:pPr>
              <w:jc w:val="right"/>
              <w:ind w:right="79"/>
              <w:spacing w:after="0"/>
              <w:rPr>
                <w:sz w:val="20"/>
                <w:szCs w:val="20"/>
                <w:color w:val="auto"/>
              </w:rPr>
            </w:pPr>
            <w:r>
              <w:rPr>
                <w:rFonts w:ascii="Arial" w:cs="Arial" w:eastAsia="Arial" w:hAnsi="Arial"/>
                <w:sz w:val="16"/>
                <w:szCs w:val="16"/>
                <w:color w:val="auto"/>
              </w:rPr>
              <w:t>(14)</w:t>
            </w:r>
          </w:p>
        </w:tc>
      </w:tr>
      <w:tr>
        <w:trPr>
          <w:trHeight w:val="219"/>
        </w:trPr>
        <w:tc>
          <w:tcPr>
            <w:tcW w:w="3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3820" w:type="dxa"/>
            <w:vAlign w:val="bottom"/>
          </w:tcPr>
          <w:p>
            <w:pPr>
              <w:ind w:left="20"/>
              <w:spacing w:after="0"/>
              <w:rPr>
                <w:sz w:val="20"/>
                <w:szCs w:val="20"/>
                <w:color w:val="auto"/>
              </w:rPr>
            </w:pPr>
            <w:r>
              <w:rPr>
                <w:rFonts w:ascii="Arial" w:cs="Arial" w:eastAsia="Arial" w:hAnsi="Arial"/>
                <w:sz w:val="16"/>
                <w:szCs w:val="16"/>
                <w:color w:val="auto"/>
              </w:rPr>
              <w:t>Mortgage loans sold</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407,468</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395,406</w:t>
            </w:r>
          </w:p>
        </w:tc>
        <w:tc>
          <w:tcPr>
            <w:tcW w:w="1340" w:type="dxa"/>
            <w:vAlign w:val="bottom"/>
            <w:gridSpan w:val="2"/>
          </w:tcPr>
          <w:p>
            <w:pPr>
              <w:jc w:val="right"/>
              <w:ind w:right="119"/>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743,141</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654,518</w:t>
            </w:r>
          </w:p>
        </w:tc>
        <w:tc>
          <w:tcPr>
            <w:tcW w:w="1340" w:type="dxa"/>
            <w:vAlign w:val="bottom"/>
            <w:gridSpan w:val="2"/>
          </w:tcPr>
          <w:p>
            <w:pPr>
              <w:jc w:val="right"/>
              <w:ind w:right="119"/>
              <w:spacing w:after="0"/>
              <w:rPr>
                <w:sz w:val="20"/>
                <w:szCs w:val="20"/>
                <w:color w:val="auto"/>
              </w:rPr>
            </w:pPr>
            <w:r>
              <w:rPr>
                <w:rFonts w:ascii="Arial" w:cs="Arial" w:eastAsia="Arial" w:hAnsi="Arial"/>
                <w:sz w:val="16"/>
                <w:szCs w:val="16"/>
                <w:color w:val="auto"/>
              </w:rPr>
              <w:t>14</w:t>
            </w:r>
          </w:p>
        </w:tc>
      </w:tr>
      <w:tr>
        <w:trPr>
          <w:trHeight w:val="219"/>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 of mortgage loans sold</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1,712</w:t>
            </w:r>
          </w:p>
        </w:tc>
        <w:tc>
          <w:tcPr>
            <w:tcW w:w="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2,870</w:t>
            </w:r>
          </w:p>
        </w:tc>
        <w:tc>
          <w:tcPr>
            <w:tcW w:w="134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8</w:t>
            </w:r>
          </w:p>
        </w:tc>
      </w:tr>
      <w:tr>
        <w:trPr>
          <w:trHeight w:val="216"/>
        </w:trPr>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Mortgage loans originated: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3"/>
        </w:trPr>
        <w:tc>
          <w:tcPr>
            <w:tcW w:w="3820" w:type="dxa"/>
            <w:vAlign w:val="bottom"/>
          </w:tcPr>
          <w:p>
            <w:pPr>
              <w:ind w:left="140"/>
              <w:spacing w:after="0"/>
              <w:rPr>
                <w:sz w:val="20"/>
                <w:szCs w:val="20"/>
                <w:color w:val="auto"/>
              </w:rPr>
            </w:pPr>
            <w:r>
              <w:rPr>
                <w:rFonts w:ascii="Arial" w:cs="Arial" w:eastAsia="Arial" w:hAnsi="Arial"/>
                <w:sz w:val="16"/>
                <w:szCs w:val="16"/>
                <w:color w:val="auto"/>
              </w:rPr>
              <w:t>Purchases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406,552</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242,920</w:t>
            </w:r>
          </w:p>
        </w:tc>
        <w:tc>
          <w:tcPr>
            <w:tcW w:w="1340" w:type="dxa"/>
            <w:vAlign w:val="bottom"/>
            <w:gridSpan w:val="2"/>
          </w:tcPr>
          <w:p>
            <w:pPr>
              <w:jc w:val="right"/>
              <w:ind w:right="119"/>
              <w:spacing w:after="0"/>
              <w:rPr>
                <w:sz w:val="20"/>
                <w:szCs w:val="20"/>
                <w:color w:val="auto"/>
              </w:rPr>
            </w:pPr>
            <w:r>
              <w:rPr>
                <w:rFonts w:ascii="Arial" w:cs="Arial" w:eastAsia="Arial" w:hAnsi="Arial"/>
                <w:sz w:val="16"/>
                <w:szCs w:val="16"/>
                <w:color w:val="auto"/>
              </w:rPr>
              <w:t>67</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699,471</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461,498</w:t>
            </w:r>
          </w:p>
        </w:tc>
        <w:tc>
          <w:tcPr>
            <w:tcW w:w="1340" w:type="dxa"/>
            <w:vAlign w:val="bottom"/>
            <w:gridSpan w:val="2"/>
          </w:tcPr>
          <w:p>
            <w:pPr>
              <w:jc w:val="right"/>
              <w:ind w:right="119"/>
              <w:spacing w:after="0"/>
              <w:rPr>
                <w:sz w:val="20"/>
                <w:szCs w:val="20"/>
                <w:color w:val="auto"/>
              </w:rPr>
            </w:pPr>
            <w:r>
              <w:rPr>
                <w:rFonts w:ascii="Arial" w:cs="Arial" w:eastAsia="Arial" w:hAnsi="Arial"/>
                <w:sz w:val="16"/>
                <w:szCs w:val="16"/>
                <w:color w:val="auto"/>
              </w:rPr>
              <w:t>52</w:t>
            </w:r>
          </w:p>
        </w:tc>
      </w:tr>
      <w:tr>
        <w:trPr>
          <w:trHeight w:val="216"/>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Refinances</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271,850</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318,868</w:t>
            </w:r>
          </w:p>
        </w:tc>
        <w:tc>
          <w:tcPr>
            <w:tcW w:w="13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(15)</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635,403</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488,149</w:t>
            </w:r>
          </w:p>
        </w:tc>
        <w:tc>
          <w:tcPr>
            <w:tcW w:w="134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30</w:t>
            </w:r>
          </w:p>
        </w:tc>
      </w:tr>
      <w:tr>
        <w:trPr>
          <w:trHeight w:val="213"/>
        </w:trPr>
        <w:tc>
          <w:tcPr>
            <w:tcW w:w="3820" w:type="dxa"/>
            <w:vAlign w:val="bottom"/>
          </w:tcPr>
          <w:p>
            <w:pPr>
              <w:ind w:left="24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678,402</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561,788</w:t>
            </w:r>
          </w:p>
        </w:tc>
        <w:tc>
          <w:tcPr>
            <w:tcW w:w="1340" w:type="dxa"/>
            <w:vAlign w:val="bottom"/>
            <w:gridSpan w:val="2"/>
          </w:tcPr>
          <w:p>
            <w:pPr>
              <w:jc w:val="right"/>
              <w:ind w:right="119"/>
              <w:spacing w:after="0"/>
              <w:rPr>
                <w:sz w:val="20"/>
                <w:szCs w:val="20"/>
                <w:color w:val="auto"/>
              </w:rPr>
            </w:pPr>
            <w:r>
              <w:rPr>
                <w:rFonts w:ascii="Arial" w:cs="Arial" w:eastAsia="Arial" w:hAnsi="Arial"/>
                <w:sz w:val="16"/>
                <w:szCs w:val="16"/>
                <w:color w:val="auto"/>
              </w:rPr>
              <w:t>21</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1,334,874</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949,647</w:t>
            </w:r>
          </w:p>
        </w:tc>
        <w:tc>
          <w:tcPr>
            <w:tcW w:w="1340" w:type="dxa"/>
            <w:vAlign w:val="bottom"/>
            <w:gridSpan w:val="2"/>
          </w:tcPr>
          <w:p>
            <w:pPr>
              <w:jc w:val="right"/>
              <w:ind w:right="119"/>
              <w:spacing w:after="0"/>
              <w:rPr>
                <w:sz w:val="20"/>
                <w:szCs w:val="20"/>
                <w:color w:val="auto"/>
              </w:rPr>
            </w:pPr>
            <w:r>
              <w:rPr>
                <w:rFonts w:ascii="Arial" w:cs="Arial" w:eastAsia="Arial" w:hAnsi="Arial"/>
                <w:sz w:val="16"/>
                <w:szCs w:val="16"/>
                <w:color w:val="auto"/>
              </w:rPr>
              <w:t>41</w:t>
            </w:r>
          </w:p>
        </w:tc>
      </w:tr>
      <w:tr>
        <w:trPr>
          <w:trHeight w:val="20"/>
        </w:trPr>
        <w:tc>
          <w:tcPr>
            <w:tcW w:w="38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r>
      <w:tr>
        <w:trPr>
          <w:trHeight w:val="183"/>
        </w:trPr>
        <w:tc>
          <w:tcPr>
            <w:tcW w:w="3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10"/>
        </w:trPr>
        <w:tc>
          <w:tcPr>
            <w:tcW w:w="3820" w:type="dxa"/>
            <w:vAlign w:val="bottom"/>
          </w:tcPr>
          <w:p>
            <w:pPr>
              <w:ind w:left="20"/>
              <w:spacing w:after="0"/>
              <w:rPr>
                <w:sz w:val="20"/>
                <w:szCs w:val="20"/>
                <w:color w:val="auto"/>
              </w:rPr>
            </w:pPr>
            <w:r>
              <w:rPr>
                <w:rFonts w:ascii="Arial" w:cs="Arial" w:eastAsia="Arial" w:hAnsi="Arial"/>
                <w:sz w:val="16"/>
                <w:szCs w:val="16"/>
                <w:color w:val="auto"/>
              </w:rPr>
              <w:t># of mortgage loans originated</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1,992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2,095</w:t>
            </w:r>
          </w:p>
        </w:tc>
        <w:tc>
          <w:tcPr>
            <w:tcW w:w="1340" w:type="dxa"/>
            <w:vAlign w:val="bottom"/>
            <w:gridSpan w:val="2"/>
          </w:tcPr>
          <w:p>
            <w:pPr>
              <w:jc w:val="right"/>
              <w:ind w:right="79"/>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4,134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3,565</w:t>
            </w:r>
          </w:p>
        </w:tc>
        <w:tc>
          <w:tcPr>
            <w:tcW w:w="1340" w:type="dxa"/>
            <w:vAlign w:val="bottom"/>
            <w:gridSpan w:val="2"/>
          </w:tcPr>
          <w:p>
            <w:pPr>
              <w:jc w:val="right"/>
              <w:ind w:right="119"/>
              <w:spacing w:after="0"/>
              <w:rPr>
                <w:sz w:val="20"/>
                <w:szCs w:val="20"/>
                <w:color w:val="auto"/>
              </w:rPr>
            </w:pPr>
            <w:r>
              <w:rPr>
                <w:rFonts w:ascii="Arial" w:cs="Arial" w:eastAsia="Arial" w:hAnsi="Arial"/>
                <w:sz w:val="16"/>
                <w:szCs w:val="16"/>
                <w:color w:val="auto"/>
              </w:rPr>
              <w:t>16</w:t>
            </w:r>
          </w:p>
        </w:tc>
      </w:tr>
    </w:tbl>
    <w:p>
      <w:pPr>
        <w:spacing w:after="0" w:line="30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Gains on the sale of other loans for the second quarter and first six months of 2021 were up significantly compared to the same periods of 2020 mostly due to the sale of equipment financing loans and leases and USDA renewable energy loans in the second quarter of 2021. Our SBA/USDA lending strategy includes selling a portion of the loan production each quarter. The amount of loans sold depends on several variables including the current lending environment and balance sheet management activities. From time to time, we also sell certain equipment financing receivables based on market conditions. The following table presents loans sold and the corresponding gains or losses recognized on the sale for the periods indicated.</w:t>
      </w:r>
    </w:p>
    <w:p>
      <w:pPr>
        <w:spacing w:after="0" w:line="24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Table 7 - Other Loan Sales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2180" w:type="dxa"/>
            <w:vAlign w:val="bottom"/>
            <w:tcBorders>
              <w:top w:val="single" w:sz="8" w:color="auto"/>
              <w:bottom w:val="single" w:sz="8" w:color="auto"/>
            </w:tcBorders>
            <w:gridSpan w:val="7"/>
          </w:tcPr>
          <w:p>
            <w:pPr>
              <w:ind w:left="60"/>
              <w:spacing w:after="0"/>
              <w:rPr>
                <w:sz w:val="20"/>
                <w:szCs w:val="20"/>
                <w:color w:val="auto"/>
              </w:rPr>
            </w:pPr>
            <w:r>
              <w:rPr>
                <w:rFonts w:ascii="Arial" w:cs="Arial" w:eastAsia="Arial" w:hAnsi="Arial"/>
                <w:sz w:val="16"/>
                <w:szCs w:val="16"/>
                <w:b w:val="1"/>
                <w:bCs w:val="1"/>
                <w:color w:val="auto"/>
                <w:w w:val="92"/>
              </w:rPr>
              <w:t>Three Months Ended June 30,</w:t>
            </w:r>
          </w:p>
        </w:tc>
        <w:tc>
          <w:tcPr>
            <w:tcW w:w="3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080" w:type="dxa"/>
            <w:vAlign w:val="bottom"/>
            <w:tcBorders>
              <w:top w:val="single" w:sz="8" w:color="auto"/>
              <w:bottom w:val="single" w:sz="8" w:color="auto"/>
            </w:tcBorders>
            <w:gridSpan w:val="6"/>
          </w:tcPr>
          <w:p>
            <w:pPr>
              <w:ind w:left="40"/>
              <w:spacing w:after="0"/>
              <w:rPr>
                <w:sz w:val="20"/>
                <w:szCs w:val="20"/>
                <w:color w:val="auto"/>
              </w:rPr>
            </w:pPr>
            <w:r>
              <w:rPr>
                <w:rFonts w:ascii="Arial" w:cs="Arial" w:eastAsia="Arial" w:hAnsi="Arial"/>
                <w:sz w:val="16"/>
                <w:szCs w:val="16"/>
                <w:b w:val="1"/>
                <w:bCs w:val="1"/>
                <w:color w:val="auto"/>
                <w:w w:val="97"/>
              </w:rPr>
              <w:t>Six Months Ended June 30,</w:t>
            </w:r>
          </w:p>
        </w:tc>
        <w:tc>
          <w:tcPr>
            <w:tcW w:w="3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r>
      <w:tr>
        <w:trPr>
          <w:trHeight w:val="207"/>
        </w:trPr>
        <w:tc>
          <w:tcPr>
            <w:tcW w:w="30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6"/>
                <w:szCs w:val="16"/>
                <w:b w:val="1"/>
                <w:bCs w:val="1"/>
                <w:color w:val="auto"/>
              </w:rPr>
              <w:t>2021</w:t>
            </w:r>
          </w:p>
        </w:tc>
        <w:tc>
          <w:tcPr>
            <w:tcW w:w="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6"/>
                <w:szCs w:val="16"/>
                <w:b w:val="1"/>
                <w:bCs w:val="1"/>
                <w:color w:val="auto"/>
              </w:rPr>
              <w:t>2020</w:t>
            </w:r>
          </w:p>
        </w:tc>
        <w:tc>
          <w:tcPr>
            <w:tcW w:w="6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6"/>
                <w:szCs w:val="16"/>
                <w:b w:val="1"/>
                <w:bCs w:val="1"/>
                <w:color w:val="auto"/>
              </w:rPr>
              <w:t>2021</w:t>
            </w:r>
          </w:p>
        </w:tc>
        <w:tc>
          <w:tcPr>
            <w:tcW w:w="6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6"/>
                <w:szCs w:val="16"/>
                <w:b w:val="1"/>
                <w:bCs w:val="1"/>
                <w:color w:val="auto"/>
              </w:rPr>
              <w:t>2020</w:t>
            </w:r>
          </w:p>
        </w:tc>
        <w:tc>
          <w:tcPr>
            <w:tcW w:w="640" w:type="dxa"/>
            <w:vAlign w:val="bottom"/>
            <w:tcBorders>
              <w:bottom w:val="single" w:sz="8" w:color="auto"/>
            </w:tcBorders>
          </w:tcPr>
          <w:p>
            <w:pPr>
              <w:spacing w:after="0"/>
              <w:rPr>
                <w:sz w:val="17"/>
                <w:szCs w:val="17"/>
                <w:color w:val="auto"/>
              </w:rPr>
            </w:pPr>
          </w:p>
        </w:tc>
      </w:tr>
      <w:tr>
        <w:trPr>
          <w:trHeight w:val="210"/>
        </w:trPr>
        <w:tc>
          <w:tcPr>
            <w:tcW w:w="30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5"/>
              </w:rPr>
              <w:t>Loans Sold</w:t>
            </w:r>
          </w:p>
        </w:tc>
        <w:tc>
          <w:tcPr>
            <w:tcW w:w="1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5"/>
              </w:rPr>
              <w:t>Gain (Loss)</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7"/>
              </w:rPr>
              <w:t>Loans Sold</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7"/>
              </w:rPr>
              <w:t>Gain (Loss)</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7"/>
              </w:rPr>
              <w:t>Loans Sold</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7"/>
              </w:rPr>
              <w:t>Gain (Loss)</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7"/>
              </w:rPr>
              <w:t>Loans Sold</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7"/>
              </w:rPr>
              <w:t>Gain (Loss)</w:t>
            </w:r>
          </w:p>
        </w:tc>
      </w:tr>
      <w:tr>
        <w:trPr>
          <w:trHeight w:val="212"/>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Guaranteed portion of SBA/USDA loans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32,303</w:t>
            </w:r>
          </w:p>
        </w:tc>
        <w:tc>
          <w:tcPr>
            <w:tcW w:w="42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14,035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43,648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18,069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1,436</w:t>
            </w:r>
          </w:p>
        </w:tc>
      </w:tr>
      <w:tr>
        <w:trPr>
          <w:trHeight w:val="213"/>
        </w:trPr>
        <w:tc>
          <w:tcPr>
            <w:tcW w:w="3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Equipment financing receivables</w:t>
            </w: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18,908</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19,967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23,921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1,278</w:t>
            </w:r>
          </w:p>
        </w:tc>
      </w:tr>
      <w:tr>
        <w:trPr>
          <w:trHeight w:val="233"/>
        </w:trPr>
        <w:tc>
          <w:tcPr>
            <w:tcW w:w="3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51,211</w:t>
            </w:r>
          </w:p>
        </w:tc>
        <w:tc>
          <w:tcPr>
            <w:tcW w:w="42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15,739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63,615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41,990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2,714</w:t>
            </w: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brokerage and wealth management fees during the second quarter and first six months of 2021 from the same periods of 2020 was primarily a result of the addition of the Three Shores wealth management business.</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Other noninterest income for the for the three and six months ended June 30, 2021 increased from the same periods of 2020 primarily due to positive fair value adjustments on deferred compensation plan assets and other investments compared to negative fair value adjustments during the first half of 2020 resulting from the COVID-19 pandemic related market disruption. The increase in lending and loan servicing fees also contributed to the increase in other income, which was mostly attributable to volume driven fee income from our equipment finance business. These increases were offset by a decrease in BOLI income compared to three and six months ended June 30, 2020, which included a death benefit gain of $1.10 million. Customer derivative income also decreased for the three and six months ended June 30, 2021 compared to the same periods of 2020 due to increases in interest rates negatively impacting the demand for customer derivative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Noninterest Expenses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noninterest expenses for the periods indicated.</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Table 8 - Noninterest Expenses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16"/>
                <w:szCs w:val="16"/>
                <w:color w:val="auto"/>
              </w:rPr>
            </w:pPr>
          </w:p>
        </w:tc>
        <w:tc>
          <w:tcPr>
            <w:tcW w:w="1920" w:type="dxa"/>
            <w:vAlign w:val="bottom"/>
            <w:gridSpan w:val="4"/>
            <w:vMerge w:val="restart"/>
          </w:tcPr>
          <w:p>
            <w:pPr>
              <w:ind w:left="580"/>
              <w:spacing w:after="0"/>
              <w:rPr>
                <w:sz w:val="20"/>
                <w:szCs w:val="20"/>
                <w:color w:val="auto"/>
              </w:rPr>
            </w:pPr>
            <w:r>
              <w:rPr>
                <w:rFonts w:ascii="Arial" w:cs="Arial" w:eastAsia="Arial" w:hAnsi="Arial"/>
                <w:sz w:val="16"/>
                <w:szCs w:val="16"/>
                <w:b w:val="1"/>
                <w:bCs w:val="1"/>
                <w:color w:val="auto"/>
              </w:rPr>
              <w:t>Change</w:t>
            </w:r>
          </w:p>
        </w:tc>
        <w:tc>
          <w:tcPr>
            <w:tcW w:w="220" w:type="dxa"/>
            <w:vAlign w:val="bottom"/>
          </w:tcPr>
          <w:p>
            <w:pPr>
              <w:spacing w:after="0"/>
              <w:rPr>
                <w:sz w:val="16"/>
                <w:szCs w:val="16"/>
                <w:color w:val="auto"/>
              </w:rPr>
            </w:pPr>
          </w:p>
        </w:tc>
        <w:tc>
          <w:tcPr>
            <w:tcW w:w="2020" w:type="dxa"/>
            <w:vAlign w:val="bottom"/>
            <w:gridSpan w:val="5"/>
          </w:tcPr>
          <w:p>
            <w:pPr>
              <w:ind w:left="200"/>
              <w:spacing w:after="0"/>
              <w:rPr>
                <w:sz w:val="20"/>
                <w:szCs w:val="20"/>
                <w:color w:val="auto"/>
              </w:rPr>
            </w:pPr>
            <w:r>
              <w:rPr>
                <w:rFonts w:ascii="Arial" w:cs="Arial" w:eastAsia="Arial" w:hAnsi="Arial"/>
                <w:sz w:val="16"/>
                <w:szCs w:val="16"/>
                <w:b w:val="1"/>
                <w:bCs w:val="1"/>
                <w:color w:val="auto"/>
              </w:rPr>
              <w:t>Six Months Ended</w:t>
            </w:r>
          </w:p>
        </w:tc>
        <w:tc>
          <w:tcPr>
            <w:tcW w:w="140" w:type="dxa"/>
            <w:vAlign w:val="bottom"/>
          </w:tcPr>
          <w:p>
            <w:pPr>
              <w:spacing w:after="0"/>
              <w:rPr>
                <w:sz w:val="16"/>
                <w:szCs w:val="16"/>
                <w:color w:val="auto"/>
              </w:rPr>
            </w:pPr>
          </w:p>
        </w:tc>
        <w:tc>
          <w:tcPr>
            <w:tcW w:w="1820" w:type="dxa"/>
            <w:vAlign w:val="bottom"/>
            <w:gridSpan w:val="3"/>
            <w:vMerge w:val="restart"/>
          </w:tcPr>
          <w:p>
            <w:pPr>
              <w:jc w:val="right"/>
              <w:ind w:right="63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3"/>
        </w:trPr>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4"/>
            <w:vMerge w:val="continue"/>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9"/>
              </w:rPr>
              <w:t>Amount</w:t>
            </w:r>
          </w:p>
        </w:tc>
        <w:tc>
          <w:tcPr>
            <w:tcW w:w="120" w:type="dxa"/>
            <w:vAlign w:val="bottom"/>
            <w:tcBorders>
              <w:top w:val="single" w:sz="8" w:color="auto"/>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Percent</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9"/>
              </w:rPr>
              <w:t>Amount</w:t>
            </w:r>
          </w:p>
        </w:tc>
        <w:tc>
          <w:tcPr>
            <w:tcW w:w="100" w:type="dxa"/>
            <w:vAlign w:val="bottom"/>
            <w:tcBorders>
              <w:top w:val="single" w:sz="8" w:color="auto"/>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212"/>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Salaries and employee benefits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59,414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7,603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119,999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103,169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16,830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Arial" w:cs="Arial" w:eastAsia="Arial" w:hAnsi="Arial"/>
                <w:sz w:val="16"/>
                <w:szCs w:val="16"/>
                <w:color w:val="auto"/>
              </w:rPr>
              <w:t>Communications and equipment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7,408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6,556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852</w:t>
            </w:r>
          </w:p>
        </w:tc>
        <w:tc>
          <w:tcPr>
            <w:tcW w:w="1040" w:type="dxa"/>
            <w:vAlign w:val="bottom"/>
            <w:gridSpan w:val="2"/>
          </w:tcPr>
          <w:p>
            <w:pPr>
              <w:jc w:val="right"/>
              <w:ind w:right="11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14,611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12,502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2,109</w:t>
            </w:r>
          </w:p>
        </w:tc>
        <w:tc>
          <w:tcPr>
            <w:tcW w:w="1020" w:type="dxa"/>
            <w:vAlign w:val="bottom"/>
            <w:gridSpan w:val="2"/>
          </w:tcPr>
          <w:p>
            <w:pPr>
              <w:jc w:val="right"/>
              <w:ind w:right="119"/>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9"/>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Occupancy</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1,133</w:t>
            </w:r>
          </w:p>
        </w:tc>
        <w:tc>
          <w:tcPr>
            <w:tcW w:w="104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2,375</w:t>
            </w:r>
          </w:p>
        </w:tc>
        <w:tc>
          <w:tcPr>
            <w:tcW w:w="102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Arial" w:cs="Arial" w:eastAsia="Arial" w:hAnsi="Arial"/>
                <w:sz w:val="16"/>
                <w:szCs w:val="16"/>
                <w:color w:val="auto"/>
              </w:rPr>
              <w:t>Advertising and public relations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1,493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2,260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(767)</w:t>
            </w:r>
          </w:p>
        </w:tc>
        <w:tc>
          <w:tcPr>
            <w:tcW w:w="1040" w:type="dxa"/>
            <w:vAlign w:val="bottom"/>
            <w:gridSpan w:val="2"/>
          </w:tcPr>
          <w:p>
            <w:pPr>
              <w:jc w:val="right"/>
              <w:ind w:right="79"/>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2,692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3,534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(842)</w:t>
            </w:r>
          </w:p>
        </w:tc>
        <w:tc>
          <w:tcPr>
            <w:tcW w:w="1020" w:type="dxa"/>
            <w:vAlign w:val="bottom"/>
            <w:gridSpan w:val="2"/>
          </w:tcPr>
          <w:p>
            <w:pPr>
              <w:jc w:val="right"/>
              <w:ind w:right="79"/>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9"/>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Postage, printing and supplies</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02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Arial" w:cs="Arial" w:eastAsia="Arial" w:hAnsi="Arial"/>
                <w:sz w:val="16"/>
                <w:szCs w:val="16"/>
                <w:color w:val="auto"/>
              </w:rPr>
              <w:t>Professional fees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4,928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4,823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105</w:t>
            </w:r>
          </w:p>
        </w:tc>
        <w:tc>
          <w:tcPr>
            <w:tcW w:w="1040" w:type="dxa"/>
            <w:vAlign w:val="bottom"/>
            <w:gridSpan w:val="2"/>
          </w:tcPr>
          <w:p>
            <w:pPr>
              <w:jc w:val="right"/>
              <w:ind w:right="1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9,162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8,920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242</w:t>
            </w:r>
          </w:p>
        </w:tc>
        <w:tc>
          <w:tcPr>
            <w:tcW w:w="1020" w:type="dxa"/>
            <w:vAlign w:val="bottom"/>
            <w:gridSpan w:val="2"/>
          </w:tcPr>
          <w:p>
            <w:pPr>
              <w:jc w:val="right"/>
              <w:ind w:right="1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9"/>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Lending and loan servicing expense</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w:t>
            </w:r>
          </w:p>
        </w:tc>
        <w:tc>
          <w:tcPr>
            <w:tcW w:w="102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Arial" w:cs="Arial" w:eastAsia="Arial" w:hAnsi="Arial"/>
                <w:sz w:val="16"/>
                <w:szCs w:val="16"/>
                <w:color w:val="auto"/>
              </w:rPr>
              <w:t>Outside services - electronic banking</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2,285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489</w:t>
            </w:r>
          </w:p>
        </w:tc>
        <w:tc>
          <w:tcPr>
            <w:tcW w:w="1040" w:type="dxa"/>
            <w:vAlign w:val="bottom"/>
            <w:gridSpan w:val="2"/>
          </w:tcPr>
          <w:p>
            <w:pPr>
              <w:jc w:val="right"/>
              <w:ind w:right="11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4,503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3,628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875</w:t>
            </w:r>
          </w:p>
        </w:tc>
        <w:tc>
          <w:tcPr>
            <w:tcW w:w="1020" w:type="dxa"/>
            <w:vAlign w:val="bottom"/>
            <w:gridSpan w:val="2"/>
          </w:tcPr>
          <w:p>
            <w:pPr>
              <w:jc w:val="right"/>
              <w:ind w:right="119"/>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169"/>
        </w:trPr>
        <w:tc>
          <w:tcPr>
            <w:tcW w:w="27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6"/>
              </w:rPr>
              <w:t>FDIC assessments and other regulatory</w:t>
            </w: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1,901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1,558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343</w:t>
            </w:r>
          </w:p>
        </w:tc>
        <w:tc>
          <w:tcPr>
            <w:tcW w:w="1040" w:type="dxa"/>
            <w:vAlign w:val="bottom"/>
            <w:gridSpan w:val="2"/>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3,797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3,042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755</w:t>
            </w:r>
          </w:p>
        </w:tc>
        <w:tc>
          <w:tcPr>
            <w:tcW w:w="1020" w:type="dxa"/>
            <w:vAlign w:val="bottom"/>
            <w:gridSpan w:val="2"/>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2"/>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charges</w:t>
            </w:r>
          </w:p>
        </w:tc>
        <w:tc>
          <w:tcPr>
            <w:tcW w:w="2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Arial" w:cs="Arial" w:eastAsia="Arial" w:hAnsi="Arial"/>
                <w:sz w:val="16"/>
                <w:szCs w:val="16"/>
                <w:color w:val="auto"/>
              </w:rPr>
              <w:t>Amortization of intangibles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929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(58)</w:t>
            </w:r>
          </w:p>
        </w:tc>
        <w:tc>
          <w:tcPr>
            <w:tcW w:w="1040" w:type="dxa"/>
            <w:vAlign w:val="bottom"/>
            <w:gridSpan w:val="2"/>
          </w:tcPr>
          <w:p>
            <w:pPr>
              <w:jc w:val="right"/>
              <w:ind w:right="7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1,914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(113)</w:t>
            </w:r>
          </w:p>
        </w:tc>
        <w:tc>
          <w:tcPr>
            <w:tcW w:w="1020" w:type="dxa"/>
            <w:vAlign w:val="bottom"/>
            <w:gridSpan w:val="2"/>
          </w:tcPr>
          <w:p>
            <w:pPr>
              <w:jc w:val="right"/>
              <w:ind w:right="7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9"/>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1,182</w:t>
            </w:r>
          </w:p>
        </w:tc>
        <w:tc>
          <w:tcPr>
            <w:tcW w:w="104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7,903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7,067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836</w:t>
            </w:r>
          </w:p>
        </w:tc>
        <w:tc>
          <w:tcPr>
            <w:tcW w:w="102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46"/>
        </w:trPr>
        <w:tc>
          <w:tcPr>
            <w:tcW w:w="2780" w:type="dxa"/>
            <w:vAlign w:val="bottom"/>
          </w:tcPr>
          <w:p>
            <w:pPr>
              <w:ind w:left="140"/>
              <w:spacing w:after="0" w:line="146" w:lineRule="exact"/>
              <w:rPr>
                <w:sz w:val="20"/>
                <w:szCs w:val="20"/>
                <w:color w:val="auto"/>
              </w:rPr>
            </w:pPr>
            <w:r>
              <w:rPr>
                <w:rFonts w:ascii="Arial" w:cs="Arial" w:eastAsia="Arial" w:hAnsi="Arial"/>
                <w:sz w:val="16"/>
                <w:szCs w:val="16"/>
                <w:color w:val="auto"/>
              </w:rPr>
              <w:t>Total excluding merger-related and</w:t>
            </w:r>
          </w:p>
        </w:tc>
        <w:tc>
          <w:tcPr>
            <w:tcW w:w="2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94,462</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83,583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10,879</w:t>
            </w:r>
          </w:p>
        </w:tc>
        <w:tc>
          <w:tcPr>
            <w:tcW w:w="1040" w:type="dxa"/>
            <w:vAlign w:val="bottom"/>
            <w:gridSpan w:val="2"/>
            <w:vMerge w:val="restart"/>
          </w:tcPr>
          <w:p>
            <w:pPr>
              <w:jc w:val="right"/>
              <w:ind w:right="11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188,113</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164,313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23,800</w:t>
            </w:r>
          </w:p>
        </w:tc>
        <w:tc>
          <w:tcPr>
            <w:tcW w:w="1020" w:type="dxa"/>
            <w:vAlign w:val="bottom"/>
            <w:gridSpan w:val="2"/>
            <w:vMerge w:val="restart"/>
          </w:tcPr>
          <w:p>
            <w:pPr>
              <w:jc w:val="right"/>
              <w:ind w:right="119"/>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9"/>
        </w:trPr>
        <w:tc>
          <w:tcPr>
            <w:tcW w:w="2780" w:type="dxa"/>
            <w:vAlign w:val="bottom"/>
          </w:tcPr>
          <w:p>
            <w:pPr>
              <w:ind w:left="140"/>
              <w:spacing w:after="0"/>
              <w:rPr>
                <w:sz w:val="20"/>
                <w:szCs w:val="20"/>
                <w:color w:val="auto"/>
              </w:rPr>
            </w:pPr>
            <w:r>
              <w:rPr>
                <w:rFonts w:ascii="Arial" w:cs="Arial" w:eastAsia="Arial" w:hAnsi="Arial"/>
                <w:sz w:val="16"/>
                <w:szCs w:val="16"/>
                <w:color w:val="auto"/>
              </w:rPr>
              <w:t>other charges</w:t>
            </w: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Merger-related and other charges</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681</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1,416</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780" w:type="dxa"/>
            <w:vAlign w:val="bottom"/>
          </w:tcPr>
          <w:p>
            <w:pPr>
              <w:ind w:left="140"/>
              <w:spacing w:after="0"/>
              <w:rPr>
                <w:sz w:val="20"/>
                <w:szCs w:val="20"/>
                <w:color w:val="auto"/>
              </w:rPr>
            </w:pPr>
            <w:r>
              <w:rPr>
                <w:rFonts w:ascii="Arial" w:cs="Arial" w:eastAsia="Arial" w:hAnsi="Arial"/>
                <w:sz w:val="16"/>
                <w:szCs w:val="16"/>
                <w:color w:val="auto"/>
              </w:rPr>
              <w:t>Total noninterest expenses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95,540</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83,980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11,560</w:t>
            </w:r>
          </w:p>
        </w:tc>
        <w:tc>
          <w:tcPr>
            <w:tcW w:w="1040" w:type="dxa"/>
            <w:vAlign w:val="bottom"/>
            <w:gridSpan w:val="2"/>
          </w:tcPr>
          <w:p>
            <w:pPr>
              <w:jc w:val="right"/>
              <w:ind w:right="11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190,734</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165,518</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25,216</w:t>
            </w:r>
          </w:p>
        </w:tc>
        <w:tc>
          <w:tcPr>
            <w:tcW w:w="1020" w:type="dxa"/>
            <w:vAlign w:val="bottom"/>
            <w:gridSpan w:val="2"/>
          </w:tcPr>
          <w:p>
            <w:pPr>
              <w:jc w:val="right"/>
              <w:ind w:right="11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
        </w:trPr>
        <w:tc>
          <w:tcPr>
            <w:tcW w:w="2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Salaries and employee benefits for the second quarter and first six months of 2021 increased from the same periods of 2020 as a result of several factors including growth in our employee base from the acquisition of Three Shores as well as increased mortgage commissions and other incentives resulting from increased production and strong performance. The increase also reflected our merit-based salary increases awarded during the second quarter of 2021. These increases in expense were partially offset by higher deferred loan origination costs related to increases in loan production. Full-time equivalent headcount totaled 2,440 at June 30, 2021, up from 2,297 at June 30, 2020.</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Communications and equipment expense increased for the second quarter and first six months of 2021 compared to the same periods of 2020 primarily due to incremental software contract costs. The increase in occupancy costs was mostly attributable to the addition of operating lease costs associated with the acquired Three Shores’ locations. Advertising and public relations expense for the three and six months ended June 30, 2021 decreased relative to the same periods of 2020 as 2020 included contributions to the United Community Bank Foundation in its inaugural year. The increase in outside services - electronic banking primarily related to increased internet banking costs.</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Merger-related and other charges for the second quarter and first six months of 2021 primarily consisted of expenses associated with the acquisitions of Three Shores and FinTrust. Merger-related and other charges for the three and six months ended June 30, 2020 were mostly related to the acquisition of Three Shores.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Review</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Total assets at June 30, 2021 and December 31, 2020 were $18.9 billion and $17.8 billion, respectively. Total liabilities at June 30, 2021 and December 31, 2020 were $16.8 billion and $15.8 billion, respectively. Shareholders’ equity totaled $2.09 billion and $2.01 billion at June 30, 2021 and December 31, 2020, respectively. The increase in assets was primarily evident in our investment portfolio, which we have strategically grown by $1.28 billion during 2021 to deploy excess liquidity provided by PPP loan forgiveness and growth in our customer deposits.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loan portfolio is our largest category of interest-earning assets. The following table presents a summary by loan type of the loan portfolio, of which approximately 71% was secured by real estate at June 30, 2021.</w:t>
      </w:r>
    </w:p>
    <w:p>
      <w:pPr>
        <w:sectPr>
          <w:pgSz w:w="11900" w:h="16838" w:orient="portrait"/>
          <w:cols w:equalWidth="0" w:num="1">
            <w:col w:w="11240"/>
          </w:cols>
          <w:pgMar w:left="320" w:top="9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44" w:name="page45"/>
    <w:bookmarkEnd w:id="44"/>
    <w:p>
      <w:pPr>
        <w:ind w:left="20"/>
        <w:spacing w:after="0"/>
        <w:rPr>
          <w:sz w:val="20"/>
          <w:szCs w:val="20"/>
          <w:color w:val="auto"/>
        </w:rPr>
      </w:pPr>
      <w:r>
        <w:rPr>
          <w:rFonts w:ascii="Arial" w:cs="Arial" w:eastAsia="Arial" w:hAnsi="Arial"/>
          <w:sz w:val="18"/>
          <w:szCs w:val="18"/>
          <w:b w:val="1"/>
          <w:bCs w:val="1"/>
          <w:color w:val="auto"/>
        </w:rPr>
        <w:t>Table 9 - Loans Outstanding</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gridSpan w:val="4"/>
          </w:tcPr>
          <w:p>
            <w:pPr>
              <w:ind w:left="860"/>
              <w:spacing w:after="0"/>
              <w:rPr>
                <w:sz w:val="20"/>
                <w:szCs w:val="20"/>
                <w:color w:val="auto"/>
              </w:rPr>
            </w:pPr>
            <w:r>
              <w:rPr>
                <w:rFonts w:ascii="Arial" w:cs="Arial" w:eastAsia="Arial" w:hAnsi="Arial"/>
                <w:sz w:val="16"/>
                <w:szCs w:val="16"/>
                <w:b w:val="1"/>
                <w:bCs w:val="1"/>
                <w:color w:val="auto"/>
              </w:rPr>
              <w:t>June 30, 2021</w:t>
            </w:r>
          </w:p>
        </w:tc>
        <w:tc>
          <w:tcPr>
            <w:tcW w:w="220" w:type="dxa"/>
            <w:vAlign w:val="bottom"/>
          </w:tcPr>
          <w:p>
            <w:pPr>
              <w:spacing w:after="0"/>
              <w:rPr>
                <w:sz w:val="18"/>
                <w:szCs w:val="18"/>
                <w:color w:val="auto"/>
              </w:rPr>
            </w:pPr>
          </w:p>
        </w:tc>
        <w:tc>
          <w:tcPr>
            <w:tcW w:w="2880" w:type="dxa"/>
            <w:vAlign w:val="bottom"/>
            <w:gridSpan w:val="3"/>
          </w:tcPr>
          <w:p>
            <w:pPr>
              <w:jc w:val="right"/>
              <w:ind w:right="819"/>
              <w:spacing w:after="0"/>
              <w:rPr>
                <w:sz w:val="20"/>
                <w:szCs w:val="20"/>
                <w:color w:val="auto"/>
              </w:rPr>
            </w:pPr>
            <w:r>
              <w:rPr>
                <w:rFonts w:ascii="Arial" w:cs="Arial" w:eastAsia="Arial" w:hAnsi="Arial"/>
                <w:sz w:val="16"/>
                <w:szCs w:val="16"/>
                <w:b w:val="1"/>
                <w:bCs w:val="1"/>
                <w:color w:val="auto"/>
              </w:rPr>
              <w:t>December 31, 2020</w:t>
            </w:r>
          </w:p>
        </w:tc>
      </w:tr>
      <w:tr>
        <w:trPr>
          <w:trHeight w:val="210"/>
        </w:trPr>
        <w:tc>
          <w:tcPr>
            <w:tcW w:w="49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Amortized Cost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 of total loans</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Amortized Cost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8"/>
              </w:rPr>
              <w:t>% of total loans</w:t>
            </w:r>
          </w:p>
        </w:tc>
      </w:tr>
      <w:tr>
        <w:trPr>
          <w:trHeight w:val="212"/>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Owner occupied commercial real estate</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2,149,371</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2,090,443</w:t>
            </w: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18 %</w:t>
            </w:r>
          </w:p>
        </w:tc>
      </w:tr>
      <w:tr>
        <w:trPr>
          <w:trHeight w:val="213"/>
        </w:trPr>
        <w:tc>
          <w:tcPr>
            <w:tcW w:w="4960" w:type="dxa"/>
            <w:vAlign w:val="bottom"/>
          </w:tcPr>
          <w:p>
            <w:pPr>
              <w:ind w:left="20"/>
              <w:spacing w:after="0"/>
              <w:rPr>
                <w:sz w:val="20"/>
                <w:szCs w:val="20"/>
                <w:color w:val="auto"/>
              </w:rPr>
            </w:pPr>
            <w:r>
              <w:rPr>
                <w:rFonts w:ascii="Arial" w:cs="Arial" w:eastAsia="Arial" w:hAnsi="Arial"/>
                <w:sz w:val="16"/>
                <w:szCs w:val="16"/>
                <w:color w:val="auto"/>
              </w:rPr>
              <w:t>Income producing commercial real estate</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2,550,243</w:t>
            </w:r>
          </w:p>
        </w:tc>
        <w:tc>
          <w:tcPr>
            <w:tcW w:w="10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2,540,750</w:t>
            </w:r>
          </w:p>
        </w:tc>
        <w:tc>
          <w:tcPr>
            <w:tcW w:w="10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22</w:t>
            </w:r>
          </w:p>
        </w:tc>
      </w:tr>
      <w:tr>
        <w:trPr>
          <w:trHeight w:val="219"/>
        </w:trPr>
        <w:tc>
          <w:tcPr>
            <w:tcW w:w="496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Commercial &amp; industrial </w:t>
            </w:r>
            <w:r>
              <w:rPr>
                <w:rFonts w:ascii="Arial" w:cs="Arial" w:eastAsia="Arial" w:hAnsi="Arial"/>
                <w:sz w:val="21"/>
                <w:szCs w:val="21"/>
                <w:color w:val="auto"/>
                <w:vertAlign w:val="superscript"/>
              </w:rPr>
              <w:t>(1)</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2,234,646</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2,498,560</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w:t>
            </w:r>
          </w:p>
        </w:tc>
      </w:tr>
      <w:tr>
        <w:trPr>
          <w:trHeight w:val="213"/>
        </w:trPr>
        <w:tc>
          <w:tcPr>
            <w:tcW w:w="4960" w:type="dxa"/>
            <w:vAlign w:val="bottom"/>
          </w:tcPr>
          <w:p>
            <w:pPr>
              <w:ind w:left="20"/>
              <w:spacing w:after="0"/>
              <w:rPr>
                <w:sz w:val="20"/>
                <w:szCs w:val="20"/>
                <w:color w:val="auto"/>
              </w:rPr>
            </w:pPr>
            <w:r>
              <w:rPr>
                <w:rFonts w:ascii="Arial" w:cs="Arial" w:eastAsia="Arial" w:hAnsi="Arial"/>
                <w:sz w:val="16"/>
                <w:szCs w:val="16"/>
                <w:color w:val="auto"/>
              </w:rPr>
              <w:t>Commercial construction</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926,809</w:t>
            </w:r>
          </w:p>
        </w:tc>
        <w:tc>
          <w:tcPr>
            <w:tcW w:w="10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967,305</w:t>
            </w:r>
          </w:p>
        </w:tc>
        <w:tc>
          <w:tcPr>
            <w:tcW w:w="10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9</w:t>
            </w:r>
          </w:p>
        </w:tc>
      </w:tr>
      <w:tr>
        <w:trPr>
          <w:trHeight w:val="219"/>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Equipment financing</w:t>
            </w: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968,805</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863,830</w:t>
            </w: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w:t>
            </w:r>
          </w:p>
        </w:tc>
      </w:tr>
      <w:tr>
        <w:trPr>
          <w:trHeight w:val="207"/>
        </w:trPr>
        <w:tc>
          <w:tcPr>
            <w:tcW w:w="4960" w:type="dxa"/>
            <w:vAlign w:val="bottom"/>
          </w:tcPr>
          <w:p>
            <w:pPr>
              <w:ind w:left="220"/>
              <w:spacing w:after="0"/>
              <w:rPr>
                <w:sz w:val="20"/>
                <w:szCs w:val="20"/>
                <w:color w:val="auto"/>
              </w:rPr>
            </w:pPr>
            <w:r>
              <w:rPr>
                <w:rFonts w:ascii="Arial" w:cs="Arial" w:eastAsia="Arial" w:hAnsi="Arial"/>
                <w:sz w:val="16"/>
                <w:szCs w:val="16"/>
                <w:color w:val="auto"/>
              </w:rPr>
              <w:t>Total commercial</w:t>
            </w: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8,829,874</w:t>
            </w:r>
          </w:p>
        </w:tc>
        <w:tc>
          <w:tcPr>
            <w:tcW w:w="100" w:type="dxa"/>
            <w:vAlign w:val="bottom"/>
          </w:tcPr>
          <w:p>
            <w:pPr>
              <w:spacing w:after="0"/>
              <w:rPr>
                <w:sz w:val="17"/>
                <w:szCs w:val="17"/>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8,960,888</w:t>
            </w:r>
          </w:p>
        </w:tc>
        <w:tc>
          <w:tcPr>
            <w:tcW w:w="100" w:type="dxa"/>
            <w:vAlign w:val="bottom"/>
          </w:tcPr>
          <w:p>
            <w:pPr>
              <w:spacing w:after="0"/>
              <w:rPr>
                <w:sz w:val="17"/>
                <w:szCs w:val="17"/>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79</w:t>
            </w:r>
          </w:p>
        </w:tc>
      </w:tr>
      <w:tr>
        <w:trPr>
          <w:trHeight w:val="219"/>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Residential mortgage</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1,472,608</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1,284,920</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w:t>
            </w:r>
          </w:p>
        </w:tc>
      </w:tr>
      <w:tr>
        <w:trPr>
          <w:trHeight w:val="213"/>
        </w:trPr>
        <w:tc>
          <w:tcPr>
            <w:tcW w:w="4960" w:type="dxa"/>
            <w:vAlign w:val="bottom"/>
          </w:tcPr>
          <w:p>
            <w:pPr>
              <w:ind w:left="20"/>
              <w:spacing w:after="0"/>
              <w:rPr>
                <w:sz w:val="20"/>
                <w:szCs w:val="20"/>
                <w:color w:val="auto"/>
              </w:rPr>
            </w:pPr>
            <w:r>
              <w:rPr>
                <w:rFonts w:ascii="Arial" w:cs="Arial" w:eastAsia="Arial" w:hAnsi="Arial"/>
                <w:sz w:val="16"/>
                <w:szCs w:val="16"/>
                <w:color w:val="auto"/>
              </w:rPr>
              <w:t>HELOC</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660,881</w:t>
            </w:r>
          </w:p>
        </w:tc>
        <w:tc>
          <w:tcPr>
            <w:tcW w:w="10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697,117</w:t>
            </w:r>
          </w:p>
        </w:tc>
        <w:tc>
          <w:tcPr>
            <w:tcW w:w="10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6</w:t>
            </w:r>
          </w:p>
        </w:tc>
      </w:tr>
      <w:tr>
        <w:trPr>
          <w:trHeight w:val="219"/>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Residential construction</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288,708</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281,430</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w:t>
            </w:r>
          </w:p>
        </w:tc>
      </w:tr>
      <w:tr>
        <w:trPr>
          <w:trHeight w:val="213"/>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Consumer</w:t>
            </w: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138,675</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146,460</w:t>
            </w: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w:t>
            </w:r>
          </w:p>
        </w:tc>
      </w:tr>
      <w:tr>
        <w:trPr>
          <w:trHeight w:val="238"/>
        </w:trPr>
        <w:tc>
          <w:tcPr>
            <w:tcW w:w="4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loans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11,390,746</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11,370,815</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160" w:hanging="152"/>
        <w:spacing w:after="0"/>
        <w:tabs>
          <w:tab w:leader="none" w:pos="16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Commercial and industrial loans as of June 30, 2021 and December 31, 2020 included $472 million and $646 million of PPP loans,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Quality and Risk Elements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We manage asset quality and control credit risk through review and oversight of the loan portfolio as well as adherence to policies designed to promote sound underwriting and loan monitoring practices. Our credit risk management function is responsible for monitoring asset quality and Board approved portfolio concentration limits, establishing credit policies and procedures and enforcing the consistent application of these policies and procedures. Additional information on our credit administration function is included in Part I, Item 1 under the heading </w:t>
      </w:r>
      <w:r>
        <w:rPr>
          <w:rFonts w:ascii="Arial" w:cs="Arial" w:eastAsia="Arial" w:hAnsi="Arial"/>
          <w:sz w:val="16"/>
          <w:szCs w:val="16"/>
          <w:i w:val="1"/>
          <w:iCs w:val="1"/>
          <w:color w:val="auto"/>
        </w:rPr>
        <w:t>Lending Activities</w:t>
      </w:r>
      <w:r>
        <w:rPr>
          <w:rFonts w:ascii="Arial" w:cs="Arial" w:eastAsia="Arial" w:hAnsi="Arial"/>
          <w:sz w:val="16"/>
          <w:szCs w:val="16"/>
          <w:color w:val="auto"/>
        </w:rPr>
        <w:t xml:space="preserve"> in our 2020 10-K.</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conduct reviews of classified performing and non-performing loans, TDRs, past due loans and portfolio concentrations on a regular basis to identify risk migration and potential charges to the ACL. These items are discussed in a series of meetings attended by credit risk management leadership and leadership from various lending groups. In addition to the reviews mentioned above, an independent loan review team reviews the portfolio to ensure consistent application of risk rating policies and procedures.</w:t>
      </w:r>
    </w:p>
    <w:p>
      <w:pPr>
        <w:spacing w:after="0" w:line="21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The ACL reflects management’s assessment of the life of loan expected credit losses in the loan portfolio and unfunded loan commitments. This assessment involves uncertainty and judgment and is subject to change in future periods. The amount of any changes could be significant if management’s assessment of loan quality or collateral values changes substantially with respect to one or more loan relationships or portfolios. The allocation of the ACL is based on reasonable and supportable forecasts, historical data, subjective judgment and estimates and therefore, is not necessarily indicative of the specific amounts or loan categories in which charge-offs may ultimately occur. In addition, bank regulatory authorities, as part of their periodic examination of the Bank, may require adjustments to the provision for credit losses in future periods if, in their opinion, the results of their review warrant such additions. See the </w:t>
      </w:r>
      <w:r>
        <w:rPr>
          <w:rFonts w:ascii="Arial" w:cs="Arial" w:eastAsia="Arial" w:hAnsi="Arial"/>
          <w:sz w:val="16"/>
          <w:szCs w:val="16"/>
          <w:i w:val="1"/>
          <w:iCs w:val="1"/>
          <w:color w:val="auto"/>
        </w:rPr>
        <w:t>Critical Accounting Policies</w:t>
      </w:r>
      <w:r>
        <w:rPr>
          <w:rFonts w:ascii="Arial" w:cs="Arial" w:eastAsia="Arial" w:hAnsi="Arial"/>
          <w:sz w:val="16"/>
          <w:szCs w:val="16"/>
          <w:color w:val="auto"/>
        </w:rPr>
        <w:t xml:space="preserve"> section of MD&amp;A in our 2020 10-K for additional information on the allowance for credit losses.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The following table presents a summary of the changes in the ACL for the periods indicated.</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Table 10 - ACL</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60" w:type="dxa"/>
            <w:vAlign w:val="bottom"/>
            <w:gridSpan w:val="5"/>
          </w:tcPr>
          <w:p>
            <w:pPr>
              <w:ind w:left="40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6"/>
                <w:szCs w:val="16"/>
                <w:color w:val="auto"/>
              </w:rPr>
            </w:pPr>
          </w:p>
        </w:tc>
        <w:tc>
          <w:tcPr>
            <w:tcW w:w="254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rPr>
              <w:t>Six Months Ended</w:t>
            </w:r>
          </w:p>
        </w:tc>
      </w:tr>
      <w:tr>
        <w:trPr>
          <w:trHeight w:val="213"/>
        </w:trPr>
        <w:tc>
          <w:tcPr>
            <w:tcW w:w="55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June 30,</w:t>
            </w: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June 30,</w:t>
            </w:r>
          </w:p>
        </w:tc>
        <w:tc>
          <w:tcPr>
            <w:tcW w:w="1020" w:type="dxa"/>
            <w:vAlign w:val="bottom"/>
            <w:tcBorders>
              <w:bottom w:val="single" w:sz="8" w:color="auto"/>
            </w:tcBorders>
          </w:tcPr>
          <w:p>
            <w:pPr>
              <w:spacing w:after="0"/>
              <w:rPr>
                <w:sz w:val="18"/>
                <w:szCs w:val="18"/>
                <w:color w:val="auto"/>
              </w:rPr>
            </w:pPr>
          </w:p>
        </w:tc>
      </w:tr>
      <w:tr>
        <w:trPr>
          <w:trHeight w:val="209"/>
        </w:trPr>
        <w:tc>
          <w:tcPr>
            <w:tcW w:w="55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r>
      <w:tr>
        <w:trPr>
          <w:trHeight w:val="212"/>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ACL - loans, beginning of period</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126,866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81,905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137,010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62,089</w:t>
            </w:r>
          </w:p>
        </w:tc>
      </w:tr>
      <w:tr>
        <w:trPr>
          <w:trHeight w:val="213"/>
        </w:trPr>
        <w:tc>
          <w:tcPr>
            <w:tcW w:w="5520" w:type="dxa"/>
            <w:vAlign w:val="bottom"/>
          </w:tcPr>
          <w:p>
            <w:pPr>
              <w:ind w:left="20"/>
              <w:spacing w:after="0"/>
              <w:rPr>
                <w:sz w:val="20"/>
                <w:szCs w:val="20"/>
                <w:color w:val="auto"/>
              </w:rPr>
            </w:pPr>
            <w:r>
              <w:rPr>
                <w:rFonts w:ascii="Arial" w:cs="Arial" w:eastAsia="Arial" w:hAnsi="Arial"/>
                <w:sz w:val="16"/>
                <w:szCs w:val="16"/>
                <w:color w:val="auto"/>
              </w:rPr>
              <w:t>Adoption of CECL</w:t>
            </w:r>
          </w:p>
        </w:tc>
        <w:tc>
          <w:tcPr>
            <w:tcW w:w="26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6,880</w:t>
            </w:r>
          </w:p>
        </w:tc>
      </w:tr>
      <w:tr>
        <w:trPr>
          <w:trHeight w:val="213"/>
        </w:trPr>
        <w:tc>
          <w:tcPr>
            <w:tcW w:w="5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ACL - loans, adjusted beginning balance</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126,866</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81,905</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137,010</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68,969</w:t>
            </w:r>
          </w:p>
        </w:tc>
      </w:tr>
      <w:tr>
        <w:trPr>
          <w:trHeight w:val="193"/>
        </w:trPr>
        <w:tc>
          <w:tcPr>
            <w:tcW w:w="5520" w:type="dxa"/>
            <w:vAlign w:val="bottom"/>
          </w:tcPr>
          <w:p>
            <w:pPr>
              <w:ind w:left="20"/>
              <w:spacing w:after="0"/>
              <w:rPr>
                <w:sz w:val="20"/>
                <w:szCs w:val="20"/>
                <w:color w:val="auto"/>
              </w:rPr>
            </w:pPr>
            <w:r>
              <w:rPr>
                <w:rFonts w:ascii="Arial" w:cs="Arial" w:eastAsia="Arial" w:hAnsi="Arial"/>
                <w:sz w:val="16"/>
                <w:szCs w:val="16"/>
                <w:color w:val="auto"/>
              </w:rPr>
              <w:t>Charge-offs:</w:t>
            </w: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9"/>
        </w:trPr>
        <w:tc>
          <w:tcPr>
            <w:tcW w:w="5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Owner occupied commercial real estate</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w:t>
            </w:r>
          </w:p>
        </w:tc>
      </w:tr>
      <w:tr>
        <w:trPr>
          <w:trHeight w:val="213"/>
        </w:trPr>
        <w:tc>
          <w:tcPr>
            <w:tcW w:w="5520" w:type="dxa"/>
            <w:vAlign w:val="bottom"/>
          </w:tcPr>
          <w:p>
            <w:pPr>
              <w:ind w:left="140"/>
              <w:spacing w:after="0"/>
              <w:rPr>
                <w:sz w:val="20"/>
                <w:szCs w:val="20"/>
                <w:color w:val="auto"/>
              </w:rPr>
            </w:pPr>
            <w:r>
              <w:rPr>
                <w:rFonts w:ascii="Arial" w:cs="Arial" w:eastAsia="Arial" w:hAnsi="Arial"/>
                <w:sz w:val="16"/>
                <w:szCs w:val="16"/>
                <w:color w:val="auto"/>
              </w:rPr>
              <w:t>Income producing commercial real estate</w:t>
            </w:r>
          </w:p>
        </w:tc>
        <w:tc>
          <w:tcPr>
            <w:tcW w:w="2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4,589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1,059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5,000</w:t>
            </w:r>
          </w:p>
        </w:tc>
      </w:tr>
      <w:tr>
        <w:trPr>
          <w:trHeight w:val="219"/>
        </w:trPr>
        <w:tc>
          <w:tcPr>
            <w:tcW w:w="5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Commercial &amp; industrial</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857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254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3,751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7,815</w:t>
            </w:r>
          </w:p>
        </w:tc>
      </w:tr>
      <w:tr>
        <w:trPr>
          <w:trHeight w:val="213"/>
        </w:trPr>
        <w:tc>
          <w:tcPr>
            <w:tcW w:w="5520" w:type="dxa"/>
            <w:vAlign w:val="bottom"/>
          </w:tcPr>
          <w:p>
            <w:pPr>
              <w:ind w:left="140"/>
              <w:spacing w:after="0"/>
              <w:rPr>
                <w:sz w:val="20"/>
                <w:szCs w:val="20"/>
                <w:color w:val="auto"/>
              </w:rPr>
            </w:pPr>
            <w:r>
              <w:rPr>
                <w:rFonts w:ascii="Arial" w:cs="Arial" w:eastAsia="Arial" w:hAnsi="Arial"/>
                <w:sz w:val="16"/>
                <w:szCs w:val="16"/>
                <w:color w:val="auto"/>
              </w:rPr>
              <w:t>Commercial construction</w:t>
            </w:r>
          </w:p>
        </w:tc>
        <w:tc>
          <w:tcPr>
            <w:tcW w:w="2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239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224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239</w:t>
            </w:r>
          </w:p>
        </w:tc>
      </w:tr>
      <w:tr>
        <w:trPr>
          <w:trHeight w:val="219"/>
        </w:trPr>
        <w:tc>
          <w:tcPr>
            <w:tcW w:w="5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Equipment financing</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1,188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2,085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3,246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3,948</w:t>
            </w:r>
          </w:p>
        </w:tc>
      </w:tr>
      <w:tr>
        <w:trPr>
          <w:trHeight w:val="213"/>
        </w:trPr>
        <w:tc>
          <w:tcPr>
            <w:tcW w:w="5520" w:type="dxa"/>
            <w:vAlign w:val="bottom"/>
          </w:tcPr>
          <w:p>
            <w:pPr>
              <w:ind w:left="140"/>
              <w:spacing w:after="0"/>
              <w:rPr>
                <w:sz w:val="20"/>
                <w:szCs w:val="20"/>
                <w:color w:val="auto"/>
              </w:rPr>
            </w:pPr>
            <w:r>
              <w:rPr>
                <w:rFonts w:ascii="Arial" w:cs="Arial" w:eastAsia="Arial" w:hAnsi="Arial"/>
                <w:sz w:val="16"/>
                <w:szCs w:val="16"/>
                <w:color w:val="auto"/>
              </w:rPr>
              <w:t>Residential mortgage</w:t>
            </w:r>
          </w:p>
        </w:tc>
        <w:tc>
          <w:tcPr>
            <w:tcW w:w="26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334</w:t>
            </w:r>
          </w:p>
        </w:tc>
      </w:tr>
      <w:tr>
        <w:trPr>
          <w:trHeight w:val="219"/>
        </w:trPr>
        <w:tc>
          <w:tcPr>
            <w:tcW w:w="5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HELOC</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118</w:t>
            </w:r>
          </w:p>
        </w:tc>
      </w:tr>
      <w:tr>
        <w:trPr>
          <w:trHeight w:val="213"/>
        </w:trPr>
        <w:tc>
          <w:tcPr>
            <w:tcW w:w="5520" w:type="dxa"/>
            <w:vAlign w:val="bottom"/>
          </w:tcPr>
          <w:p>
            <w:pPr>
              <w:ind w:left="140"/>
              <w:spacing w:after="0"/>
              <w:rPr>
                <w:sz w:val="20"/>
                <w:szCs w:val="20"/>
                <w:color w:val="auto"/>
              </w:rPr>
            </w:pPr>
            <w:r>
              <w:rPr>
                <w:rFonts w:ascii="Arial" w:cs="Arial" w:eastAsia="Arial" w:hAnsi="Arial"/>
                <w:sz w:val="16"/>
                <w:szCs w:val="16"/>
                <w:color w:val="auto"/>
              </w:rPr>
              <w:t>Residential construction</w:t>
            </w:r>
          </w:p>
        </w:tc>
        <w:tc>
          <w:tcPr>
            <w:tcW w:w="26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54</w:t>
            </w:r>
          </w:p>
        </w:tc>
      </w:tr>
      <w:tr>
        <w:trPr>
          <w:trHeight w:val="219"/>
        </w:trPr>
        <w:tc>
          <w:tcPr>
            <w:tcW w:w="5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Consumer</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353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712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824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1,350</w:t>
            </w:r>
          </w:p>
        </w:tc>
      </w:tr>
      <w:tr>
        <w:trPr>
          <w:trHeight w:val="207"/>
        </w:trPr>
        <w:tc>
          <w:tcPr>
            <w:tcW w:w="55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charge-offs</w:t>
            </w: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2,531</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8,059</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9,364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18,864</w:t>
            </w:r>
          </w:p>
        </w:tc>
      </w:tr>
      <w:tr>
        <w:trPr>
          <w:trHeight w:val="199"/>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Recoveries:</w:t>
            </w: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3"/>
        </w:trPr>
        <w:tc>
          <w:tcPr>
            <w:tcW w:w="5520" w:type="dxa"/>
            <w:vAlign w:val="bottom"/>
          </w:tcPr>
          <w:p>
            <w:pPr>
              <w:ind w:left="140"/>
              <w:spacing w:after="0"/>
              <w:rPr>
                <w:sz w:val="20"/>
                <w:szCs w:val="20"/>
                <w:color w:val="auto"/>
              </w:rPr>
            </w:pPr>
            <w:r>
              <w:rPr>
                <w:rFonts w:ascii="Arial" w:cs="Arial" w:eastAsia="Arial" w:hAnsi="Arial"/>
                <w:sz w:val="16"/>
                <w:szCs w:val="16"/>
                <w:color w:val="auto"/>
              </w:rPr>
              <w:t>Owner occupied commercial real estate</w:t>
            </w:r>
          </w:p>
        </w:tc>
        <w:tc>
          <w:tcPr>
            <w:tcW w:w="2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156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466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396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1,500</w:t>
            </w:r>
          </w:p>
        </w:tc>
      </w:tr>
      <w:tr>
        <w:trPr>
          <w:trHeight w:val="219"/>
        </w:trPr>
        <w:tc>
          <w:tcPr>
            <w:tcW w:w="5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producing commercial real estate</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213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182</w:t>
            </w:r>
          </w:p>
        </w:tc>
      </w:tr>
      <w:tr>
        <w:trPr>
          <w:trHeight w:val="213"/>
        </w:trPr>
        <w:tc>
          <w:tcPr>
            <w:tcW w:w="5520" w:type="dxa"/>
            <w:vAlign w:val="bottom"/>
          </w:tcPr>
          <w:p>
            <w:pPr>
              <w:ind w:left="140"/>
              <w:spacing w:after="0"/>
              <w:rPr>
                <w:sz w:val="20"/>
                <w:szCs w:val="20"/>
                <w:color w:val="auto"/>
              </w:rPr>
            </w:pPr>
            <w:r>
              <w:rPr>
                <w:rFonts w:ascii="Arial" w:cs="Arial" w:eastAsia="Arial" w:hAnsi="Arial"/>
                <w:sz w:val="16"/>
                <w:szCs w:val="16"/>
                <w:color w:val="auto"/>
              </w:rPr>
              <w:t>Commercial &amp; industrial</w:t>
            </w:r>
          </w:p>
        </w:tc>
        <w:tc>
          <w:tcPr>
            <w:tcW w:w="2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797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291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6,444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667</w:t>
            </w:r>
          </w:p>
        </w:tc>
      </w:tr>
      <w:tr>
        <w:trPr>
          <w:trHeight w:val="219"/>
        </w:trPr>
        <w:tc>
          <w:tcPr>
            <w:tcW w:w="5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Commercial construction</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339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258</w:t>
            </w:r>
          </w:p>
        </w:tc>
      </w:tr>
      <w:tr>
        <w:trPr>
          <w:trHeight w:val="213"/>
        </w:trPr>
        <w:tc>
          <w:tcPr>
            <w:tcW w:w="5520" w:type="dxa"/>
            <w:vAlign w:val="bottom"/>
          </w:tcPr>
          <w:p>
            <w:pPr>
              <w:ind w:left="140"/>
              <w:spacing w:after="0"/>
              <w:rPr>
                <w:sz w:val="20"/>
                <w:szCs w:val="20"/>
                <w:color w:val="auto"/>
              </w:rPr>
            </w:pPr>
            <w:r>
              <w:rPr>
                <w:rFonts w:ascii="Arial" w:cs="Arial" w:eastAsia="Arial" w:hAnsi="Arial"/>
                <w:sz w:val="16"/>
                <w:szCs w:val="16"/>
                <w:color w:val="auto"/>
              </w:rPr>
              <w:t>Equipment financing</w:t>
            </w:r>
          </w:p>
        </w:tc>
        <w:tc>
          <w:tcPr>
            <w:tcW w:w="2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887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420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1,434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776</w:t>
            </w:r>
          </w:p>
        </w:tc>
      </w:tr>
      <w:tr>
        <w:trPr>
          <w:trHeight w:val="219"/>
        </w:trPr>
        <w:tc>
          <w:tcPr>
            <w:tcW w:w="5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Residential mortgage</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194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331</w:t>
            </w:r>
          </w:p>
        </w:tc>
      </w:tr>
      <w:tr>
        <w:trPr>
          <w:trHeight w:val="213"/>
        </w:trPr>
        <w:tc>
          <w:tcPr>
            <w:tcW w:w="5520" w:type="dxa"/>
            <w:vAlign w:val="bottom"/>
          </w:tcPr>
          <w:p>
            <w:pPr>
              <w:ind w:left="140"/>
              <w:spacing w:after="0"/>
              <w:rPr>
                <w:sz w:val="20"/>
                <w:szCs w:val="20"/>
                <w:color w:val="auto"/>
              </w:rPr>
            </w:pPr>
            <w:r>
              <w:rPr>
                <w:rFonts w:ascii="Arial" w:cs="Arial" w:eastAsia="Arial" w:hAnsi="Arial"/>
                <w:sz w:val="16"/>
                <w:szCs w:val="16"/>
                <w:color w:val="auto"/>
              </w:rPr>
              <w:t>HELOC</w:t>
            </w:r>
          </w:p>
        </w:tc>
        <w:tc>
          <w:tcPr>
            <w:tcW w:w="2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146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196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219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299</w:t>
            </w:r>
          </w:p>
        </w:tc>
      </w:tr>
      <w:tr>
        <w:trPr>
          <w:trHeight w:val="219"/>
        </w:trPr>
        <w:tc>
          <w:tcPr>
            <w:tcW w:w="5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Residential construction</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71</w:t>
            </w:r>
          </w:p>
        </w:tc>
      </w:tr>
      <w:tr>
        <w:trPr>
          <w:trHeight w:val="213"/>
        </w:trPr>
        <w:tc>
          <w:tcPr>
            <w:tcW w:w="55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Consumer</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222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286</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488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517</w:t>
            </w:r>
          </w:p>
        </w:tc>
      </w:tr>
      <w:tr>
        <w:trPr>
          <w:trHeight w:val="213"/>
        </w:trPr>
        <w:tc>
          <w:tcPr>
            <w:tcW w:w="5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recoveries</w:t>
            </w: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2,987</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1,910</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10,125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4,601</w:t>
            </w:r>
          </w:p>
        </w:tc>
      </w:tr>
      <w:tr>
        <w:trPr>
          <w:trHeight w:val="207"/>
        </w:trPr>
        <w:tc>
          <w:tcPr>
            <w:tcW w:w="55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Net (recoveries) charge-offs</w:t>
            </w: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(456)</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6,149</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(761)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14,263</w:t>
            </w:r>
          </w:p>
        </w:tc>
      </w:tr>
      <w:tr>
        <w:trPr>
          <w:trHeight w:val="213"/>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(Release of) provision for credit losses - loans</w:t>
            </w: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(15,706)</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27,913</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(26,155)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48,963</w:t>
            </w:r>
          </w:p>
        </w:tc>
      </w:tr>
      <w:tr>
        <w:trPr>
          <w:trHeight w:val="207"/>
        </w:trPr>
        <w:tc>
          <w:tcPr>
            <w:tcW w:w="5520" w:type="dxa"/>
            <w:vAlign w:val="bottom"/>
          </w:tcPr>
          <w:p>
            <w:pPr>
              <w:ind w:left="20"/>
              <w:spacing w:after="0"/>
              <w:rPr>
                <w:sz w:val="20"/>
                <w:szCs w:val="20"/>
                <w:color w:val="auto"/>
              </w:rPr>
            </w:pPr>
            <w:r>
              <w:rPr>
                <w:rFonts w:ascii="Arial" w:cs="Arial" w:eastAsia="Arial" w:hAnsi="Arial"/>
                <w:sz w:val="16"/>
                <w:szCs w:val="16"/>
                <w:color w:val="auto"/>
              </w:rPr>
              <w:t>ACL - loans, end of period</w:t>
            </w:r>
          </w:p>
        </w:tc>
        <w:tc>
          <w:tcPr>
            <w:tcW w:w="260" w:type="dxa"/>
            <w:vAlign w:val="bottom"/>
          </w:tcPr>
          <w:p>
            <w:pPr>
              <w:spacing w:after="0"/>
              <w:rPr>
                <w:sz w:val="17"/>
                <w:szCs w:val="17"/>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111,616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103,669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111,616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103,669</w:t>
            </w:r>
          </w:p>
        </w:tc>
      </w:tr>
      <w:tr>
        <w:trPr>
          <w:trHeight w:val="219"/>
        </w:trPr>
        <w:tc>
          <w:tcPr>
            <w:tcW w:w="55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5520" w:type="dxa"/>
            <w:vAlign w:val="bottom"/>
          </w:tcPr>
          <w:p>
            <w:pPr>
              <w:ind w:left="20"/>
              <w:spacing w:after="0"/>
              <w:rPr>
                <w:sz w:val="20"/>
                <w:szCs w:val="20"/>
                <w:color w:val="auto"/>
              </w:rPr>
            </w:pPr>
            <w:r>
              <w:rPr>
                <w:rFonts w:ascii="Arial" w:cs="Arial" w:eastAsia="Arial" w:hAnsi="Arial"/>
                <w:sz w:val="16"/>
                <w:szCs w:val="16"/>
                <w:color w:val="auto"/>
              </w:rPr>
              <w:t>ACL - unfunded commitments, beginning of period</w:t>
            </w:r>
          </w:p>
        </w:tc>
        <w:tc>
          <w:tcPr>
            <w:tcW w:w="2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8,726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6,470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10,558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3,458</w:t>
            </w:r>
          </w:p>
        </w:tc>
      </w:tr>
      <w:tr>
        <w:trPr>
          <w:trHeight w:val="219"/>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Adoption of CECL</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1,871</w:t>
            </w:r>
          </w:p>
        </w:tc>
      </w:tr>
      <w:tr>
        <w:trPr>
          <w:trHeight w:val="207"/>
        </w:trPr>
        <w:tc>
          <w:tcPr>
            <w:tcW w:w="5520" w:type="dxa"/>
            <w:vAlign w:val="bottom"/>
          </w:tcPr>
          <w:p>
            <w:pPr>
              <w:ind w:left="20"/>
              <w:spacing w:after="0"/>
              <w:rPr>
                <w:sz w:val="20"/>
                <w:szCs w:val="20"/>
                <w:color w:val="auto"/>
              </w:rPr>
            </w:pPr>
            <w:r>
              <w:rPr>
                <w:rFonts w:ascii="Arial" w:cs="Arial" w:eastAsia="Arial" w:hAnsi="Arial"/>
                <w:sz w:val="16"/>
                <w:szCs w:val="16"/>
                <w:color w:val="auto"/>
              </w:rPr>
              <w:t>ACL - unfunded commitments, adjusted beginning balance</w:t>
            </w:r>
          </w:p>
        </w:tc>
        <w:tc>
          <w:tcPr>
            <w:tcW w:w="2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8,726</w:t>
            </w: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6,470</w:t>
            </w: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10,558</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5,329</w:t>
            </w:r>
          </w:p>
        </w:tc>
      </w:tr>
      <w:tr>
        <w:trPr>
          <w:trHeight w:val="219"/>
        </w:trPr>
        <w:tc>
          <w:tcPr>
            <w:tcW w:w="5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Provision for credit losses - unfunded commitments</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2,118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5,630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286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6,771</w:t>
            </w:r>
          </w:p>
        </w:tc>
      </w:tr>
      <w:tr>
        <w:trPr>
          <w:trHeight w:val="206"/>
        </w:trPr>
        <w:tc>
          <w:tcPr>
            <w:tcW w:w="5520" w:type="dxa"/>
            <w:vAlign w:val="bottom"/>
          </w:tcPr>
          <w:p>
            <w:pPr>
              <w:ind w:left="20"/>
              <w:spacing w:after="0"/>
              <w:rPr>
                <w:sz w:val="20"/>
                <w:szCs w:val="20"/>
                <w:color w:val="auto"/>
              </w:rPr>
            </w:pPr>
            <w:r>
              <w:rPr>
                <w:rFonts w:ascii="Arial" w:cs="Arial" w:eastAsia="Arial" w:hAnsi="Arial"/>
                <w:sz w:val="16"/>
                <w:szCs w:val="16"/>
                <w:color w:val="auto"/>
              </w:rPr>
              <w:t>ACL - unfunded commitments, end of period</w:t>
            </w:r>
          </w:p>
        </w:tc>
        <w:tc>
          <w:tcPr>
            <w:tcW w:w="260" w:type="dxa"/>
            <w:vAlign w:val="bottom"/>
          </w:tcPr>
          <w:p>
            <w:pPr>
              <w:spacing w:after="0"/>
              <w:rPr>
                <w:sz w:val="17"/>
                <w:szCs w:val="17"/>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10,844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12,100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10,844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12,100</w:t>
            </w:r>
          </w:p>
        </w:tc>
      </w:tr>
      <w:tr>
        <w:trPr>
          <w:trHeight w:val="219"/>
        </w:trPr>
        <w:tc>
          <w:tcPr>
            <w:tcW w:w="55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r>
      <w:tr>
        <w:trPr>
          <w:trHeight w:val="210"/>
        </w:trPr>
        <w:tc>
          <w:tcPr>
            <w:tcW w:w="5520" w:type="dxa"/>
            <w:vAlign w:val="bottom"/>
          </w:tcPr>
          <w:p>
            <w:pPr>
              <w:ind w:left="20"/>
              <w:spacing w:after="0"/>
              <w:rPr>
                <w:sz w:val="20"/>
                <w:szCs w:val="20"/>
                <w:color w:val="auto"/>
              </w:rPr>
            </w:pPr>
            <w:r>
              <w:rPr>
                <w:rFonts w:ascii="Arial" w:cs="Arial" w:eastAsia="Arial" w:hAnsi="Arial"/>
                <w:sz w:val="16"/>
                <w:szCs w:val="16"/>
                <w:color w:val="auto"/>
              </w:rPr>
              <w:t>Total ACL</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122,460</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115,769</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122,460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115,769</w:t>
            </w: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3"/>
        </w:trPr>
        <w:tc>
          <w:tcPr>
            <w:tcW w:w="55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13"/>
        </w:trPr>
        <w:tc>
          <w:tcPr>
            <w:tcW w:w="5520" w:type="dxa"/>
            <w:vAlign w:val="bottom"/>
          </w:tcPr>
          <w:p>
            <w:pPr>
              <w:ind w:left="20"/>
              <w:spacing w:after="0"/>
              <w:rPr>
                <w:sz w:val="20"/>
                <w:szCs w:val="20"/>
                <w:color w:val="auto"/>
              </w:rPr>
            </w:pPr>
            <w:r>
              <w:rPr>
                <w:rFonts w:ascii="Arial" w:cs="Arial" w:eastAsia="Arial" w:hAnsi="Arial"/>
                <w:sz w:val="16"/>
                <w:szCs w:val="16"/>
                <w:color w:val="auto"/>
              </w:rPr>
              <w:t>Total loans:</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5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At period-end</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11,390,746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99"/>
              </w:rPr>
              <w:t>10,132,510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11,390,746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99"/>
              </w:rPr>
              <w:t>10,132,510</w:t>
            </w:r>
          </w:p>
        </w:tc>
      </w:tr>
      <w:tr>
        <w:trPr>
          <w:trHeight w:val="213"/>
        </w:trPr>
        <w:tc>
          <w:tcPr>
            <w:tcW w:w="5520" w:type="dxa"/>
            <w:vAlign w:val="bottom"/>
          </w:tcPr>
          <w:p>
            <w:pPr>
              <w:ind w:left="140"/>
              <w:spacing w:after="0"/>
              <w:rPr>
                <w:sz w:val="20"/>
                <w:szCs w:val="20"/>
                <w:color w:val="auto"/>
              </w:rPr>
            </w:pPr>
            <w:r>
              <w:rPr>
                <w:rFonts w:ascii="Arial" w:cs="Arial" w:eastAsia="Arial" w:hAnsi="Arial"/>
                <w:sz w:val="16"/>
                <w:szCs w:val="16"/>
                <w:color w:val="auto"/>
              </w:rPr>
              <w:t>Average</w:t>
            </w:r>
          </w:p>
        </w:tc>
        <w:tc>
          <w:tcPr>
            <w:tcW w:w="2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11,616,802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9,772,703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11,525,363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9,300,792</w:t>
            </w:r>
          </w:p>
        </w:tc>
      </w:tr>
      <w:tr>
        <w:trPr>
          <w:trHeight w:val="219"/>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ACL - loans, as a percentage of period-end loans</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0.98 %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0.98 %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1.02 %</w:t>
            </w:r>
          </w:p>
        </w:tc>
      </w:tr>
      <w:tr>
        <w:trPr>
          <w:trHeight w:val="213"/>
        </w:trPr>
        <w:tc>
          <w:tcPr>
            <w:tcW w:w="5520" w:type="dxa"/>
            <w:vAlign w:val="bottom"/>
          </w:tcPr>
          <w:p>
            <w:pPr>
              <w:ind w:left="20"/>
              <w:spacing w:after="0"/>
              <w:rPr>
                <w:sz w:val="20"/>
                <w:szCs w:val="20"/>
                <w:color w:val="auto"/>
              </w:rPr>
            </w:pPr>
            <w:r>
              <w:rPr>
                <w:rFonts w:ascii="Arial" w:cs="Arial" w:eastAsia="Arial" w:hAnsi="Arial"/>
                <w:sz w:val="16"/>
                <w:szCs w:val="16"/>
                <w:color w:val="auto"/>
              </w:rPr>
              <w:t>As a percentage of average loans (annualized):</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5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charge-offs</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(0.02)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0.25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0.31</w:t>
            </w:r>
          </w:p>
        </w:tc>
      </w:tr>
      <w:tr>
        <w:trPr>
          <w:trHeight w:val="210"/>
        </w:trPr>
        <w:tc>
          <w:tcPr>
            <w:tcW w:w="5520" w:type="dxa"/>
            <w:vAlign w:val="bottom"/>
          </w:tcPr>
          <w:p>
            <w:pPr>
              <w:ind w:left="140"/>
              <w:spacing w:after="0"/>
              <w:rPr>
                <w:sz w:val="20"/>
                <w:szCs w:val="20"/>
                <w:color w:val="auto"/>
              </w:rPr>
            </w:pPr>
            <w:r>
              <w:rPr>
                <w:rFonts w:ascii="Arial" w:cs="Arial" w:eastAsia="Arial" w:hAnsi="Arial"/>
                <w:sz w:val="16"/>
                <w:szCs w:val="16"/>
                <w:color w:val="auto"/>
              </w:rPr>
              <w:t>Provision for credit losses - loans</w:t>
            </w:r>
          </w:p>
        </w:tc>
        <w:tc>
          <w:tcPr>
            <w:tcW w:w="260" w:type="dxa"/>
            <w:vAlign w:val="bottom"/>
          </w:tcPr>
          <w:p>
            <w:pPr>
              <w:spacing w:after="0"/>
              <w:rPr>
                <w:sz w:val="18"/>
                <w:szCs w:val="18"/>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(0.54)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(0.46)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1.06</w:t>
            </w:r>
          </w:p>
        </w:tc>
      </w:tr>
    </w:tbl>
    <w:p>
      <w:pPr>
        <w:spacing w:after="0" w:line="3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reduction in the ACL since December 31, 2020 reflects an improved economic forecast, which includes an improved COVID-19 pandemic outlook, government stimulus spending, projected GDP growth and a continued low interest rate environment. Qualitative factors were used to moderate the improvement in the economic forecast for certain portfolios in recognition of the increase in special mention and substandard assets at June 30, 2021.</w:t>
      </w:r>
    </w:p>
    <w:p>
      <w:pPr>
        <w:sectPr>
          <w:pgSz w:w="11900" w:h="16838" w:orient="portrait"/>
          <w:cols w:equalWidth="0" w:num="1">
            <w:col w:w="11240"/>
          </w:cols>
          <w:pgMar w:left="320" w:top="9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46" w:name="page47"/>
    <w:bookmarkEnd w:id="46"/>
    <w:p>
      <w:pPr>
        <w:jc w:val="both"/>
        <w:spacing w:after="0" w:line="277" w:lineRule="auto"/>
        <w:rPr>
          <w:sz w:val="20"/>
          <w:szCs w:val="20"/>
          <w:color w:val="auto"/>
        </w:rPr>
      </w:pPr>
      <w:r>
        <w:rPr>
          <w:rFonts w:ascii="Arial" w:cs="Arial" w:eastAsia="Arial" w:hAnsi="Arial"/>
          <w:sz w:val="18"/>
          <w:szCs w:val="18"/>
          <w:color w:val="auto"/>
        </w:rPr>
        <w:t>The following table presents a summary of loans by risk category for the dates indicated. See Note 4 to the consolidated financial statements in this Report for detailed descriptions of the risk categories.</w:t>
      </w:r>
    </w:p>
    <w:p>
      <w:pPr>
        <w:spacing w:after="0" w:line="23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Table 11 - Risk Categories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9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3"/>
          </w:tcPr>
          <w:p>
            <w:pPr>
              <w:jc w:val="right"/>
              <w:ind w:right="679"/>
              <w:spacing w:after="0"/>
              <w:rPr>
                <w:sz w:val="20"/>
                <w:szCs w:val="20"/>
                <w:color w:val="auto"/>
              </w:rPr>
            </w:pPr>
            <w:r>
              <w:rPr>
                <w:rFonts w:ascii="Arial" w:cs="Arial" w:eastAsia="Arial" w:hAnsi="Arial"/>
                <w:sz w:val="16"/>
                <w:szCs w:val="16"/>
                <w:b w:val="1"/>
                <w:bCs w:val="1"/>
                <w:color w:val="auto"/>
              </w:rPr>
              <w:t>June 30, 2021</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3"/>
          </w:tcPr>
          <w:p>
            <w:pPr>
              <w:jc w:val="right"/>
              <w:ind w:right="499"/>
              <w:spacing w:after="0"/>
              <w:rPr>
                <w:sz w:val="20"/>
                <w:szCs w:val="20"/>
                <w:color w:val="auto"/>
              </w:rPr>
            </w:pPr>
            <w:r>
              <w:rPr>
                <w:rFonts w:ascii="Arial" w:cs="Arial" w:eastAsia="Arial" w:hAnsi="Arial"/>
                <w:sz w:val="16"/>
                <w:szCs w:val="16"/>
                <w:b w:val="1"/>
                <w:bCs w:val="1"/>
                <w:color w:val="auto"/>
              </w:rPr>
              <w:t>December 31, 2020</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ind w:left="740"/>
              <w:spacing w:after="0"/>
              <w:rPr>
                <w:sz w:val="20"/>
                <w:szCs w:val="20"/>
                <w:color w:val="auto"/>
              </w:rPr>
            </w:pPr>
            <w:r>
              <w:rPr>
                <w:rFonts w:ascii="Arial" w:cs="Arial" w:eastAsia="Arial" w:hAnsi="Arial"/>
                <w:sz w:val="16"/>
                <w:szCs w:val="16"/>
                <w:b w:val="1"/>
                <w:bCs w:val="1"/>
                <w:color w:val="auto"/>
                <w:w w:val="91"/>
              </w:rPr>
              <w:t>Change</w:t>
            </w:r>
          </w:p>
        </w:tc>
        <w:tc>
          <w:tcPr>
            <w:tcW w:w="900" w:type="dxa"/>
            <w:vAlign w:val="bottom"/>
            <w:tcBorders>
              <w:bottom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920" w:type="dxa"/>
            <w:vAlign w:val="bottom"/>
          </w:tcPr>
          <w:p>
            <w:pPr>
              <w:spacing w:after="0"/>
              <w:rPr>
                <w:sz w:val="13"/>
                <w:szCs w:val="13"/>
                <w:color w:val="auto"/>
              </w:rPr>
            </w:pPr>
          </w:p>
        </w:tc>
        <w:tc>
          <w:tcPr>
            <w:tcW w:w="132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Amortized Cost</w:t>
            </w:r>
          </w:p>
        </w:tc>
        <w:tc>
          <w:tcPr>
            <w:tcW w:w="112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7"/>
              </w:rPr>
              <w:t>% of total</w:t>
            </w:r>
          </w:p>
        </w:tc>
        <w:tc>
          <w:tcPr>
            <w:tcW w:w="100" w:type="dxa"/>
            <w:vAlign w:val="bottom"/>
          </w:tcPr>
          <w:p>
            <w:pPr>
              <w:spacing w:after="0"/>
              <w:rPr>
                <w:sz w:val="13"/>
                <w:szCs w:val="13"/>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Amortized Cost</w:t>
            </w:r>
          </w:p>
        </w:tc>
        <w:tc>
          <w:tcPr>
            <w:tcW w:w="12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 of total loans</w:t>
            </w:r>
          </w:p>
        </w:tc>
        <w:tc>
          <w:tcPr>
            <w:tcW w:w="180" w:type="dxa"/>
            <w:vAlign w:val="bottom"/>
          </w:tcPr>
          <w:p>
            <w:pPr>
              <w:spacing w:after="0"/>
              <w:rPr>
                <w:sz w:val="13"/>
                <w:szCs w:val="13"/>
                <w:color w:val="auto"/>
              </w:rPr>
            </w:pPr>
          </w:p>
        </w:tc>
        <w:tc>
          <w:tcPr>
            <w:tcW w:w="130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Amount</w:t>
            </w:r>
          </w:p>
        </w:tc>
        <w:tc>
          <w:tcPr>
            <w:tcW w:w="17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213"/>
        </w:trPr>
        <w:tc>
          <w:tcPr>
            <w:tcW w:w="2920" w:type="dxa"/>
            <w:vAlign w:val="bottom"/>
          </w:tcPr>
          <w:p>
            <w:pPr>
              <w:spacing w:after="0"/>
              <w:rPr>
                <w:sz w:val="18"/>
                <w:szCs w:val="18"/>
                <w:color w:val="auto"/>
              </w:rPr>
            </w:pPr>
          </w:p>
        </w:tc>
        <w:tc>
          <w:tcPr>
            <w:tcW w:w="1320" w:type="dxa"/>
            <w:vAlign w:val="bottom"/>
            <w:gridSpan w:val="3"/>
            <w:vMerge w:val="continue"/>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6"/>
              </w:rPr>
              <w:t>loans</w:t>
            </w:r>
          </w:p>
        </w:tc>
        <w:tc>
          <w:tcPr>
            <w:tcW w:w="1340" w:type="dxa"/>
            <w:vAlign w:val="bottom"/>
            <w:gridSpan w:val="3"/>
            <w:vMerge w:val="continue"/>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3"/>
            <w:vMerge w:val="continue"/>
          </w:tcPr>
          <w:p>
            <w:pPr>
              <w:spacing w:after="0"/>
              <w:rPr>
                <w:sz w:val="18"/>
                <w:szCs w:val="18"/>
                <w:color w:val="auto"/>
              </w:rPr>
            </w:pPr>
          </w:p>
        </w:tc>
        <w:tc>
          <w:tcPr>
            <w:tcW w:w="17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920" w:type="dxa"/>
            <w:vAlign w:val="bottom"/>
            <w:tcBorders>
              <w:top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Pass</w:t>
            </w:r>
          </w:p>
        </w:tc>
        <w:tc>
          <w:tcPr>
            <w:tcW w:w="240" w:type="dxa"/>
            <w:vAlign w:val="bottom"/>
            <w:tcBorders>
              <w:top w:val="single" w:sz="8" w:color="auto"/>
            </w:tcBorders>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10,781,793</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95 %</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10,846,850</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95 %</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center"/>
              <w:ind w:left="219"/>
              <w:spacing w:after="0"/>
              <w:rPr>
                <w:sz w:val="20"/>
                <w:szCs w:val="20"/>
                <w:color w:val="auto"/>
              </w:rPr>
            </w:pPr>
            <w:r>
              <w:rPr>
                <w:rFonts w:ascii="Arial" w:cs="Arial" w:eastAsia="Arial" w:hAnsi="Arial"/>
                <w:sz w:val="16"/>
                <w:szCs w:val="16"/>
                <w:color w:val="auto"/>
                <w:w w:val="93"/>
              </w:rPr>
              <w:t>(65,057)</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20" w:type="dxa"/>
            <w:vAlign w:val="bottom"/>
          </w:tcPr>
          <w:p>
            <w:pPr>
              <w:ind w:left="760"/>
              <w:spacing w:after="0"/>
              <w:rPr>
                <w:sz w:val="20"/>
                <w:szCs w:val="20"/>
                <w:color w:val="auto"/>
              </w:rPr>
            </w:pPr>
            <w:r>
              <w:rPr>
                <w:rFonts w:ascii="Arial" w:cs="Arial" w:eastAsia="Arial" w:hAnsi="Arial"/>
                <w:sz w:val="16"/>
                <w:szCs w:val="16"/>
                <w:color w:val="auto"/>
              </w:rPr>
              <w:t>Special mention</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369,964</w:t>
            </w:r>
          </w:p>
        </w:tc>
        <w:tc>
          <w:tcPr>
            <w:tcW w:w="12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297,245</w:t>
            </w:r>
          </w:p>
        </w:tc>
        <w:tc>
          <w:tcPr>
            <w:tcW w:w="10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center"/>
              <w:ind w:left="239"/>
              <w:spacing w:after="0"/>
              <w:rPr>
                <w:sz w:val="20"/>
                <w:szCs w:val="20"/>
                <w:color w:val="auto"/>
              </w:rPr>
            </w:pPr>
            <w:r>
              <w:rPr>
                <w:rFonts w:ascii="Arial" w:cs="Arial" w:eastAsia="Arial" w:hAnsi="Arial"/>
                <w:sz w:val="16"/>
                <w:szCs w:val="16"/>
                <w:color w:val="auto"/>
                <w:w w:val="93"/>
              </w:rPr>
              <w:t>72,719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24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760"/>
              <w:spacing w:after="0"/>
              <w:rPr>
                <w:sz w:val="20"/>
                <w:szCs w:val="20"/>
                <w:color w:val="auto"/>
              </w:rPr>
            </w:pPr>
            <w:r>
              <w:rPr>
                <w:rFonts w:ascii="Arial" w:cs="Arial" w:eastAsia="Arial" w:hAnsi="Arial"/>
                <w:sz w:val="16"/>
                <w:szCs w:val="16"/>
                <w:color w:val="auto"/>
              </w:rPr>
              <w:t>Substandard</w:t>
            </w: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238,989</w:t>
            </w:r>
          </w:p>
        </w:tc>
        <w:tc>
          <w:tcPr>
            <w:tcW w:w="12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226,720</w:t>
            </w:r>
          </w:p>
        </w:tc>
        <w:tc>
          <w:tcPr>
            <w:tcW w:w="10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center"/>
              <w:ind w:left="239"/>
              <w:spacing w:after="0"/>
              <w:rPr>
                <w:sz w:val="20"/>
                <w:szCs w:val="20"/>
                <w:color w:val="auto"/>
              </w:rPr>
            </w:pPr>
            <w:r>
              <w:rPr>
                <w:rFonts w:ascii="Arial" w:cs="Arial" w:eastAsia="Arial" w:hAnsi="Arial"/>
                <w:sz w:val="16"/>
                <w:szCs w:val="16"/>
                <w:color w:val="auto"/>
                <w:w w:val="93"/>
              </w:rPr>
              <w:t>12,269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w:t>
            </w: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920" w:type="dxa"/>
            <w:vAlign w:val="bottom"/>
          </w:tcPr>
          <w:p>
            <w:pPr>
              <w:ind w:left="980"/>
              <w:spacing w:after="0"/>
              <w:rPr>
                <w:sz w:val="20"/>
                <w:szCs w:val="20"/>
                <w:color w:val="auto"/>
              </w:rPr>
            </w:pPr>
            <w:r>
              <w:rPr>
                <w:rFonts w:ascii="Arial" w:cs="Arial" w:eastAsia="Arial" w:hAnsi="Arial"/>
                <w:sz w:val="16"/>
                <w:szCs w:val="16"/>
                <w:color w:val="auto"/>
              </w:rPr>
              <w:t>Total loans</w:t>
            </w:r>
          </w:p>
        </w:tc>
        <w:tc>
          <w:tcPr>
            <w:tcW w:w="240" w:type="dxa"/>
            <w:vAlign w:val="bottom"/>
            <w:tcBorders>
              <w:bottom w:val="single" w:sz="8" w:color="auto"/>
            </w:tcBorders>
          </w:tcPr>
          <w:p>
            <w:pPr>
              <w:jc w:val="right"/>
              <w:ind w:right="82"/>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11,390,746</w:t>
            </w: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11,370,815</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center"/>
              <w:ind w:left="239"/>
              <w:spacing w:after="0"/>
              <w:rPr>
                <w:sz w:val="20"/>
                <w:szCs w:val="20"/>
                <w:color w:val="auto"/>
              </w:rPr>
            </w:pPr>
            <w:r>
              <w:rPr>
                <w:rFonts w:ascii="Arial" w:cs="Arial" w:eastAsia="Arial" w:hAnsi="Arial"/>
                <w:sz w:val="16"/>
                <w:szCs w:val="16"/>
                <w:color w:val="auto"/>
                <w:w w:val="93"/>
              </w:rPr>
              <w:t>19,931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2"/>
          </w:tcPr>
          <w:p>
            <w:pPr>
              <w:jc w:val="right"/>
              <w:ind w:right="10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
        </w:trPr>
        <w:tc>
          <w:tcPr>
            <w:tcW w:w="2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special mention and substandard loans since December 31, 2020 mostly reflects downgrades made during the first quarter of 2021 that remained in place as of June 30, 2021. Downgrades primarily consisted of borrowers in industries with potentially higher risk of being impacted by the social and economic effects of the COVID-19 pandemic, such as senior care and hotels. We anticipate these borrowers’ financial position to strengthen in the second half of 2021 as the economic outlook of the pandemic continues to improve.</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classify loans as substandard when there is one or more well-defined weaknesses that jeopardize the repayment by the borrower and there is a distinct possibility that we could sustain some loss if the deficiency is not corrected. At June 30, 2021, substandard loans included accrual and nonaccrual loans of $193 million and $46.1 million, respectively. Special mention loans continue to accrue interest.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Nonperforming Assets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NPAs, which include nonaccrual loans and foreclosed properties, totaled $46.3 million at June 30, 2021, compared with $62.2 million at December 31, 2020. The decrease in NPAs since December 31, 2020 is primarily a result of paydowns and payoffs of nonaccrual loans.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Our policy is to place loans on nonaccrual status when, in the opinion of management, the full principal and interest on a loan is not likely to be collected or when the loan becomes 90 days past due. A loan may continue on accrual after 90 days, however, if it is well collateralized and in the process of collection. When a loan is placed on nonaccrual status, interest previously accrued but not collected is reversed against current interest revenue. Interest payments received on nonaccrual loans are applied to reduce the loan’s amortized cost. Loans are returned to accrual status when all the principal and interest amounts contractually due are brought current, there is a sustained period of repayment performance and future payments are reasonably assured.</w:t>
      </w:r>
    </w:p>
    <w:p>
      <w:pPr>
        <w:spacing w:after="0" w:line="15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Generally, we do not commit to lend additional funds to customers whose loans are on nonaccrual status, although in certain isolated cases, we execute forbearance agreements whereby we agree to continue to fund construction loans to completion or other lines of credit as long as the borrower meets the conditions of the forbearance agreement. We may also fund other amounts necessary to protect collateral such as amounts to pay past due property taxes and insurance coverage.</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Foreclosed property is initially recorded at fair value, less estimated costs to sell. If the fair value, less estimated costs to sell, at the time of foreclosure is less than the loan balance, the deficiency is charged against the allowance for loan losses. If the lesser of fair value, less estimated costs to sell, or the listed selling price, less the costs to sell, of the foreclosed property decreases during the holding period, a valuation allowance is established with a charge to foreclosed property expense. When the foreclosed property is sold, a gain or loss is recognized on the sale for the difference between the sales proceeds and the carrying amount of the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The table below summarizes NPAs.</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Table 12 - NPAs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w:t>
            </w:r>
          </w:p>
        </w:tc>
        <w:tc>
          <w:tcPr>
            <w:tcW w:w="200" w:type="dxa"/>
            <w:vAlign w:val="bottom"/>
          </w:tcPr>
          <w:p>
            <w:pPr>
              <w:spacing w:after="0"/>
              <w:rPr>
                <w:sz w:val="16"/>
                <w:szCs w:val="16"/>
                <w:color w:val="auto"/>
              </w:rPr>
            </w:pPr>
          </w:p>
        </w:tc>
        <w:tc>
          <w:tcPr>
            <w:tcW w:w="270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66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1340" w:type="dxa"/>
            <w:vAlign w:val="bottom"/>
            <w:tcBorders>
              <w:bottom w:val="single" w:sz="8" w:color="CCEEFF"/>
            </w:tcBorders>
          </w:tcPr>
          <w:p>
            <w:pPr>
              <w:spacing w:after="0"/>
              <w:rPr>
                <w:sz w:val="18"/>
                <w:szCs w:val="18"/>
                <w:color w:val="auto"/>
              </w:rPr>
            </w:pPr>
          </w:p>
        </w:tc>
      </w:tr>
      <w:tr>
        <w:trPr>
          <w:trHeight w:val="199"/>
        </w:trPr>
        <w:tc>
          <w:tcPr>
            <w:tcW w:w="6660" w:type="dxa"/>
            <w:vAlign w:val="bottom"/>
            <w:shd w:val="clear" w:color="auto" w:fill="CCEEFF"/>
          </w:tcPr>
          <w:p>
            <w:pPr>
              <w:ind w:left="1340"/>
              <w:spacing w:after="0"/>
              <w:rPr>
                <w:sz w:val="20"/>
                <w:szCs w:val="20"/>
                <w:color w:val="auto"/>
              </w:rPr>
            </w:pPr>
            <w:r>
              <w:rPr>
                <w:rFonts w:ascii="Arial" w:cs="Arial" w:eastAsia="Arial" w:hAnsi="Arial"/>
                <w:sz w:val="16"/>
                <w:szCs w:val="16"/>
                <w:color w:val="auto"/>
              </w:rPr>
              <w:t>Nonaccrual loans:</w:t>
            </w: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13"/>
        </w:trPr>
        <w:tc>
          <w:tcPr>
            <w:tcW w:w="6660" w:type="dxa"/>
            <w:vAlign w:val="bottom"/>
          </w:tcPr>
          <w:p>
            <w:pPr>
              <w:ind w:left="1460"/>
              <w:spacing w:after="0"/>
              <w:rPr>
                <w:sz w:val="20"/>
                <w:szCs w:val="20"/>
                <w:color w:val="auto"/>
              </w:rPr>
            </w:pPr>
            <w:r>
              <w:rPr>
                <w:rFonts w:ascii="Arial" w:cs="Arial" w:eastAsia="Arial" w:hAnsi="Arial"/>
                <w:sz w:val="16"/>
                <w:szCs w:val="16"/>
                <w:color w:val="auto"/>
              </w:rPr>
              <w:t>Owner occupied commercial real estate</w:t>
            </w:r>
          </w:p>
        </w:tc>
        <w:tc>
          <w:tcPr>
            <w:tcW w:w="30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6,128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8,582</w:t>
            </w:r>
          </w:p>
        </w:tc>
        <w:tc>
          <w:tcPr>
            <w:tcW w:w="1340" w:type="dxa"/>
            <w:vAlign w:val="bottom"/>
          </w:tcPr>
          <w:p>
            <w:pPr>
              <w:spacing w:after="0"/>
              <w:rPr>
                <w:sz w:val="18"/>
                <w:szCs w:val="18"/>
                <w:color w:val="auto"/>
              </w:rPr>
            </w:pPr>
          </w:p>
        </w:tc>
      </w:tr>
      <w:tr>
        <w:trPr>
          <w:trHeight w:val="219"/>
        </w:trPr>
        <w:tc>
          <w:tcPr>
            <w:tcW w:w="6660" w:type="dxa"/>
            <w:vAlign w:val="bottom"/>
            <w:shd w:val="clear" w:color="auto" w:fill="CCEEFF"/>
          </w:tcPr>
          <w:p>
            <w:pPr>
              <w:ind w:left="1460"/>
              <w:spacing w:after="0"/>
              <w:rPr>
                <w:sz w:val="20"/>
                <w:szCs w:val="20"/>
                <w:color w:val="auto"/>
              </w:rPr>
            </w:pPr>
            <w:r>
              <w:rPr>
                <w:rFonts w:ascii="Arial" w:cs="Arial" w:eastAsia="Arial" w:hAnsi="Arial"/>
                <w:sz w:val="16"/>
                <w:szCs w:val="16"/>
                <w:color w:val="auto"/>
              </w:rPr>
              <w:t>Income producing commercial real estate</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13,100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15,149</w:t>
            </w:r>
          </w:p>
        </w:tc>
        <w:tc>
          <w:tcPr>
            <w:tcW w:w="1340" w:type="dxa"/>
            <w:vAlign w:val="bottom"/>
            <w:shd w:val="clear" w:color="auto" w:fill="CCEEFF"/>
          </w:tcPr>
          <w:p>
            <w:pPr>
              <w:spacing w:after="0"/>
              <w:rPr>
                <w:sz w:val="19"/>
                <w:szCs w:val="19"/>
                <w:color w:val="auto"/>
              </w:rPr>
            </w:pPr>
          </w:p>
        </w:tc>
      </w:tr>
      <w:tr>
        <w:trPr>
          <w:trHeight w:val="213"/>
        </w:trPr>
        <w:tc>
          <w:tcPr>
            <w:tcW w:w="6660" w:type="dxa"/>
            <w:vAlign w:val="bottom"/>
          </w:tcPr>
          <w:p>
            <w:pPr>
              <w:ind w:left="1460"/>
              <w:spacing w:after="0"/>
              <w:rPr>
                <w:sz w:val="20"/>
                <w:szCs w:val="20"/>
                <w:color w:val="auto"/>
              </w:rPr>
            </w:pPr>
            <w:r>
              <w:rPr>
                <w:rFonts w:ascii="Arial" w:cs="Arial" w:eastAsia="Arial" w:hAnsi="Arial"/>
                <w:sz w:val="16"/>
                <w:szCs w:val="16"/>
                <w:color w:val="auto"/>
              </w:rPr>
              <w:t>Commercial &amp; industrial</w:t>
            </w:r>
          </w:p>
        </w:tc>
        <w:tc>
          <w:tcPr>
            <w:tcW w:w="30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8,563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16,634</w:t>
            </w:r>
          </w:p>
        </w:tc>
        <w:tc>
          <w:tcPr>
            <w:tcW w:w="1340" w:type="dxa"/>
            <w:vAlign w:val="bottom"/>
          </w:tcPr>
          <w:p>
            <w:pPr>
              <w:spacing w:after="0"/>
              <w:rPr>
                <w:sz w:val="18"/>
                <w:szCs w:val="18"/>
                <w:color w:val="auto"/>
              </w:rPr>
            </w:pPr>
          </w:p>
        </w:tc>
      </w:tr>
      <w:tr>
        <w:trPr>
          <w:trHeight w:val="219"/>
        </w:trPr>
        <w:tc>
          <w:tcPr>
            <w:tcW w:w="6660" w:type="dxa"/>
            <w:vAlign w:val="bottom"/>
            <w:shd w:val="clear" w:color="auto" w:fill="CCEEFF"/>
          </w:tcPr>
          <w:p>
            <w:pPr>
              <w:ind w:left="1460"/>
              <w:spacing w:after="0"/>
              <w:rPr>
                <w:sz w:val="20"/>
                <w:szCs w:val="20"/>
                <w:color w:val="auto"/>
              </w:rPr>
            </w:pPr>
            <w:r>
              <w:rPr>
                <w:rFonts w:ascii="Arial" w:cs="Arial" w:eastAsia="Arial" w:hAnsi="Arial"/>
                <w:sz w:val="16"/>
                <w:szCs w:val="16"/>
                <w:color w:val="auto"/>
              </w:rPr>
              <w:t>Commercial construction</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1,229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1,745</w:t>
            </w:r>
          </w:p>
        </w:tc>
        <w:tc>
          <w:tcPr>
            <w:tcW w:w="1340" w:type="dxa"/>
            <w:vAlign w:val="bottom"/>
            <w:shd w:val="clear" w:color="auto" w:fill="CCEEFF"/>
          </w:tcPr>
          <w:p>
            <w:pPr>
              <w:spacing w:after="0"/>
              <w:rPr>
                <w:sz w:val="19"/>
                <w:szCs w:val="19"/>
                <w:color w:val="auto"/>
              </w:rPr>
            </w:pPr>
          </w:p>
        </w:tc>
      </w:tr>
      <w:tr>
        <w:trPr>
          <w:trHeight w:val="213"/>
        </w:trPr>
        <w:tc>
          <w:tcPr>
            <w:tcW w:w="6660" w:type="dxa"/>
            <w:vAlign w:val="bottom"/>
            <w:tcBorders>
              <w:bottom w:val="single" w:sz="8" w:color="CCEEFF"/>
            </w:tcBorders>
          </w:tcPr>
          <w:p>
            <w:pPr>
              <w:ind w:left="1460"/>
              <w:spacing w:after="0"/>
              <w:rPr>
                <w:sz w:val="20"/>
                <w:szCs w:val="20"/>
                <w:color w:val="auto"/>
              </w:rPr>
            </w:pPr>
            <w:r>
              <w:rPr>
                <w:rFonts w:ascii="Arial" w:cs="Arial" w:eastAsia="Arial" w:hAnsi="Arial"/>
                <w:sz w:val="16"/>
                <w:szCs w:val="16"/>
                <w:color w:val="auto"/>
              </w:rPr>
              <w:t>Equipment financing</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1,771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3,405</w:t>
            </w:r>
          </w:p>
        </w:tc>
        <w:tc>
          <w:tcPr>
            <w:tcW w:w="1340" w:type="dxa"/>
            <w:vAlign w:val="bottom"/>
            <w:tcBorders>
              <w:bottom w:val="single" w:sz="8" w:color="CCEEFF"/>
            </w:tcBorders>
          </w:tcPr>
          <w:p>
            <w:pPr>
              <w:spacing w:after="0"/>
              <w:rPr>
                <w:sz w:val="18"/>
                <w:szCs w:val="18"/>
                <w:color w:val="auto"/>
              </w:rPr>
            </w:pPr>
          </w:p>
        </w:tc>
      </w:tr>
      <w:tr>
        <w:trPr>
          <w:trHeight w:val="213"/>
        </w:trPr>
        <w:tc>
          <w:tcPr>
            <w:tcW w:w="6660" w:type="dxa"/>
            <w:vAlign w:val="bottom"/>
            <w:shd w:val="clear" w:color="auto" w:fill="CCEEFF"/>
          </w:tcPr>
          <w:p>
            <w:pPr>
              <w:ind w:left="1540"/>
              <w:spacing w:after="0"/>
              <w:rPr>
                <w:sz w:val="20"/>
                <w:szCs w:val="20"/>
                <w:color w:val="auto"/>
              </w:rPr>
            </w:pPr>
            <w:r>
              <w:rPr>
                <w:rFonts w:ascii="Arial" w:cs="Arial" w:eastAsia="Arial" w:hAnsi="Arial"/>
                <w:sz w:val="16"/>
                <w:szCs w:val="16"/>
                <w:color w:val="auto"/>
              </w:rPr>
              <w:t>Total commercial</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30,791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45,515</w:t>
            </w:r>
          </w:p>
        </w:tc>
        <w:tc>
          <w:tcPr>
            <w:tcW w:w="1340" w:type="dxa"/>
            <w:vAlign w:val="bottom"/>
            <w:shd w:val="clear" w:color="auto" w:fill="CCEEFF"/>
          </w:tcPr>
          <w:p>
            <w:pPr>
              <w:spacing w:after="0"/>
              <w:rPr>
                <w:sz w:val="18"/>
                <w:szCs w:val="18"/>
                <w:color w:val="auto"/>
              </w:rPr>
            </w:pPr>
          </w:p>
        </w:tc>
      </w:tr>
      <w:tr>
        <w:trPr>
          <w:trHeight w:val="213"/>
        </w:trPr>
        <w:tc>
          <w:tcPr>
            <w:tcW w:w="6660" w:type="dxa"/>
            <w:vAlign w:val="bottom"/>
          </w:tcPr>
          <w:p>
            <w:pPr>
              <w:ind w:left="1460"/>
              <w:spacing w:after="0"/>
              <w:rPr>
                <w:sz w:val="20"/>
                <w:szCs w:val="20"/>
                <w:color w:val="auto"/>
              </w:rPr>
            </w:pPr>
            <w:r>
              <w:rPr>
                <w:rFonts w:ascii="Arial" w:cs="Arial" w:eastAsia="Arial" w:hAnsi="Arial"/>
                <w:sz w:val="16"/>
                <w:szCs w:val="16"/>
                <w:color w:val="auto"/>
              </w:rPr>
              <w:t>Residential mortgage</w:t>
            </w:r>
          </w:p>
        </w:tc>
        <w:tc>
          <w:tcPr>
            <w:tcW w:w="30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13,485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12,858</w:t>
            </w:r>
          </w:p>
        </w:tc>
        <w:tc>
          <w:tcPr>
            <w:tcW w:w="1340" w:type="dxa"/>
            <w:vAlign w:val="bottom"/>
          </w:tcPr>
          <w:p>
            <w:pPr>
              <w:spacing w:after="0"/>
              <w:rPr>
                <w:sz w:val="18"/>
                <w:szCs w:val="18"/>
                <w:color w:val="auto"/>
              </w:rPr>
            </w:pPr>
          </w:p>
        </w:tc>
      </w:tr>
      <w:tr>
        <w:trPr>
          <w:trHeight w:val="219"/>
        </w:trPr>
        <w:tc>
          <w:tcPr>
            <w:tcW w:w="6660" w:type="dxa"/>
            <w:vAlign w:val="bottom"/>
            <w:shd w:val="clear" w:color="auto" w:fill="CCEEFF"/>
          </w:tcPr>
          <w:p>
            <w:pPr>
              <w:ind w:left="1460"/>
              <w:spacing w:after="0"/>
              <w:rPr>
                <w:sz w:val="20"/>
                <w:szCs w:val="20"/>
                <w:color w:val="auto"/>
              </w:rPr>
            </w:pPr>
            <w:r>
              <w:rPr>
                <w:rFonts w:ascii="Arial" w:cs="Arial" w:eastAsia="Arial" w:hAnsi="Arial"/>
                <w:sz w:val="16"/>
                <w:szCs w:val="16"/>
                <w:color w:val="auto"/>
              </w:rPr>
              <w:t>HELOC</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1,433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2,487</w:t>
            </w:r>
          </w:p>
        </w:tc>
        <w:tc>
          <w:tcPr>
            <w:tcW w:w="1340" w:type="dxa"/>
            <w:vAlign w:val="bottom"/>
            <w:shd w:val="clear" w:color="auto" w:fill="CCEEFF"/>
          </w:tcPr>
          <w:p>
            <w:pPr>
              <w:spacing w:after="0"/>
              <w:rPr>
                <w:sz w:val="19"/>
                <w:szCs w:val="19"/>
                <w:color w:val="auto"/>
              </w:rPr>
            </w:pPr>
          </w:p>
        </w:tc>
      </w:tr>
      <w:tr>
        <w:trPr>
          <w:trHeight w:val="213"/>
        </w:trPr>
        <w:tc>
          <w:tcPr>
            <w:tcW w:w="6660" w:type="dxa"/>
            <w:vAlign w:val="bottom"/>
          </w:tcPr>
          <w:p>
            <w:pPr>
              <w:ind w:left="1460"/>
              <w:spacing w:after="0"/>
              <w:rPr>
                <w:sz w:val="20"/>
                <w:szCs w:val="20"/>
                <w:color w:val="auto"/>
              </w:rPr>
            </w:pPr>
            <w:r>
              <w:rPr>
                <w:rFonts w:ascii="Arial" w:cs="Arial" w:eastAsia="Arial" w:hAnsi="Arial"/>
                <w:sz w:val="16"/>
                <w:szCs w:val="16"/>
                <w:color w:val="auto"/>
              </w:rPr>
              <w:t>Residential construction</w:t>
            </w:r>
          </w:p>
        </w:tc>
        <w:tc>
          <w:tcPr>
            <w:tcW w:w="30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307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514</w:t>
            </w:r>
          </w:p>
        </w:tc>
        <w:tc>
          <w:tcPr>
            <w:tcW w:w="1340" w:type="dxa"/>
            <w:vAlign w:val="bottom"/>
          </w:tcPr>
          <w:p>
            <w:pPr>
              <w:spacing w:after="0"/>
              <w:rPr>
                <w:sz w:val="18"/>
                <w:szCs w:val="18"/>
                <w:color w:val="auto"/>
              </w:rPr>
            </w:pPr>
          </w:p>
        </w:tc>
      </w:tr>
      <w:tr>
        <w:trPr>
          <w:trHeight w:val="219"/>
        </w:trPr>
        <w:tc>
          <w:tcPr>
            <w:tcW w:w="6660" w:type="dxa"/>
            <w:vAlign w:val="bottom"/>
            <w:shd w:val="clear" w:color="auto" w:fill="CCEEFF"/>
          </w:tcPr>
          <w:p>
            <w:pPr>
              <w:ind w:left="1460"/>
              <w:spacing w:after="0"/>
              <w:rPr>
                <w:sz w:val="20"/>
                <w:szCs w:val="20"/>
                <w:color w:val="auto"/>
              </w:rPr>
            </w:pPr>
            <w:r>
              <w:rPr>
                <w:rFonts w:ascii="Arial" w:cs="Arial" w:eastAsia="Arial" w:hAnsi="Arial"/>
                <w:sz w:val="16"/>
                <w:szCs w:val="16"/>
                <w:color w:val="auto"/>
              </w:rPr>
              <w:t>Consumer</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107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225</w:t>
            </w:r>
          </w:p>
        </w:tc>
        <w:tc>
          <w:tcPr>
            <w:tcW w:w="1340" w:type="dxa"/>
            <w:vAlign w:val="bottom"/>
            <w:shd w:val="clear" w:color="auto" w:fill="CCEEFF"/>
          </w:tcPr>
          <w:p>
            <w:pPr>
              <w:spacing w:after="0"/>
              <w:rPr>
                <w:sz w:val="19"/>
                <w:szCs w:val="19"/>
                <w:color w:val="auto"/>
              </w:rPr>
            </w:pPr>
          </w:p>
        </w:tc>
      </w:tr>
      <w:tr>
        <w:trPr>
          <w:trHeight w:val="207"/>
        </w:trPr>
        <w:tc>
          <w:tcPr>
            <w:tcW w:w="6660" w:type="dxa"/>
            <w:vAlign w:val="bottom"/>
          </w:tcPr>
          <w:p>
            <w:pPr>
              <w:ind w:left="1540"/>
              <w:spacing w:after="0"/>
              <w:rPr>
                <w:sz w:val="20"/>
                <w:szCs w:val="20"/>
                <w:color w:val="auto"/>
              </w:rPr>
            </w:pPr>
            <w:r>
              <w:rPr>
                <w:rFonts w:ascii="Arial" w:cs="Arial" w:eastAsia="Arial" w:hAnsi="Arial"/>
                <w:sz w:val="16"/>
                <w:szCs w:val="16"/>
                <w:color w:val="auto"/>
              </w:rPr>
              <w:t>Total nonaccrual loans</w:t>
            </w:r>
          </w:p>
        </w:tc>
        <w:tc>
          <w:tcPr>
            <w:tcW w:w="300" w:type="dxa"/>
            <w:vAlign w:val="bottom"/>
          </w:tcPr>
          <w:p>
            <w:pPr>
              <w:spacing w:after="0"/>
              <w:rPr>
                <w:sz w:val="17"/>
                <w:szCs w:val="17"/>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46,123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61,599</w:t>
            </w:r>
          </w:p>
        </w:tc>
        <w:tc>
          <w:tcPr>
            <w:tcW w:w="1340" w:type="dxa"/>
            <w:vAlign w:val="bottom"/>
          </w:tcPr>
          <w:p>
            <w:pPr>
              <w:spacing w:after="0"/>
              <w:rPr>
                <w:sz w:val="17"/>
                <w:szCs w:val="17"/>
                <w:color w:val="auto"/>
              </w:rPr>
            </w:pPr>
          </w:p>
        </w:tc>
      </w:tr>
      <w:tr>
        <w:trPr>
          <w:trHeight w:val="216"/>
        </w:trPr>
        <w:tc>
          <w:tcPr>
            <w:tcW w:w="6660" w:type="dxa"/>
            <w:vAlign w:val="bottom"/>
            <w:shd w:val="clear" w:color="auto" w:fill="CCEEFF"/>
          </w:tcPr>
          <w:p>
            <w:pPr>
              <w:ind w:left="1340"/>
              <w:spacing w:after="0"/>
              <w:rPr>
                <w:sz w:val="20"/>
                <w:szCs w:val="20"/>
                <w:color w:val="auto"/>
              </w:rPr>
            </w:pPr>
            <w:r>
              <w:rPr>
                <w:rFonts w:ascii="Arial" w:cs="Arial" w:eastAsia="Arial" w:hAnsi="Arial"/>
                <w:sz w:val="16"/>
                <w:szCs w:val="16"/>
                <w:color w:val="auto"/>
              </w:rPr>
              <w:t>Foreclosed properties</w:t>
            </w:r>
          </w:p>
        </w:tc>
        <w:tc>
          <w:tcPr>
            <w:tcW w:w="3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224</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647</w:t>
            </w:r>
          </w:p>
        </w:tc>
        <w:tc>
          <w:tcPr>
            <w:tcW w:w="1340" w:type="dxa"/>
            <w:vAlign w:val="bottom"/>
            <w:shd w:val="clear" w:color="auto" w:fill="CCEEFF"/>
          </w:tcPr>
          <w:p>
            <w:pPr>
              <w:spacing w:after="0"/>
              <w:rPr>
                <w:sz w:val="18"/>
                <w:szCs w:val="18"/>
                <w:color w:val="auto"/>
              </w:rPr>
            </w:pPr>
          </w:p>
        </w:tc>
      </w:tr>
      <w:tr>
        <w:trPr>
          <w:trHeight w:val="213"/>
        </w:trPr>
        <w:tc>
          <w:tcPr>
            <w:tcW w:w="6660" w:type="dxa"/>
            <w:vAlign w:val="bottom"/>
          </w:tcPr>
          <w:p>
            <w:pPr>
              <w:ind w:left="1540"/>
              <w:spacing w:after="0"/>
              <w:rPr>
                <w:sz w:val="20"/>
                <w:szCs w:val="20"/>
                <w:color w:val="auto"/>
              </w:rPr>
            </w:pPr>
            <w:r>
              <w:rPr>
                <w:rFonts w:ascii="Arial" w:cs="Arial" w:eastAsia="Arial" w:hAnsi="Arial"/>
                <w:sz w:val="16"/>
                <w:szCs w:val="16"/>
                <w:color w:val="auto"/>
              </w:rPr>
              <w:t>Total NPAs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46,347</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62,246</w:t>
            </w:r>
          </w:p>
        </w:tc>
        <w:tc>
          <w:tcPr>
            <w:tcW w:w="1340" w:type="dxa"/>
            <w:vAlign w:val="bottom"/>
          </w:tcPr>
          <w:p>
            <w:pPr>
              <w:spacing w:after="0"/>
              <w:rPr>
                <w:sz w:val="18"/>
                <w:szCs w:val="18"/>
                <w:color w:val="auto"/>
              </w:rPr>
            </w:pP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r>
      <w:tr>
        <w:trPr>
          <w:trHeight w:val="183"/>
        </w:trPr>
        <w:tc>
          <w:tcPr>
            <w:tcW w:w="66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213"/>
        </w:trPr>
        <w:tc>
          <w:tcPr>
            <w:tcW w:w="6660" w:type="dxa"/>
            <w:vAlign w:val="bottom"/>
          </w:tcPr>
          <w:p>
            <w:pPr>
              <w:ind w:left="1340"/>
              <w:spacing w:after="0"/>
              <w:rPr>
                <w:sz w:val="20"/>
                <w:szCs w:val="20"/>
                <w:color w:val="auto"/>
              </w:rPr>
            </w:pPr>
            <w:r>
              <w:rPr>
                <w:rFonts w:ascii="Arial" w:cs="Arial" w:eastAsia="Arial" w:hAnsi="Arial"/>
                <w:sz w:val="16"/>
                <w:szCs w:val="16"/>
                <w:color w:val="auto"/>
              </w:rPr>
              <w:t>Nonaccrual loans as a percentage of total loans</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0.40 %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0.54 %</w:t>
            </w:r>
          </w:p>
        </w:tc>
        <w:tc>
          <w:tcPr>
            <w:tcW w:w="1340" w:type="dxa"/>
            <w:vAlign w:val="bottom"/>
          </w:tcPr>
          <w:p>
            <w:pPr>
              <w:spacing w:after="0"/>
              <w:rPr>
                <w:sz w:val="18"/>
                <w:szCs w:val="18"/>
                <w:color w:val="auto"/>
              </w:rPr>
            </w:pPr>
          </w:p>
        </w:tc>
      </w:tr>
      <w:tr>
        <w:trPr>
          <w:trHeight w:val="219"/>
        </w:trPr>
        <w:tc>
          <w:tcPr>
            <w:tcW w:w="6660" w:type="dxa"/>
            <w:vAlign w:val="bottom"/>
            <w:shd w:val="clear" w:color="auto" w:fill="CCEEFF"/>
          </w:tcPr>
          <w:p>
            <w:pPr>
              <w:ind w:left="1340"/>
              <w:spacing w:after="0"/>
              <w:rPr>
                <w:sz w:val="20"/>
                <w:szCs w:val="20"/>
                <w:color w:val="auto"/>
              </w:rPr>
            </w:pPr>
            <w:r>
              <w:rPr>
                <w:rFonts w:ascii="Arial" w:cs="Arial" w:eastAsia="Arial" w:hAnsi="Arial"/>
                <w:sz w:val="16"/>
                <w:szCs w:val="16"/>
                <w:color w:val="auto"/>
              </w:rPr>
              <w:t>NPAs as a percentage of total loans and foreclosed properties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0.41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0.55</w:t>
            </w:r>
          </w:p>
        </w:tc>
        <w:tc>
          <w:tcPr>
            <w:tcW w:w="1340" w:type="dxa"/>
            <w:vAlign w:val="bottom"/>
            <w:shd w:val="clear" w:color="auto" w:fill="CCEEFF"/>
          </w:tcPr>
          <w:p>
            <w:pPr>
              <w:spacing w:after="0"/>
              <w:rPr>
                <w:sz w:val="19"/>
                <w:szCs w:val="19"/>
                <w:color w:val="auto"/>
              </w:rPr>
            </w:pPr>
          </w:p>
        </w:tc>
      </w:tr>
      <w:tr>
        <w:trPr>
          <w:trHeight w:val="210"/>
        </w:trPr>
        <w:tc>
          <w:tcPr>
            <w:tcW w:w="6660" w:type="dxa"/>
            <w:vAlign w:val="bottom"/>
          </w:tcPr>
          <w:p>
            <w:pPr>
              <w:ind w:left="1340"/>
              <w:spacing w:after="0"/>
              <w:rPr>
                <w:sz w:val="20"/>
                <w:szCs w:val="20"/>
                <w:color w:val="auto"/>
              </w:rPr>
            </w:pPr>
            <w:r>
              <w:rPr>
                <w:rFonts w:ascii="Arial" w:cs="Arial" w:eastAsia="Arial" w:hAnsi="Arial"/>
                <w:sz w:val="16"/>
                <w:szCs w:val="16"/>
                <w:color w:val="auto"/>
              </w:rPr>
              <w:t>NPAs as a percentage of total assets</w:t>
            </w:r>
          </w:p>
        </w:tc>
        <w:tc>
          <w:tcPr>
            <w:tcW w:w="30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0.25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0.35</w:t>
            </w:r>
          </w:p>
        </w:tc>
        <w:tc>
          <w:tcPr>
            <w:tcW w:w="1340" w:type="dxa"/>
            <w:vAlign w:val="bottom"/>
          </w:tcPr>
          <w:p>
            <w:pPr>
              <w:spacing w:after="0"/>
              <w:rPr>
                <w:sz w:val="18"/>
                <w:szCs w:val="18"/>
                <w:color w:val="auto"/>
              </w:rPr>
            </w:pPr>
          </w:p>
        </w:tc>
      </w:tr>
    </w:tbl>
    <w:p>
      <w:pPr>
        <w:spacing w:after="0" w:line="3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June 30, 2021 and December 31, 2020, we had $57.3 million and $61.6 million, respectively, in loans with terms that have been modified in TDRs. Included therein were $16.7 million and $20.6 million, respectively, of TDRs that were classified as nonaccrual and were included in nonperforming loans. The remaining TDRs with an aggregate balance of $40.6 million and $41.0 million, respectively, were performing according to their modified terms and were therefore not considered to be nonperforming assets.</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CARES Act and interagency guidance granted temporary relief from TDR classification for certain loans restructured as a result of COVID-19. During 2020, we granted a significant number of payment deferral requests to our borrowers related to the economic disruption created by COVID-19. We continued to grant payment deferral requests in 2021 to certain borrowers. The following table presents remaining COVID-19 related deferrals that, to the extent they qualified for exemption, were not considered TDRs as of June 30, 2021 and December 31, 2020.</w:t>
      </w:r>
    </w:p>
    <w:p>
      <w:pPr>
        <w:spacing w:after="0" w:line="23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Table 13 - COVID-19 Deferrals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30,</w:t>
            </w:r>
          </w:p>
        </w:tc>
        <w:tc>
          <w:tcPr>
            <w:tcW w:w="140" w:type="dxa"/>
            <w:vAlign w:val="bottom"/>
          </w:tcPr>
          <w:p>
            <w:pPr>
              <w:spacing w:after="0"/>
              <w:rPr>
                <w:sz w:val="16"/>
                <w:szCs w:val="16"/>
                <w:color w:val="auto"/>
              </w:rPr>
            </w:pPr>
          </w:p>
        </w:tc>
        <w:tc>
          <w:tcPr>
            <w:tcW w:w="346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62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2300" w:type="dxa"/>
            <w:vAlign w:val="bottom"/>
            <w:tcBorders>
              <w:bottom w:val="single" w:sz="8" w:color="CCEEFF"/>
            </w:tcBorders>
          </w:tcPr>
          <w:p>
            <w:pPr>
              <w:spacing w:after="0"/>
              <w:rPr>
                <w:sz w:val="18"/>
                <w:szCs w:val="18"/>
                <w:color w:val="auto"/>
              </w:rPr>
            </w:pPr>
          </w:p>
        </w:tc>
      </w:tr>
      <w:tr>
        <w:trPr>
          <w:trHeight w:val="212"/>
        </w:trPr>
        <w:tc>
          <w:tcPr>
            <w:tcW w:w="6280" w:type="dxa"/>
            <w:vAlign w:val="bottom"/>
            <w:shd w:val="clear" w:color="auto" w:fill="CCEEFF"/>
          </w:tcPr>
          <w:p>
            <w:pPr>
              <w:ind w:left="1920"/>
              <w:spacing w:after="0"/>
              <w:rPr>
                <w:sz w:val="20"/>
                <w:szCs w:val="20"/>
                <w:color w:val="auto"/>
              </w:rPr>
            </w:pPr>
            <w:r>
              <w:rPr>
                <w:rFonts w:ascii="Arial" w:cs="Arial" w:eastAsia="Arial" w:hAnsi="Arial"/>
                <w:sz w:val="16"/>
                <w:szCs w:val="16"/>
                <w:color w:val="auto"/>
              </w:rPr>
              <w:t>Owner occupied commercial real estate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4,774</w:t>
            </w:r>
          </w:p>
        </w:tc>
        <w:tc>
          <w:tcPr>
            <w:tcW w:w="2300" w:type="dxa"/>
            <w:vAlign w:val="bottom"/>
            <w:shd w:val="clear" w:color="auto" w:fill="CCEEFF"/>
          </w:tcPr>
          <w:p>
            <w:pPr>
              <w:spacing w:after="0"/>
              <w:rPr>
                <w:sz w:val="18"/>
                <w:szCs w:val="18"/>
                <w:color w:val="auto"/>
              </w:rPr>
            </w:pPr>
          </w:p>
        </w:tc>
      </w:tr>
      <w:tr>
        <w:trPr>
          <w:trHeight w:val="213"/>
        </w:trPr>
        <w:tc>
          <w:tcPr>
            <w:tcW w:w="6280" w:type="dxa"/>
            <w:vAlign w:val="bottom"/>
          </w:tcPr>
          <w:p>
            <w:pPr>
              <w:ind w:left="1920"/>
              <w:spacing w:after="0"/>
              <w:rPr>
                <w:sz w:val="20"/>
                <w:szCs w:val="20"/>
                <w:color w:val="auto"/>
              </w:rPr>
            </w:pPr>
            <w:r>
              <w:rPr>
                <w:rFonts w:ascii="Arial" w:cs="Arial" w:eastAsia="Arial" w:hAnsi="Arial"/>
                <w:sz w:val="16"/>
                <w:szCs w:val="16"/>
                <w:color w:val="auto"/>
              </w:rPr>
              <w:t>Income producing commercial real estate</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7,791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45,190</w:t>
            </w:r>
          </w:p>
        </w:tc>
        <w:tc>
          <w:tcPr>
            <w:tcW w:w="2300" w:type="dxa"/>
            <w:vAlign w:val="bottom"/>
          </w:tcPr>
          <w:p>
            <w:pPr>
              <w:spacing w:after="0"/>
              <w:rPr>
                <w:sz w:val="18"/>
                <w:szCs w:val="18"/>
                <w:color w:val="auto"/>
              </w:rPr>
            </w:pPr>
          </w:p>
        </w:tc>
      </w:tr>
      <w:tr>
        <w:trPr>
          <w:trHeight w:val="219"/>
        </w:trPr>
        <w:tc>
          <w:tcPr>
            <w:tcW w:w="6280" w:type="dxa"/>
            <w:vAlign w:val="bottom"/>
            <w:shd w:val="clear" w:color="auto" w:fill="CCEEFF"/>
          </w:tcPr>
          <w:p>
            <w:pPr>
              <w:ind w:left="1920"/>
              <w:spacing w:after="0"/>
              <w:rPr>
                <w:sz w:val="20"/>
                <w:szCs w:val="20"/>
                <w:color w:val="auto"/>
              </w:rPr>
            </w:pPr>
            <w:r>
              <w:rPr>
                <w:rFonts w:ascii="Arial" w:cs="Arial" w:eastAsia="Arial" w:hAnsi="Arial"/>
                <w:sz w:val="16"/>
                <w:szCs w:val="16"/>
                <w:color w:val="auto"/>
              </w:rPr>
              <w:t>Commercial &amp; industrial</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5,682</w:t>
            </w:r>
          </w:p>
        </w:tc>
        <w:tc>
          <w:tcPr>
            <w:tcW w:w="2300" w:type="dxa"/>
            <w:vAlign w:val="bottom"/>
            <w:shd w:val="clear" w:color="auto" w:fill="CCEEFF"/>
          </w:tcPr>
          <w:p>
            <w:pPr>
              <w:spacing w:after="0"/>
              <w:rPr>
                <w:sz w:val="19"/>
                <w:szCs w:val="19"/>
                <w:color w:val="auto"/>
              </w:rPr>
            </w:pPr>
          </w:p>
        </w:tc>
      </w:tr>
      <w:tr>
        <w:trPr>
          <w:trHeight w:val="213"/>
        </w:trPr>
        <w:tc>
          <w:tcPr>
            <w:tcW w:w="6280" w:type="dxa"/>
            <w:vAlign w:val="bottom"/>
          </w:tcPr>
          <w:p>
            <w:pPr>
              <w:ind w:left="1920"/>
              <w:spacing w:after="0"/>
              <w:rPr>
                <w:sz w:val="20"/>
                <w:szCs w:val="20"/>
                <w:color w:val="auto"/>
              </w:rPr>
            </w:pPr>
            <w:r>
              <w:rPr>
                <w:rFonts w:ascii="Arial" w:cs="Arial" w:eastAsia="Arial" w:hAnsi="Arial"/>
                <w:sz w:val="16"/>
                <w:szCs w:val="16"/>
                <w:color w:val="auto"/>
              </w:rPr>
              <w:t>Commercial construction</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1,745</w:t>
            </w:r>
          </w:p>
        </w:tc>
        <w:tc>
          <w:tcPr>
            <w:tcW w:w="2300" w:type="dxa"/>
            <w:vAlign w:val="bottom"/>
          </w:tcPr>
          <w:p>
            <w:pPr>
              <w:spacing w:after="0"/>
              <w:rPr>
                <w:sz w:val="18"/>
                <w:szCs w:val="18"/>
                <w:color w:val="auto"/>
              </w:rPr>
            </w:pPr>
          </w:p>
        </w:tc>
      </w:tr>
      <w:tr>
        <w:trPr>
          <w:trHeight w:val="219"/>
        </w:trPr>
        <w:tc>
          <w:tcPr>
            <w:tcW w:w="6280" w:type="dxa"/>
            <w:vAlign w:val="bottom"/>
            <w:shd w:val="clear" w:color="auto" w:fill="CCEEFF"/>
          </w:tcPr>
          <w:p>
            <w:pPr>
              <w:ind w:left="1920"/>
              <w:spacing w:after="0"/>
              <w:rPr>
                <w:sz w:val="20"/>
                <w:szCs w:val="20"/>
                <w:color w:val="auto"/>
              </w:rPr>
            </w:pPr>
            <w:r>
              <w:rPr>
                <w:rFonts w:ascii="Arial" w:cs="Arial" w:eastAsia="Arial" w:hAnsi="Arial"/>
                <w:sz w:val="16"/>
                <w:szCs w:val="16"/>
                <w:color w:val="auto"/>
              </w:rPr>
              <w:t>Equipment financing</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5,512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3,474</w:t>
            </w:r>
          </w:p>
        </w:tc>
        <w:tc>
          <w:tcPr>
            <w:tcW w:w="2300" w:type="dxa"/>
            <w:vAlign w:val="bottom"/>
            <w:shd w:val="clear" w:color="auto" w:fill="CCEEFF"/>
          </w:tcPr>
          <w:p>
            <w:pPr>
              <w:spacing w:after="0"/>
              <w:rPr>
                <w:sz w:val="19"/>
                <w:szCs w:val="19"/>
                <w:color w:val="auto"/>
              </w:rPr>
            </w:pPr>
          </w:p>
        </w:tc>
      </w:tr>
      <w:tr>
        <w:trPr>
          <w:trHeight w:val="207"/>
        </w:trPr>
        <w:tc>
          <w:tcPr>
            <w:tcW w:w="6280" w:type="dxa"/>
            <w:vAlign w:val="bottom"/>
          </w:tcPr>
          <w:p>
            <w:pPr>
              <w:ind w:left="2020"/>
              <w:spacing w:after="0"/>
              <w:rPr>
                <w:sz w:val="20"/>
                <w:szCs w:val="20"/>
                <w:color w:val="auto"/>
              </w:rPr>
            </w:pPr>
            <w:r>
              <w:rPr>
                <w:rFonts w:ascii="Arial" w:cs="Arial" w:eastAsia="Arial" w:hAnsi="Arial"/>
                <w:sz w:val="16"/>
                <w:szCs w:val="16"/>
                <w:color w:val="auto"/>
              </w:rPr>
              <w:t>Total commercial</w:t>
            </w: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15,957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60,865</w:t>
            </w:r>
          </w:p>
        </w:tc>
        <w:tc>
          <w:tcPr>
            <w:tcW w:w="2300" w:type="dxa"/>
            <w:vAlign w:val="bottom"/>
          </w:tcPr>
          <w:p>
            <w:pPr>
              <w:spacing w:after="0"/>
              <w:rPr>
                <w:sz w:val="17"/>
                <w:szCs w:val="17"/>
                <w:color w:val="auto"/>
              </w:rPr>
            </w:pPr>
          </w:p>
        </w:tc>
      </w:tr>
      <w:tr>
        <w:trPr>
          <w:trHeight w:val="219"/>
        </w:trPr>
        <w:tc>
          <w:tcPr>
            <w:tcW w:w="6280" w:type="dxa"/>
            <w:vAlign w:val="bottom"/>
            <w:shd w:val="clear" w:color="auto" w:fill="CCEEFF"/>
          </w:tcPr>
          <w:p>
            <w:pPr>
              <w:ind w:left="1920"/>
              <w:spacing w:after="0"/>
              <w:rPr>
                <w:sz w:val="20"/>
                <w:szCs w:val="20"/>
                <w:color w:val="auto"/>
              </w:rPr>
            </w:pPr>
            <w:r>
              <w:rPr>
                <w:rFonts w:ascii="Arial" w:cs="Arial" w:eastAsia="Arial" w:hAnsi="Arial"/>
                <w:sz w:val="16"/>
                <w:szCs w:val="16"/>
                <w:color w:val="auto"/>
              </w:rPr>
              <w:t>Residential mortgage</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8,731</w:t>
            </w:r>
          </w:p>
        </w:tc>
        <w:tc>
          <w:tcPr>
            <w:tcW w:w="2300" w:type="dxa"/>
            <w:vAlign w:val="bottom"/>
            <w:shd w:val="clear" w:color="auto" w:fill="CCEEFF"/>
          </w:tcPr>
          <w:p>
            <w:pPr>
              <w:spacing w:after="0"/>
              <w:rPr>
                <w:sz w:val="19"/>
                <w:szCs w:val="19"/>
                <w:color w:val="auto"/>
              </w:rPr>
            </w:pPr>
          </w:p>
        </w:tc>
      </w:tr>
      <w:tr>
        <w:trPr>
          <w:trHeight w:val="213"/>
        </w:trPr>
        <w:tc>
          <w:tcPr>
            <w:tcW w:w="6280" w:type="dxa"/>
            <w:vAlign w:val="bottom"/>
          </w:tcPr>
          <w:p>
            <w:pPr>
              <w:ind w:left="1920"/>
              <w:spacing w:after="0"/>
              <w:rPr>
                <w:sz w:val="20"/>
                <w:szCs w:val="20"/>
                <w:color w:val="auto"/>
              </w:rPr>
            </w:pPr>
            <w:r>
              <w:rPr>
                <w:rFonts w:ascii="Arial" w:cs="Arial" w:eastAsia="Arial" w:hAnsi="Arial"/>
                <w:sz w:val="16"/>
                <w:szCs w:val="16"/>
                <w:color w:val="auto"/>
              </w:rPr>
              <w:t>HELOC</w:t>
            </w:r>
          </w:p>
        </w:tc>
        <w:tc>
          <w:tcPr>
            <w:tcW w:w="2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1,012</w:t>
            </w:r>
          </w:p>
        </w:tc>
        <w:tc>
          <w:tcPr>
            <w:tcW w:w="2300" w:type="dxa"/>
            <w:vAlign w:val="bottom"/>
          </w:tcPr>
          <w:p>
            <w:pPr>
              <w:spacing w:after="0"/>
              <w:rPr>
                <w:sz w:val="18"/>
                <w:szCs w:val="18"/>
                <w:color w:val="auto"/>
              </w:rPr>
            </w:pPr>
          </w:p>
        </w:tc>
      </w:tr>
      <w:tr>
        <w:trPr>
          <w:trHeight w:val="219"/>
        </w:trPr>
        <w:tc>
          <w:tcPr>
            <w:tcW w:w="6280" w:type="dxa"/>
            <w:vAlign w:val="bottom"/>
            <w:shd w:val="clear" w:color="auto" w:fill="CCEEFF"/>
          </w:tcPr>
          <w:p>
            <w:pPr>
              <w:ind w:left="1920"/>
              <w:spacing w:after="0"/>
              <w:rPr>
                <w:sz w:val="20"/>
                <w:szCs w:val="20"/>
                <w:color w:val="auto"/>
              </w:rPr>
            </w:pPr>
            <w:r>
              <w:rPr>
                <w:rFonts w:ascii="Arial" w:cs="Arial" w:eastAsia="Arial" w:hAnsi="Arial"/>
                <w:sz w:val="16"/>
                <w:szCs w:val="16"/>
                <w:color w:val="auto"/>
              </w:rPr>
              <w:t>Residential construction</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2300" w:type="dxa"/>
            <w:vAlign w:val="bottom"/>
            <w:shd w:val="clear" w:color="auto" w:fill="CCEEFF"/>
          </w:tcPr>
          <w:p>
            <w:pPr>
              <w:spacing w:after="0"/>
              <w:rPr>
                <w:sz w:val="19"/>
                <w:szCs w:val="19"/>
                <w:color w:val="auto"/>
              </w:rPr>
            </w:pPr>
          </w:p>
        </w:tc>
      </w:tr>
      <w:tr>
        <w:trPr>
          <w:trHeight w:val="213"/>
        </w:trPr>
        <w:tc>
          <w:tcPr>
            <w:tcW w:w="6280" w:type="dxa"/>
            <w:vAlign w:val="bottom"/>
            <w:tcBorders>
              <w:bottom w:val="single" w:sz="8" w:color="CCEEFF"/>
            </w:tcBorders>
          </w:tcPr>
          <w:p>
            <w:pPr>
              <w:ind w:left="1920"/>
              <w:spacing w:after="0"/>
              <w:rPr>
                <w:sz w:val="20"/>
                <w:szCs w:val="20"/>
                <w:color w:val="auto"/>
              </w:rPr>
            </w:pPr>
            <w:r>
              <w:rPr>
                <w:rFonts w:ascii="Arial" w:cs="Arial" w:eastAsia="Arial" w:hAnsi="Arial"/>
                <w:sz w:val="16"/>
                <w:szCs w:val="16"/>
                <w:color w:val="auto"/>
              </w:rPr>
              <w:t>Consumer</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2300" w:type="dxa"/>
            <w:vAlign w:val="bottom"/>
            <w:tcBorders>
              <w:bottom w:val="single" w:sz="8" w:color="CCEEFF"/>
            </w:tcBorders>
          </w:tcPr>
          <w:p>
            <w:pPr>
              <w:spacing w:after="0"/>
              <w:rPr>
                <w:sz w:val="18"/>
                <w:szCs w:val="18"/>
                <w:color w:val="auto"/>
              </w:rPr>
            </w:pPr>
          </w:p>
        </w:tc>
      </w:tr>
      <w:tr>
        <w:trPr>
          <w:trHeight w:val="238"/>
        </w:trPr>
        <w:tc>
          <w:tcPr>
            <w:tcW w:w="6280" w:type="dxa"/>
            <w:vAlign w:val="bottom"/>
            <w:tcBorders>
              <w:bottom w:val="single" w:sz="8" w:color="CCEEFF"/>
            </w:tcBorders>
            <w:shd w:val="clear" w:color="auto" w:fill="CCEEFF"/>
          </w:tcPr>
          <w:p>
            <w:pPr>
              <w:ind w:left="2020"/>
              <w:spacing w:after="0"/>
              <w:rPr>
                <w:sz w:val="20"/>
                <w:szCs w:val="20"/>
                <w:color w:val="auto"/>
              </w:rPr>
            </w:pPr>
            <w:r>
              <w:rPr>
                <w:rFonts w:ascii="Arial" w:cs="Arial" w:eastAsia="Arial" w:hAnsi="Arial"/>
                <w:sz w:val="16"/>
                <w:szCs w:val="16"/>
                <w:color w:val="auto"/>
              </w:rPr>
              <w:t>Total COVID-19 deferrals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17,813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70,709</w:t>
            </w:r>
          </w:p>
        </w:tc>
        <w:tc>
          <w:tcPr>
            <w:tcW w:w="2300" w:type="dxa"/>
            <w:vAlign w:val="bottom"/>
            <w:tcBorders>
              <w:bottom w:val="single" w:sz="8" w:color="CCEEFF"/>
            </w:tcBorders>
            <w:shd w:val="clear" w:color="auto" w:fill="CCEEFF"/>
          </w:tcPr>
          <w:p>
            <w:pPr>
              <w:spacing w:after="0"/>
              <w:rPr>
                <w:sz w:val="20"/>
                <w:szCs w:val="20"/>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composition of the investment securities portfolio reflects our investment strategy of maintaining an appropriate level of liquidity while providing a relatively stable source of revenue. The investment securities portfolio also provides a balance to interest rate risk and credit risk in other categories of the balance sheet while providing a vehicle for the investment of available funds, furnishing liquidity, and supplying securities to pledge as required collateral for certain deposits and borrowings.</w:t>
      </w:r>
    </w:p>
    <w:p>
      <w:pPr>
        <w:spacing w:after="0" w:line="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June 30, 2021 and December 31, 2020, we had HTM debt securities with a carrying amount of $852 million and $420 million, respectively, and AFS debt securities totaling $4.08 billion and $3.22 billion, respectively. The increased balances at June 30, 2021 reflect our decision to deploy liquidity generated through strong deposit growth by purchasing additional investment securities. At June 30, 2021 and December 31, 2020, the securities portfolio represented approximately 26% and 20%, respectively, of total assets.</w:t>
      </w:r>
    </w:p>
    <w:p>
      <w:pPr>
        <w:spacing w:after="0" w:line="10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accordance with CECL, our HTM debt securities portfolio is evaluated quarterly to assess whether an ACL is required. We measure expected credit losses on HTM debt securities on a collective basis by major security type. The estimate of expected credit losses considers historical credit loss information that is adjusted for current conditions and reasonable and supportable forecasts. At June 30, 2021 and December 31, 2020, calculated credit losses on HTM debt securities were not material due to the high credit quality of the portfolio, which included securities issued or guaranteed by U.S. Government agencies, GSEs, high credit quality municipalities and supranational entities. As a result, no ACL for HTM debt securities was recorded.</w:t>
      </w:r>
    </w:p>
    <w:p>
      <w:pPr>
        <w:spacing w:after="0" w:line="6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For AFS debt securities in an unrealized loss position, if we intend to sell, or if it is more likely than not that we will be required to sell the security before recovery of its amortized cost basis, the security's amortized cost basis is written down to fair value through income. Absent an intent or more than likely requirement to sell, we evaluate whether the decline in fair value has resulted from credit losses or other factors. The evaluation considers factors such as the extent to which fair value is less than amortized cost, changes to the security’s rating, and adverse conditions specific to the security. If the evaluation indicates a credit loss exists, an ACL may be recorded, with such allowance limited to the amount by which fair value is below amortized cost. Any impairment unrelated to credit factors is recognized in OCI. At June 30, 2021 and December 31, 2020, there was no ACL related to the AFS debt securities portfolio. Losses on fixed income securities at June 30, 2021 and December 31, 2020 primarily reflected the effect of changes in interest rates.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Customer deposits are the primary source of funds for the continued growth of our earning assets. Our high level of service, as evidenced by our strong customer satisfaction scores, has been instrumental in attracting and retaining customer deposit accounts. In addition to organic growth, at June 30, 2021, the increase in core transaction deposits was also attributable to PPP-related deposits. The growth in customer deposits has allowed us to reduce our usage of brokered deposits, which is reflected in the decrease since December 31, 2020. The decline in time deposits is mostly driven by customer preference to allocate funds to transaction deposits in the current low rate environment. The following table sets forth the deposit composition for the periods indicated.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14 - Deposits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130"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5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 2021</w:t>
            </w:r>
          </w:p>
        </w:tc>
        <w:tc>
          <w:tcPr>
            <w:tcW w:w="220" w:type="dxa"/>
            <w:vAlign w:val="bottom"/>
          </w:tcPr>
          <w:p>
            <w:pPr>
              <w:spacing w:after="0"/>
              <w:rPr>
                <w:sz w:val="18"/>
                <w:szCs w:val="18"/>
                <w:color w:val="auto"/>
              </w:rPr>
            </w:pPr>
          </w:p>
        </w:tc>
        <w:tc>
          <w:tcPr>
            <w:tcW w:w="322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 2020</w:t>
            </w:r>
          </w:p>
        </w:tc>
      </w:tr>
      <w:tr>
        <w:trPr>
          <w:trHeight w:val="213"/>
        </w:trPr>
        <w:tc>
          <w:tcPr>
            <w:tcW w:w="5540" w:type="dxa"/>
            <w:vAlign w:val="bottom"/>
            <w:tcBorders>
              <w:top w:val="single" w:sz="8" w:color="CCEEFF"/>
            </w:tcBorders>
            <w:shd w:val="clear" w:color="auto" w:fill="CCEEFF"/>
          </w:tcPr>
          <w:p>
            <w:pPr>
              <w:ind w:left="1600"/>
              <w:spacing w:after="0"/>
              <w:rPr>
                <w:sz w:val="20"/>
                <w:szCs w:val="20"/>
                <w:color w:val="auto"/>
              </w:rPr>
            </w:pPr>
            <w:r>
              <w:rPr>
                <w:rFonts w:ascii="Arial" w:cs="Arial" w:eastAsia="Arial" w:hAnsi="Arial"/>
                <w:sz w:val="16"/>
                <w:szCs w:val="16"/>
                <w:color w:val="auto"/>
              </w:rPr>
              <w:t>Noninterest-bearing demand</w:t>
            </w: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6,260,756</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5,390,291</w:t>
            </w:r>
          </w:p>
        </w:tc>
        <w:tc>
          <w:tcPr>
            <w:tcW w:w="1500" w:type="dxa"/>
            <w:vAlign w:val="bottom"/>
            <w:tcBorders>
              <w:top w:val="single" w:sz="8" w:color="CCEEFF"/>
            </w:tcBorders>
            <w:shd w:val="clear" w:color="auto" w:fill="CCEEFF"/>
          </w:tcPr>
          <w:p>
            <w:pPr>
              <w:spacing w:after="0"/>
              <w:rPr>
                <w:sz w:val="18"/>
                <w:szCs w:val="18"/>
                <w:color w:val="auto"/>
              </w:rPr>
            </w:pPr>
          </w:p>
        </w:tc>
      </w:tr>
      <w:tr>
        <w:trPr>
          <w:trHeight w:val="213"/>
        </w:trPr>
        <w:tc>
          <w:tcPr>
            <w:tcW w:w="5540" w:type="dxa"/>
            <w:vAlign w:val="bottom"/>
          </w:tcPr>
          <w:p>
            <w:pPr>
              <w:ind w:left="1600"/>
              <w:spacing w:after="0"/>
              <w:rPr>
                <w:sz w:val="20"/>
                <w:szCs w:val="20"/>
                <w:color w:val="auto"/>
              </w:rPr>
            </w:pPr>
            <w:r>
              <w:rPr>
                <w:rFonts w:ascii="Arial" w:cs="Arial" w:eastAsia="Arial" w:hAnsi="Arial"/>
                <w:sz w:val="16"/>
                <w:szCs w:val="16"/>
                <w:color w:val="auto"/>
              </w:rPr>
              <w:t>NOW and interest-bearing demand</w:t>
            </w: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3,518,686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3,346,490</w:t>
            </w:r>
          </w:p>
        </w:tc>
        <w:tc>
          <w:tcPr>
            <w:tcW w:w="1500" w:type="dxa"/>
            <w:vAlign w:val="bottom"/>
          </w:tcPr>
          <w:p>
            <w:pPr>
              <w:spacing w:after="0"/>
              <w:rPr>
                <w:sz w:val="18"/>
                <w:szCs w:val="18"/>
                <w:color w:val="auto"/>
              </w:rPr>
            </w:pPr>
          </w:p>
        </w:tc>
      </w:tr>
      <w:tr>
        <w:trPr>
          <w:trHeight w:val="219"/>
        </w:trPr>
        <w:tc>
          <w:tcPr>
            <w:tcW w:w="5540" w:type="dxa"/>
            <w:vAlign w:val="bottom"/>
            <w:shd w:val="clear" w:color="auto" w:fill="CCEEFF"/>
          </w:tcPr>
          <w:p>
            <w:pPr>
              <w:ind w:left="1600"/>
              <w:spacing w:after="0"/>
              <w:rPr>
                <w:sz w:val="20"/>
                <w:szCs w:val="20"/>
                <w:color w:val="auto"/>
              </w:rPr>
            </w:pPr>
            <w:r>
              <w:rPr>
                <w:rFonts w:ascii="Arial" w:cs="Arial" w:eastAsia="Arial" w:hAnsi="Arial"/>
                <w:sz w:val="16"/>
                <w:szCs w:val="16"/>
                <w:color w:val="auto"/>
              </w:rPr>
              <w:t>Money market and savings</w:t>
            </w: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4,864,308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4,501,189</w:t>
            </w:r>
          </w:p>
        </w:tc>
        <w:tc>
          <w:tcPr>
            <w:tcW w:w="1500" w:type="dxa"/>
            <w:vAlign w:val="bottom"/>
            <w:shd w:val="clear" w:color="auto" w:fill="CCEEFF"/>
          </w:tcPr>
          <w:p>
            <w:pPr>
              <w:spacing w:after="0"/>
              <w:rPr>
                <w:sz w:val="19"/>
                <w:szCs w:val="19"/>
                <w:color w:val="auto"/>
              </w:rPr>
            </w:pPr>
          </w:p>
        </w:tc>
      </w:tr>
      <w:tr>
        <w:trPr>
          <w:trHeight w:val="213"/>
        </w:trPr>
        <w:tc>
          <w:tcPr>
            <w:tcW w:w="5540" w:type="dxa"/>
            <w:vAlign w:val="bottom"/>
            <w:tcBorders>
              <w:bottom w:val="single" w:sz="8" w:color="CCEEFF"/>
            </w:tcBorders>
          </w:tcPr>
          <w:p>
            <w:pPr>
              <w:ind w:left="1600"/>
              <w:spacing w:after="0"/>
              <w:rPr>
                <w:sz w:val="20"/>
                <w:szCs w:val="20"/>
                <w:color w:val="auto"/>
              </w:rPr>
            </w:pPr>
            <w:r>
              <w:rPr>
                <w:rFonts w:ascii="Arial" w:cs="Arial" w:eastAsia="Arial" w:hAnsi="Arial"/>
                <w:sz w:val="16"/>
                <w:szCs w:val="16"/>
                <w:color w:val="auto"/>
              </w:rPr>
              <w:t>Time</w:t>
            </w:r>
          </w:p>
        </w:tc>
        <w:tc>
          <w:tcPr>
            <w:tcW w:w="3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1,500,049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1,704,290</w:t>
            </w:r>
          </w:p>
        </w:tc>
        <w:tc>
          <w:tcPr>
            <w:tcW w:w="1500" w:type="dxa"/>
            <w:vAlign w:val="bottom"/>
            <w:tcBorders>
              <w:bottom w:val="single" w:sz="8" w:color="CCEEFF"/>
            </w:tcBorders>
          </w:tcPr>
          <w:p>
            <w:pPr>
              <w:spacing w:after="0"/>
              <w:rPr>
                <w:sz w:val="18"/>
                <w:szCs w:val="18"/>
                <w:color w:val="auto"/>
              </w:rPr>
            </w:pPr>
          </w:p>
        </w:tc>
      </w:tr>
      <w:tr>
        <w:trPr>
          <w:trHeight w:val="213"/>
        </w:trPr>
        <w:tc>
          <w:tcPr>
            <w:tcW w:w="5540" w:type="dxa"/>
            <w:vAlign w:val="bottom"/>
            <w:shd w:val="clear" w:color="auto" w:fill="CCEEFF"/>
          </w:tcPr>
          <w:p>
            <w:pPr>
              <w:ind w:left="1680"/>
              <w:spacing w:after="0"/>
              <w:rPr>
                <w:sz w:val="20"/>
                <w:szCs w:val="20"/>
                <w:color w:val="auto"/>
              </w:rPr>
            </w:pPr>
            <w:r>
              <w:rPr>
                <w:rFonts w:ascii="Arial" w:cs="Arial" w:eastAsia="Arial" w:hAnsi="Arial"/>
                <w:sz w:val="16"/>
                <w:szCs w:val="16"/>
                <w:color w:val="auto"/>
              </w:rPr>
              <w:t>Total customer deposits</w:t>
            </w:r>
          </w:p>
        </w:tc>
        <w:tc>
          <w:tcPr>
            <w:tcW w:w="3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16,143,799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14,942,260</w:t>
            </w:r>
          </w:p>
        </w:tc>
        <w:tc>
          <w:tcPr>
            <w:tcW w:w="1500" w:type="dxa"/>
            <w:vAlign w:val="bottom"/>
            <w:shd w:val="clear" w:color="auto" w:fill="CCEEFF"/>
          </w:tcPr>
          <w:p>
            <w:pPr>
              <w:spacing w:after="0"/>
              <w:rPr>
                <w:sz w:val="18"/>
                <w:szCs w:val="18"/>
                <w:color w:val="auto"/>
              </w:rPr>
            </w:pPr>
          </w:p>
        </w:tc>
      </w:tr>
      <w:tr>
        <w:trPr>
          <w:trHeight w:val="213"/>
        </w:trPr>
        <w:tc>
          <w:tcPr>
            <w:tcW w:w="5540" w:type="dxa"/>
            <w:vAlign w:val="bottom"/>
            <w:tcBorders>
              <w:bottom w:val="single" w:sz="8" w:color="CCEEFF"/>
            </w:tcBorders>
          </w:tcPr>
          <w:p>
            <w:pPr>
              <w:ind w:left="1600"/>
              <w:spacing w:after="0"/>
              <w:rPr>
                <w:sz w:val="20"/>
                <w:szCs w:val="20"/>
                <w:color w:val="auto"/>
              </w:rPr>
            </w:pPr>
            <w:r>
              <w:rPr>
                <w:rFonts w:ascii="Arial" w:cs="Arial" w:eastAsia="Arial" w:hAnsi="Arial"/>
                <w:sz w:val="16"/>
                <w:szCs w:val="16"/>
                <w:color w:val="auto"/>
              </w:rPr>
              <w:t>Brokered deposits</w:t>
            </w:r>
          </w:p>
        </w:tc>
        <w:tc>
          <w:tcPr>
            <w:tcW w:w="3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183,968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290,098</w:t>
            </w:r>
          </w:p>
        </w:tc>
        <w:tc>
          <w:tcPr>
            <w:tcW w:w="1500" w:type="dxa"/>
            <w:vAlign w:val="bottom"/>
            <w:tcBorders>
              <w:bottom w:val="single" w:sz="8" w:color="CCEEFF"/>
            </w:tcBorders>
          </w:tcPr>
          <w:p>
            <w:pPr>
              <w:spacing w:after="0"/>
              <w:rPr>
                <w:sz w:val="18"/>
                <w:szCs w:val="18"/>
                <w:color w:val="auto"/>
              </w:rPr>
            </w:pPr>
          </w:p>
        </w:tc>
      </w:tr>
      <w:tr>
        <w:trPr>
          <w:trHeight w:val="237"/>
        </w:trPr>
        <w:tc>
          <w:tcPr>
            <w:tcW w:w="5540" w:type="dxa"/>
            <w:vAlign w:val="bottom"/>
            <w:tcBorders>
              <w:bottom w:val="single" w:sz="8" w:color="CCEEFF"/>
            </w:tcBorders>
            <w:shd w:val="clear" w:color="auto" w:fill="CCEEFF"/>
          </w:tcPr>
          <w:p>
            <w:pPr>
              <w:ind w:left="1680"/>
              <w:spacing w:after="0"/>
              <w:rPr>
                <w:sz w:val="20"/>
                <w:szCs w:val="20"/>
                <w:color w:val="auto"/>
              </w:rPr>
            </w:pPr>
            <w:r>
              <w:rPr>
                <w:rFonts w:ascii="Arial" w:cs="Arial" w:eastAsia="Arial" w:hAnsi="Arial"/>
                <w:sz w:val="16"/>
                <w:szCs w:val="16"/>
                <w:color w:val="auto"/>
              </w:rPr>
              <w:t>Total deposits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16,327,767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15,232,358</w:t>
            </w:r>
          </w:p>
        </w:tc>
        <w:tc>
          <w:tcPr>
            <w:tcW w:w="1500" w:type="dxa"/>
            <w:vAlign w:val="bottom"/>
            <w:tcBorders>
              <w:bottom w:val="single" w:sz="8" w:color="CCEEFF"/>
            </w:tcBorders>
            <w:shd w:val="clear" w:color="auto" w:fill="CCEEFF"/>
          </w:tcPr>
          <w:p>
            <w:pPr>
              <w:spacing w:after="0"/>
              <w:rPr>
                <w:sz w:val="20"/>
                <w:szCs w:val="20"/>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 Activities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June 30, 2021 and December 31, 2020, we had long-term debt outstanding of $262 million and $327 million, respectively, which includes senior debentures, subordinated debentures, and trust preferred securities. The reduction in long-term debt since December 31, 2020 was a result of the repayment of the 2025 subordinated debentures, the Southern Bancorp Capital Trust I trust preferred securities and the 2022 senior debentures of $11.3 million, $4.38 million and $50.0 million,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have not been any material changes to our contractual obligations since December 31, 2020.</w:t>
      </w:r>
    </w:p>
    <w:p>
      <w:pPr>
        <w:sectPr>
          <w:pgSz w:w="11900" w:h="16838" w:orient="portrait"/>
          <w:cols w:equalWidth="0" w:num="1">
            <w:col w:w="11240"/>
          </w:cols>
          <w:pgMar w:left="320" w:top="9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 party to financial instruments with off-balance sheet risk in the normal course of business to meet the financing needs of customers. These financial instruments include commitments to extend credit, letters of credit and financial guarantees.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commitment to extend credit is an agreement to lend to a customer as long as there is no violation of any condition established in the contract. Commitments generally have fixed expiration dates or other termination clauses and may require payment of a fee. Letters of credit and financial guarantees are conditional commitments issued to guarantee a customer’s performance to a third party and have essentially the same credit risk as extending loan facilities to customers. Those commitments are primarily issued to local businesses.</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exposure to credit loss in the event of nonperformance by the other party to the commitments to extend credit, letters of credit and financial guarantees is represented by the contractual amount of these instruments. We use the same credit underwriting procedures for making commitments, letters of credit and financial guarantees, as we use for underwriting on-balance sheet instruments. Management evaluates each customer’s creditworthiness on a case-by-case basis and the amount of the collateral, if deemed necessary, is based on the credit evaluation. Collateral held varies, but may include unimproved and improved real estate, certificates of deposit, personal property or other acceptable collateral.</w:t>
      </w:r>
    </w:p>
    <w:p>
      <w:pPr>
        <w:spacing w:after="0" w:line="1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All of these instruments involve, to varying degrees, elements of credit risk in excess of the amount recognized in the balance sheet. The total amount of these instruments does not necessarily represent future cash requirements because a significant portion of these instruments expire without being used. We are not involved in off-balance sheet contractual relationships, other than those disclosed in this report, that could result in liquidity needs or other commitments, or that could significantly affect earnings. See Note 22 to the consolidated financial statements included in our 2020 10-K and Note 12 to the consolidated financial statements in this Report for additional information on off-balance sheet arrangements.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 Management</w:t>
      </w:r>
    </w:p>
    <w:p>
      <w:pPr>
        <w:spacing w:after="0" w:line="25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absolute level and volatility of interest rates can have a significant effect on profitability. The objective of interest rate risk management is to identify and manage the sensitivity of net interest revenue to changing interest rates, consistent with our overall financial goals. Based on economic conditions, asset quality and various other considerations, management establishes tolerance ranges for interest rate sensitivity and manages within these ranges.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interest revenue and the fair value of financial instruments are influenced by changes in the level of interest rates. We limit our exposure to fluctuations in interest rates through policies established by our ALCO and approved by the Board. The ALCO meets periodically and has responsibility for formulating and recommending asset/liability management policies to the Board, formulating and implementing strategies to improve balance sheet positioning and/or earnings, and reviewing interest rate sensitivity.</w:t>
      </w:r>
    </w:p>
    <w:p>
      <w:pPr>
        <w:spacing w:after="0" w:line="21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One of the tools management uses to estimate and manage the sensitivity of net interest revenue to changes in interest rates is an asset/liability simulation model. Resulting estimates are based upon several assumptions for each scenario, including loan and deposit re-pricing characteristics and the rate of prepayments. The ALCO periodically reviews the assumptions for reasonableness based on historical data and future expectations; however, actual net interest revenue may differ from model results. The primary objective of the simulation model is to measure the potential change in net interest revenue over time using multiple interest rate scenarios. The base scenario assumes rates remain flat and is the scenario to which all others are compared, in order to measure the change in net interest revenue. Policy limits are based on immediate rate shock scenarios, as well as gradually rising and falling rate scenarios, which are all compared to the base scenario. Our assumptions include floors such that market rates and discount rates do not go below zero. Other scenarios analyzed may include delayed rate shocks, yield curve steepening or flattening, or other variations in rate movements. While the primary policy scenarios focus on a 12-month time frame, longer time horizons are also modeled.</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policy is based on the 12-month impact on net interest revenue of interest rate shocks and ramps that increase from 100 to 400 basis points or decrease 100 to 200 basis points from the base scenario. In the shock scenarios, rates immediately change the full amount at the scenario onset. In the ramp scenarios, rates change by 25 basis points per month. Our policy limits the projected change in net interest revenue over the first 12 months to an 8% decrease for each 100 basis point change in the increasing and decreasing rate ramp and shock scenarios. The following table presents our interest sensitivity position at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Table 15 - Interest Sensitivity</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2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120" w:type="dxa"/>
            <w:vAlign w:val="bottom"/>
            <w:gridSpan w:val="8"/>
          </w:tcPr>
          <w:p>
            <w:pPr>
              <w:jc w:val="center"/>
              <w:ind w:right="1560"/>
              <w:spacing w:after="0"/>
              <w:rPr>
                <w:sz w:val="20"/>
                <w:szCs w:val="20"/>
                <w:color w:val="auto"/>
              </w:rPr>
            </w:pPr>
            <w:r>
              <w:rPr>
                <w:rFonts w:ascii="Arial" w:cs="Arial" w:eastAsia="Arial" w:hAnsi="Arial"/>
                <w:sz w:val="16"/>
                <w:szCs w:val="16"/>
                <w:b w:val="1"/>
                <w:bCs w:val="1"/>
                <w:color w:val="auto"/>
                <w:w w:val="90"/>
              </w:rPr>
              <w:t>Increase (Decrease) in Net Interest Revenue from Base Scenario</w:t>
            </w:r>
          </w:p>
        </w:tc>
      </w:tr>
      <w:tr>
        <w:trPr>
          <w:trHeight w:val="213"/>
        </w:trPr>
        <w:tc>
          <w:tcPr>
            <w:tcW w:w="15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center"/>
              <w:ind w:right="1140"/>
              <w:spacing w:after="0"/>
              <w:rPr>
                <w:sz w:val="20"/>
                <w:szCs w:val="20"/>
                <w:color w:val="auto"/>
              </w:rPr>
            </w:pPr>
            <w:r>
              <w:rPr>
                <w:rFonts w:ascii="Arial" w:cs="Arial" w:eastAsia="Arial" w:hAnsi="Arial"/>
                <w:sz w:val="16"/>
                <w:szCs w:val="16"/>
                <w:b w:val="1"/>
                <w:bCs w:val="1"/>
                <w:color w:val="auto"/>
                <w:w w:val="98"/>
              </w:rPr>
              <w:t>at</w:t>
            </w:r>
          </w:p>
        </w:tc>
        <w:tc>
          <w:tcPr>
            <w:tcW w:w="1060" w:type="dxa"/>
            <w:vAlign w:val="bottom"/>
            <w:tcBorders>
              <w:bottom w:val="single" w:sz="8" w:color="auto"/>
            </w:tcBorders>
          </w:tcPr>
          <w:p>
            <w:pPr>
              <w:spacing w:after="0"/>
              <w:rPr>
                <w:sz w:val="18"/>
                <w:szCs w:val="18"/>
                <w:color w:val="auto"/>
              </w:rPr>
            </w:pPr>
          </w:p>
        </w:tc>
        <w:tc>
          <w:tcPr>
            <w:tcW w:w="1560" w:type="dxa"/>
            <w:vAlign w:val="bottom"/>
          </w:tcPr>
          <w:p>
            <w:pPr>
              <w:spacing w:after="0"/>
              <w:rPr>
                <w:sz w:val="18"/>
                <w:szCs w:val="18"/>
                <w:color w:val="auto"/>
              </w:rPr>
            </w:pPr>
          </w:p>
        </w:tc>
      </w:tr>
      <w:tr>
        <w:trPr>
          <w:trHeight w:val="207"/>
        </w:trPr>
        <w:tc>
          <w:tcPr>
            <w:tcW w:w="152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20" w:type="dxa"/>
            <w:vAlign w:val="bottom"/>
            <w:tcBorders>
              <w:bottom w:val="single" w:sz="8" w:color="auto"/>
            </w:tcBorders>
            <w:gridSpan w:val="3"/>
          </w:tcPr>
          <w:p>
            <w:pPr>
              <w:jc w:val="right"/>
              <w:ind w:right="559"/>
              <w:spacing w:after="0"/>
              <w:rPr>
                <w:sz w:val="20"/>
                <w:szCs w:val="20"/>
                <w:color w:val="auto"/>
              </w:rPr>
            </w:pPr>
            <w:r>
              <w:rPr>
                <w:rFonts w:ascii="Arial" w:cs="Arial" w:eastAsia="Arial" w:hAnsi="Arial"/>
                <w:sz w:val="16"/>
                <w:szCs w:val="16"/>
                <w:b w:val="1"/>
                <w:bCs w:val="1"/>
                <w:color w:val="auto"/>
              </w:rPr>
              <w:t>June 30, 2021</w:t>
            </w:r>
          </w:p>
        </w:tc>
        <w:tc>
          <w:tcPr>
            <w:tcW w:w="100" w:type="dxa"/>
            <w:vAlign w:val="bottom"/>
          </w:tcPr>
          <w:p>
            <w:pPr>
              <w:spacing w:after="0"/>
              <w:rPr>
                <w:sz w:val="17"/>
                <w:szCs w:val="17"/>
                <w:color w:val="auto"/>
              </w:rPr>
            </w:pPr>
          </w:p>
        </w:tc>
        <w:tc>
          <w:tcPr>
            <w:tcW w:w="2240" w:type="dxa"/>
            <w:vAlign w:val="bottom"/>
            <w:tcBorders>
              <w:bottom w:val="single" w:sz="8" w:color="auto"/>
            </w:tcBorders>
            <w:gridSpan w:val="3"/>
          </w:tcPr>
          <w:p>
            <w:pPr>
              <w:jc w:val="right"/>
              <w:ind w:right="379"/>
              <w:spacing w:after="0"/>
              <w:rPr>
                <w:sz w:val="20"/>
                <w:szCs w:val="20"/>
                <w:color w:val="auto"/>
              </w:rPr>
            </w:pPr>
            <w:r>
              <w:rPr>
                <w:rFonts w:ascii="Arial" w:cs="Arial" w:eastAsia="Arial" w:hAnsi="Arial"/>
                <w:sz w:val="16"/>
                <w:szCs w:val="16"/>
                <w:b w:val="1"/>
                <w:bCs w:val="1"/>
                <w:color w:val="auto"/>
              </w:rPr>
              <w:t>December 31, 2020</w:t>
            </w:r>
          </w:p>
        </w:tc>
        <w:tc>
          <w:tcPr>
            <w:tcW w:w="1560" w:type="dxa"/>
            <w:vAlign w:val="bottom"/>
          </w:tcPr>
          <w:p>
            <w:pPr>
              <w:spacing w:after="0"/>
              <w:rPr>
                <w:sz w:val="17"/>
                <w:szCs w:val="17"/>
                <w:color w:val="auto"/>
              </w:rPr>
            </w:pPr>
          </w:p>
        </w:tc>
      </w:tr>
      <w:tr>
        <w:trPr>
          <w:trHeight w:val="212"/>
        </w:trPr>
        <w:tc>
          <w:tcPr>
            <w:tcW w:w="1520" w:type="dxa"/>
            <w:vAlign w:val="bottom"/>
            <w:tcBorders>
              <w:bottom w:val="single" w:sz="8" w:color="CCEEFF"/>
            </w:tcBorders>
          </w:tcPr>
          <w:p>
            <w:pPr>
              <w:spacing w:after="0"/>
              <w:rPr>
                <w:sz w:val="18"/>
                <w:szCs w:val="18"/>
                <w:color w:val="auto"/>
              </w:rPr>
            </w:pPr>
          </w:p>
        </w:tc>
        <w:tc>
          <w:tcPr>
            <w:tcW w:w="3460" w:type="dxa"/>
            <w:vAlign w:val="bottom"/>
            <w:tcBorders>
              <w:bottom w:val="single" w:sz="8" w:color="auto"/>
            </w:tcBorders>
          </w:tcPr>
          <w:p>
            <w:pPr>
              <w:ind w:left="1160"/>
              <w:spacing w:after="0"/>
              <w:rPr>
                <w:sz w:val="20"/>
                <w:szCs w:val="20"/>
                <w:color w:val="auto"/>
              </w:rPr>
            </w:pPr>
            <w:r>
              <w:rPr>
                <w:rFonts w:ascii="Arial" w:cs="Arial" w:eastAsia="Arial" w:hAnsi="Arial"/>
                <w:sz w:val="16"/>
                <w:szCs w:val="16"/>
                <w:b w:val="1"/>
                <w:bCs w:val="1"/>
                <w:color w:val="auto"/>
              </w:rPr>
              <w:t>Change in Rates</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Shock</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Ramp</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Shock</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Ramp</w:t>
            </w:r>
          </w:p>
        </w:tc>
        <w:tc>
          <w:tcPr>
            <w:tcW w:w="1560" w:type="dxa"/>
            <w:vAlign w:val="bottom"/>
            <w:tcBorders>
              <w:bottom w:val="single" w:sz="8" w:color="CCEEFF"/>
            </w:tcBorders>
          </w:tcPr>
          <w:p>
            <w:pPr>
              <w:spacing w:after="0"/>
              <w:rPr>
                <w:sz w:val="18"/>
                <w:szCs w:val="18"/>
                <w:color w:val="auto"/>
              </w:rPr>
            </w:pPr>
          </w:p>
        </w:tc>
      </w:tr>
      <w:tr>
        <w:trPr>
          <w:trHeight w:val="212"/>
        </w:trPr>
        <w:tc>
          <w:tcPr>
            <w:tcW w:w="1520" w:type="dxa"/>
            <w:vAlign w:val="bottom"/>
            <w:shd w:val="clear" w:color="auto" w:fill="CCEEFF"/>
          </w:tcPr>
          <w:p>
            <w:pPr>
              <w:spacing w:after="0"/>
              <w:rPr>
                <w:sz w:val="18"/>
                <w:szCs w:val="18"/>
                <w:color w:val="auto"/>
              </w:rPr>
            </w:pPr>
          </w:p>
        </w:tc>
        <w:tc>
          <w:tcPr>
            <w:tcW w:w="3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100 basis point increase</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3.58 %</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2.63 %</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3.80 %</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2.88 %</w:t>
            </w:r>
          </w:p>
        </w:tc>
        <w:tc>
          <w:tcPr>
            <w:tcW w:w="1560" w:type="dxa"/>
            <w:vAlign w:val="bottom"/>
            <w:shd w:val="clear" w:color="auto" w:fill="CCEEFF"/>
          </w:tcPr>
          <w:p>
            <w:pPr>
              <w:spacing w:after="0"/>
              <w:rPr>
                <w:sz w:val="18"/>
                <w:szCs w:val="18"/>
                <w:color w:val="auto"/>
              </w:rPr>
            </w:pPr>
          </w:p>
        </w:tc>
      </w:tr>
      <w:tr>
        <w:trPr>
          <w:trHeight w:val="210"/>
        </w:trPr>
        <w:tc>
          <w:tcPr>
            <w:tcW w:w="1520" w:type="dxa"/>
            <w:vAlign w:val="bottom"/>
          </w:tcPr>
          <w:p>
            <w:pPr>
              <w:spacing w:after="0"/>
              <w:rPr>
                <w:sz w:val="18"/>
                <w:szCs w:val="18"/>
                <w:color w:val="auto"/>
              </w:rPr>
            </w:pPr>
          </w:p>
        </w:tc>
        <w:tc>
          <w:tcPr>
            <w:tcW w:w="3560" w:type="dxa"/>
            <w:vAlign w:val="bottom"/>
            <w:gridSpan w:val="2"/>
          </w:tcPr>
          <w:p>
            <w:pPr>
              <w:ind w:left="20"/>
              <w:spacing w:after="0"/>
              <w:rPr>
                <w:sz w:val="20"/>
                <w:szCs w:val="20"/>
                <w:color w:val="auto"/>
              </w:rPr>
            </w:pPr>
            <w:r>
              <w:rPr>
                <w:rFonts w:ascii="Arial" w:cs="Arial" w:eastAsia="Arial" w:hAnsi="Arial"/>
                <w:sz w:val="16"/>
                <w:szCs w:val="16"/>
                <w:color w:val="auto"/>
              </w:rPr>
              <w:t>100 basis point decrease</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(3.53)</w:t>
            </w:r>
          </w:p>
        </w:tc>
        <w:tc>
          <w:tcPr>
            <w:tcW w:w="100" w:type="dxa"/>
            <w:vAlign w:val="bottom"/>
          </w:tcPr>
          <w:p>
            <w:pPr>
              <w:spacing w:after="0"/>
              <w:rPr>
                <w:sz w:val="18"/>
                <w:szCs w:val="18"/>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(3.20)</w:t>
            </w:r>
          </w:p>
        </w:tc>
        <w:tc>
          <w:tcPr>
            <w:tcW w:w="1180" w:type="dxa"/>
            <w:vAlign w:val="bottom"/>
            <w:gridSpan w:val="2"/>
          </w:tcPr>
          <w:p>
            <w:pPr>
              <w:jc w:val="right"/>
              <w:ind w:right="79"/>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18"/>
                <w:szCs w:val="18"/>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(1.82)</w:t>
            </w:r>
          </w:p>
        </w:tc>
        <w:tc>
          <w:tcPr>
            <w:tcW w:w="1560" w:type="dxa"/>
            <w:vAlign w:val="bottom"/>
          </w:tcPr>
          <w:p>
            <w:pPr>
              <w:spacing w:after="0"/>
              <w:rPr>
                <w:sz w:val="18"/>
                <w:szCs w:val="18"/>
                <w:color w:val="auto"/>
              </w:rPr>
            </w:pPr>
          </w:p>
        </w:tc>
      </w:tr>
    </w:tbl>
    <w:p>
      <w:pPr>
        <w:spacing w:after="0" w:line="28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Interest rate sensitivity is a function of the repricing characteristics of the portfolio of assets and liabilities. These repricing characteristics are the time frames within which the interest-earning assets and interest-bearing liabilities are subject to change in interest rates either at replacement, repricing or maturity. Interest rate sensitivity management focuses on the maturity structure of assets and liabilities and their repricing characteristics during periods of changes in market interest rates. Effective interest rate sensitivity management seeks to ensure that both assets and liabilities respond to changes in interest rates on a net basis within an acceptable timeframe, thereby minimizing the potentially adverse effect of interest rate changes on net interest revenue.</w:t>
      </w:r>
    </w:p>
    <w:p>
      <w:pPr>
        <w:spacing w:after="0" w:line="16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have discretion in the extent and timing of deposit repricing depending upon the competitive pressures in the markets in which we operate. Changes in the mix of earning assets or supporting liabilities can either increase or decrease the net interest margin without affecting interest rate sensitivity. The interest rate spread between an asset and its supporting liability can vary significantly even when the timing of repricing for both the asset and the liability remains the same, due to the two instruments repricing according to different indices. This is commonly referred to as basis risk.</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Derivative financial instruments are used to manage interest rate sensitivity. These contracts generally consist of interest rate swaps under which we pay a variable rate (or fixed rate, as the case may be) and receive a fixed rate (or variable rate, as the case may be). In addition, investment securities and wholesale funding strategies are used to manage interest rate risk.</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Derivative financial instruments that are designated as accounting hedges are classified as either cash flow or fair value hedges. The change in fair value of cash flow hedges is recognized in OCI. Fair value hedges recognize in earnings both the effect of the change in the fair value of the derivative financial instrument and the offsetting effect of the change in fair value of the hedged asset or liability associated with the particular risk of that asset or liability being hedged. We have other derivative financial instruments that are not designated as accounting hedges, but are used for interest rate risk management purposes and as effective economic hedges. Derivative financial instruments that are not accounted for as accounting hedges are marked to market through earnings.</w:t>
      </w:r>
    </w:p>
    <w:p>
      <w:pPr>
        <w:spacing w:after="0" w:line="1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policy requires all non-customer derivative financial instruments be used only for asset/liability management through the hedging of specific transactions, positions or risks, and not for trading or speculative purposes. Management believes that the risk associated with using derivative financial instruments to mitigate interest rate risk sensitivity is appropriately monitored and controlled and will not have any material adverse effect on financial condition or results of operations. In order to mitigate potential credit risk, from time to time we may require the counterparties to derivative contracts to pledge cash and/or securities as collateral to cover the net exposure.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Management</w:t>
      </w:r>
    </w:p>
    <w:p>
      <w:pPr>
        <w:spacing w:after="0" w:line="13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Liquidity is defined as the ability to convert assets into cash or cash equivalents without significant loss and to raise additional funds by increasing liabilities. Liquidity management involves maintaining the ability to meet the daily cash flow requirements of customers, both depositors and borrowers. The primary objective is to ensure that sufficient funding is available, at a reasonable cost, to meet ongoing operational cash needs and to take advantage of revenue producing opportunities as they arise. While the desired level of liquidity will vary depending upon a variety of factors, our primary goal is to maintain a sufficient level of liquidity in all expected economic environments. To assist in determining the adequacy of our liquidity, we perform a variety of liquidity stress tests. We maintain an unencumbered liquid asset reserve to help ensure our ability to meet our obligations under normal conditions for at least a 12-month period and under severely adverse liquidity conditions for a minimum of 30 days.</w:t>
      </w:r>
    </w:p>
    <w:p>
      <w:pPr>
        <w:spacing w:after="0" w:line="9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An important part of the Bank’s liquidity resides in the asset portion of the balance sheet, which provides liquidity primarily through loan interest and principal repayments and the maturities and sales of securities, as well as the ability to use these assets as collateral for borrowings on a secured basis.</w:t>
      </w:r>
    </w:p>
    <w:p>
      <w:pPr>
        <w:spacing w:after="0" w:line="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Bank’s main source of liquidity is customer interest-bearing and noninterest-bearing deposit accounts. Liquidity is also available from wholesale funding sources consisting primarily of Federal funds purchased, FHLB advances, and brokered deposits. These sources of liquidity are generally short-term in nature and are used as necessary to fund asset growth and meet other short-term liquidity needs.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1" w:name="page52"/>
    <w:bookmarkEnd w:id="51"/>
    <w:p>
      <w:pPr>
        <w:jc w:val="both"/>
        <w:spacing w:after="0" w:line="223" w:lineRule="auto"/>
        <w:rPr>
          <w:sz w:val="20"/>
          <w:szCs w:val="20"/>
          <w:color w:val="auto"/>
        </w:rPr>
      </w:pPr>
      <w:r>
        <w:rPr>
          <w:rFonts w:ascii="Arial" w:cs="Arial" w:eastAsia="Arial" w:hAnsi="Arial"/>
          <w:sz w:val="18"/>
          <w:szCs w:val="18"/>
          <w:color w:val="auto"/>
        </w:rPr>
        <w:t>In addition, because the Holding Company is a separate entity and apart from the Bank, it must provide for its own liquidity. The Holding Company is responsible for the payment of dividends declared for its common and preferred shareholders, and interest and principal on any outstanding debt or trust preferred securities. The Holding Company currently has internal capital resources to meet these obligations. While the Holding Company has access to the capital markets and maintains a line of credit as a contingent funding source, the ultimate sources of its liquidity are subsidiary service fees and dividends from the Bank, which are limited by applicable law and regulations. Effective July 1, 2021, the Bank became a South Carolina state-chartered bank, which permits the Bank to pay a dividend of up to 100% of its current year earnings without requesting approval of the South Carolina Board of Financial Institutions, provided certain conditions are met. Prior to the conversion to a South Carolina state-chartered bank, Georgia law generally limited the payment of dividends by the Bank from retained earnings of up to 50% of its prior year earnings without requesting approval of the Georgia Department of Banking and Finance. Holding Company liquidity is managed to a minimum of 15-months of positive cash flow after considering all of its liquidity needs over this period.</w:t>
      </w:r>
    </w:p>
    <w:p>
      <w:pPr>
        <w:spacing w:after="0" w:line="1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June 30, 2021, we had sufficient qualifying collateral to provide borrowing capacity for FHLB advances of $1.26 billion, as well as unpledged investment securities of $3.78 billion that could be used as collateral for additional borrowings. In addition, we have the ability to attract retail deposits by competing more aggressively on pricing.</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Significant uses and sources of cash during the six months ended June 30, 2021 are summarized below. See the consolidated statement of cash flows in this Report for further detail.</w:t>
      </w:r>
    </w:p>
    <w:p>
      <w:pPr>
        <w:spacing w:after="0" w:line="76" w:lineRule="exact"/>
        <w:rPr>
          <w:sz w:val="20"/>
          <w:szCs w:val="20"/>
          <w:color w:val="auto"/>
        </w:rPr>
      </w:pPr>
    </w:p>
    <w:p>
      <w:pPr>
        <w:jc w:val="both"/>
        <w:ind w:left="660" w:hanging="328"/>
        <w:spacing w:after="0" w:line="263"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cash provided by operating activities of $162 million reflects net income of $144 million adjusted for non-cash transactions, gains on sales of securities and other loans and changes in other assets and liabilities. Significant non-cash transactions for the period included a $25.9 million release of provision for credit losses and deferred income tax expense of $14.6 million.</w:t>
      </w:r>
    </w:p>
    <w:p>
      <w:pPr>
        <w:spacing w:after="0" w:line="89"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cash used in investing activities of $1.34 billion primarily consisted of purchases of AFS and HTM debt securities of $1.91 billion, partially offset by proceeds from securities sales, maturities and calls, reflecting our strategic decision to deploy excess liquidity into the securities portfolio.</w:t>
      </w:r>
    </w:p>
    <w:p>
      <w:pPr>
        <w:spacing w:after="0" w:line="102" w:lineRule="exact"/>
        <w:rPr>
          <w:rFonts w:ascii="Arial" w:cs="Arial" w:eastAsia="Arial" w:hAnsi="Arial"/>
          <w:sz w:val="18"/>
          <w:szCs w:val="18"/>
          <w:color w:val="auto"/>
        </w:rPr>
      </w:pPr>
    </w:p>
    <w:p>
      <w:pPr>
        <w:jc w:val="both"/>
        <w:ind w:left="660" w:right="20" w:hanging="328"/>
        <w:spacing w:after="0" w:line="263"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cash provided by financing activities of $989 million was driven by our strong deposit growth as our net increase in deposits totaled $1.10 billion, which was partially offset by our repayment of long-term debt of $65.6 million and dividends on common and preferred stock of $36.0 million.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In the opinion of management, our liquidity position at June 30, 2021 was sufficient to meet our expected cash flow requirements.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 and Dividends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Shareholders’ equity at June 30, 2021 was $2.09 billion, an increase of $78.8 million from December 31, 2020 primarily due to year-to-date earnings partially offset by dividends declared and a decrease in the value of AFS debt securities.</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shows capital ratios, as calculated under applicable regulatory guidelines, at June 30, 2021 and December 31, 2020. As of June 30, 2021, capital levels remained characterized as “well-capitalized” under prompt corrective action provisions in effect at the time.</w:t>
      </w:r>
    </w:p>
    <w:p>
      <w:pPr>
        <w:spacing w:after="0" w:line="1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Additional information related to capital ratios, as calculated under regulatory guidelines, as of June 30, 2021 and December 31, 2020, is provided in Note 11 to the consolidated financial statements in this Report.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16 – Capital Ratios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60" w:type="dxa"/>
            <w:vAlign w:val="bottom"/>
            <w:gridSpan w:val="4"/>
          </w:tcPr>
          <w:p>
            <w:pPr>
              <w:ind w:left="260"/>
              <w:spacing w:after="0"/>
              <w:rPr>
                <w:sz w:val="20"/>
                <w:szCs w:val="20"/>
                <w:color w:val="auto"/>
              </w:rPr>
            </w:pPr>
            <w:r>
              <w:rPr>
                <w:rFonts w:ascii="Arial" w:cs="Arial" w:eastAsia="Arial" w:hAnsi="Arial"/>
                <w:sz w:val="16"/>
                <w:szCs w:val="16"/>
                <w:b w:val="1"/>
                <w:bCs w:val="1"/>
                <w:color w:val="auto"/>
              </w:rPr>
              <w:t>United Community Banks, Inc.</w:t>
            </w:r>
          </w:p>
        </w:tc>
        <w:tc>
          <w:tcPr>
            <w:tcW w:w="2660" w:type="dxa"/>
            <w:vAlign w:val="bottom"/>
            <w:gridSpan w:val="3"/>
            <w:vMerge w:val="restart"/>
          </w:tcPr>
          <w:p>
            <w:pPr>
              <w:ind w:left="460"/>
              <w:spacing w:after="0"/>
              <w:rPr>
                <w:sz w:val="20"/>
                <w:szCs w:val="20"/>
                <w:color w:val="auto"/>
              </w:rPr>
            </w:pPr>
            <w:r>
              <w:rPr>
                <w:rFonts w:ascii="Arial" w:cs="Arial" w:eastAsia="Arial" w:hAnsi="Arial"/>
                <w:sz w:val="16"/>
                <w:szCs w:val="16"/>
                <w:b w:val="1"/>
                <w:bCs w:val="1"/>
                <w:color w:val="auto"/>
              </w:rPr>
              <w:t>United Community Bank</w:t>
            </w:r>
          </w:p>
        </w:tc>
        <w:tc>
          <w:tcPr>
            <w:tcW w:w="0" w:type="dxa"/>
            <w:vAlign w:val="bottom"/>
          </w:tcPr>
          <w:p>
            <w:pPr>
              <w:spacing w:after="0"/>
              <w:rPr>
                <w:sz w:val="1"/>
                <w:szCs w:val="1"/>
                <w:color w:val="auto"/>
              </w:rPr>
            </w:pPr>
          </w:p>
        </w:tc>
      </w:tr>
      <w:tr>
        <w:trPr>
          <w:trHeight w:val="213"/>
        </w:trPr>
        <w:tc>
          <w:tcPr>
            <w:tcW w:w="154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60" w:type="dxa"/>
            <w:vAlign w:val="bottom"/>
            <w:tcBorders>
              <w:bottom w:val="single" w:sz="8" w:color="auto"/>
            </w:tcBorders>
            <w:gridSpan w:val="3"/>
          </w:tcPr>
          <w:p>
            <w:pPr>
              <w:jc w:val="right"/>
              <w:ind w:right="739"/>
              <w:spacing w:after="0"/>
              <w:rPr>
                <w:sz w:val="20"/>
                <w:szCs w:val="20"/>
                <w:color w:val="auto"/>
              </w:rPr>
            </w:pPr>
            <w:r>
              <w:rPr>
                <w:rFonts w:ascii="Arial" w:cs="Arial" w:eastAsia="Arial" w:hAnsi="Arial"/>
                <w:sz w:val="16"/>
                <w:szCs w:val="16"/>
                <w:b w:val="1"/>
                <w:bCs w:val="1"/>
                <w:color w:val="auto"/>
              </w:rPr>
              <w:t>(Consolidated)</w:t>
            </w:r>
          </w:p>
        </w:tc>
        <w:tc>
          <w:tcPr>
            <w:tcW w:w="100" w:type="dxa"/>
            <w:vAlign w:val="bottom"/>
          </w:tcPr>
          <w:p>
            <w:pPr>
              <w:spacing w:after="0"/>
              <w:rPr>
                <w:sz w:val="18"/>
                <w:szCs w:val="18"/>
                <w:color w:val="auto"/>
              </w:rPr>
            </w:pPr>
          </w:p>
        </w:tc>
        <w:tc>
          <w:tcPr>
            <w:tcW w:w="266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5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9"/>
              </w:rPr>
              <w:t>Well-</w:t>
            </w:r>
          </w:p>
        </w:tc>
        <w:tc>
          <w:tcPr>
            <w:tcW w:w="166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5"/>
              </w:rPr>
              <w:t>Minimum Capital Plus</w:t>
            </w:r>
          </w:p>
        </w:tc>
        <w:tc>
          <w:tcPr>
            <w:tcW w:w="100" w:type="dxa"/>
            <w:vAlign w:val="bottom"/>
          </w:tcPr>
          <w:p>
            <w:pPr>
              <w:spacing w:after="0"/>
              <w:rPr>
                <w:sz w:val="13"/>
                <w:szCs w:val="13"/>
                <w:color w:val="auto"/>
              </w:rPr>
            </w:pPr>
          </w:p>
        </w:tc>
        <w:tc>
          <w:tcPr>
            <w:tcW w:w="1340" w:type="dxa"/>
            <w:vAlign w:val="bottom"/>
            <w:gridSpan w:val="2"/>
            <w:vMerge w:val="restart"/>
          </w:tcPr>
          <w:p>
            <w:pPr>
              <w:ind w:left="340"/>
              <w:spacing w:after="0"/>
              <w:rPr>
                <w:sz w:val="20"/>
                <w:szCs w:val="20"/>
                <w:color w:val="auto"/>
              </w:rPr>
            </w:pPr>
            <w:r>
              <w:rPr>
                <w:rFonts w:ascii="Arial" w:cs="Arial" w:eastAsia="Arial" w:hAnsi="Arial"/>
                <w:sz w:val="16"/>
                <w:szCs w:val="16"/>
                <w:b w:val="1"/>
                <w:bCs w:val="1"/>
                <w:color w:val="auto"/>
              </w:rPr>
              <w:t>June 30,</w:t>
            </w:r>
          </w:p>
        </w:tc>
        <w:tc>
          <w:tcPr>
            <w:tcW w:w="142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December 31,</w:t>
            </w:r>
          </w:p>
        </w:tc>
        <w:tc>
          <w:tcPr>
            <w:tcW w:w="1360" w:type="dxa"/>
            <w:vAlign w:val="bottom"/>
            <w:gridSpan w:val="2"/>
            <w:vMerge w:val="restart"/>
          </w:tcPr>
          <w:p>
            <w:pPr>
              <w:ind w:left="340"/>
              <w:spacing w:after="0"/>
              <w:rPr>
                <w:sz w:val="20"/>
                <w:szCs w:val="20"/>
                <w:color w:val="auto"/>
              </w:rPr>
            </w:pPr>
            <w:r>
              <w:rPr>
                <w:rFonts w:ascii="Arial" w:cs="Arial" w:eastAsia="Arial" w:hAnsi="Arial"/>
                <w:sz w:val="16"/>
                <w:szCs w:val="16"/>
                <w:b w:val="1"/>
                <w:bCs w:val="1"/>
                <w:color w:val="auto"/>
              </w:rPr>
              <w:t>June 30,</w:t>
            </w:r>
          </w:p>
        </w:tc>
        <w:tc>
          <w:tcPr>
            <w:tcW w:w="130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124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Minimum</w:t>
            </w:r>
          </w:p>
        </w:tc>
        <w:tc>
          <w:tcPr>
            <w:tcW w:w="1280" w:type="dxa"/>
            <w:vAlign w:val="bottom"/>
            <w:gridSpan w:val="2"/>
            <w:vMerge w:val="continue"/>
          </w:tcPr>
          <w:p>
            <w:pPr>
              <w:spacing w:after="0"/>
              <w:rPr>
                <w:sz w:val="14"/>
                <w:szCs w:val="14"/>
                <w:color w:val="auto"/>
              </w:rPr>
            </w:pPr>
          </w:p>
        </w:tc>
        <w:tc>
          <w:tcPr>
            <w:tcW w:w="176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2"/>
              </w:rPr>
              <w:t>Capital Conservation</w:t>
            </w:r>
          </w:p>
        </w:tc>
        <w:tc>
          <w:tcPr>
            <w:tcW w:w="134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5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Capitalized</w:t>
            </w:r>
          </w:p>
        </w:tc>
        <w:tc>
          <w:tcPr>
            <w:tcW w:w="17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Buffer</w:t>
            </w:r>
          </w:p>
        </w:tc>
        <w:tc>
          <w:tcPr>
            <w:tcW w:w="1240" w:type="dxa"/>
            <w:vAlign w:val="bottom"/>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320" w:type="dxa"/>
            <w:vAlign w:val="bottom"/>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240" w:type="dxa"/>
            <w:vAlign w:val="bottom"/>
          </w:tcPr>
          <w:p>
            <w:pPr>
              <w:ind w:left="460"/>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300" w:type="dxa"/>
            <w:vAlign w:val="bottom"/>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9"/>
        </w:trPr>
        <w:tc>
          <w:tcPr>
            <w:tcW w:w="1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Risk-based ratios:</w:t>
            </w: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540" w:type="dxa"/>
            <w:vAlign w:val="bottom"/>
          </w:tcPr>
          <w:p>
            <w:pPr>
              <w:ind w:left="140"/>
              <w:spacing w:after="0"/>
              <w:rPr>
                <w:sz w:val="20"/>
                <w:szCs w:val="20"/>
                <w:color w:val="auto"/>
              </w:rPr>
            </w:pPr>
            <w:r>
              <w:rPr>
                <w:rFonts w:ascii="Arial" w:cs="Arial" w:eastAsia="Arial" w:hAnsi="Arial"/>
                <w:sz w:val="16"/>
                <w:szCs w:val="16"/>
                <w:color w:val="auto"/>
              </w:rPr>
              <w:t>CET1 capital</w:t>
            </w:r>
          </w:p>
        </w:tc>
        <w:tc>
          <w:tcPr>
            <w:tcW w:w="1140" w:type="dxa"/>
            <w:vAlign w:val="bottom"/>
          </w:tcPr>
          <w:p>
            <w:pPr>
              <w:ind w:left="740"/>
              <w:spacing w:after="0"/>
              <w:rPr>
                <w:sz w:val="20"/>
                <w:szCs w:val="20"/>
                <w:color w:val="auto"/>
              </w:rPr>
            </w:pPr>
            <w:r>
              <w:rPr>
                <w:rFonts w:ascii="Arial" w:cs="Arial" w:eastAsia="Arial" w:hAnsi="Arial"/>
                <w:sz w:val="16"/>
                <w:szCs w:val="16"/>
                <w:color w:val="auto"/>
                <w:w w:val="92"/>
              </w:rPr>
              <w:t>4.5 %</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6.5 %</w:t>
            </w: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7.0 %</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12.59 %</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12.31 %</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13.21 %</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13.31 %</w:t>
            </w:r>
          </w:p>
        </w:tc>
        <w:tc>
          <w:tcPr>
            <w:tcW w:w="0" w:type="dxa"/>
            <w:vAlign w:val="bottom"/>
          </w:tcPr>
          <w:p>
            <w:pPr>
              <w:spacing w:after="0"/>
              <w:rPr>
                <w:sz w:val="1"/>
                <w:szCs w:val="1"/>
                <w:color w:val="auto"/>
              </w:rPr>
            </w:pPr>
          </w:p>
        </w:tc>
      </w:tr>
      <w:tr>
        <w:trPr>
          <w:trHeight w:val="219"/>
        </w:trPr>
        <w:tc>
          <w:tcPr>
            <w:tcW w:w="1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Tier 1 capital</w:t>
            </w:r>
          </w:p>
        </w:tc>
        <w:tc>
          <w:tcPr>
            <w:tcW w:w="1140" w:type="dxa"/>
            <w:vAlign w:val="bottom"/>
            <w:shd w:val="clear" w:color="auto" w:fill="CCEEFF"/>
          </w:tcPr>
          <w:p>
            <w:pPr>
              <w:ind w:left="740"/>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8.0</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13.34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13.10</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13.21</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13.31</w:t>
            </w:r>
          </w:p>
        </w:tc>
        <w:tc>
          <w:tcPr>
            <w:tcW w:w="0" w:type="dxa"/>
            <w:vAlign w:val="bottom"/>
          </w:tcPr>
          <w:p>
            <w:pPr>
              <w:spacing w:after="0"/>
              <w:rPr>
                <w:sz w:val="1"/>
                <w:szCs w:val="1"/>
                <w:color w:val="auto"/>
              </w:rPr>
            </w:pPr>
          </w:p>
        </w:tc>
      </w:tr>
      <w:tr>
        <w:trPr>
          <w:trHeight w:val="213"/>
        </w:trPr>
        <w:tc>
          <w:tcPr>
            <w:tcW w:w="1540" w:type="dxa"/>
            <w:vAlign w:val="bottom"/>
          </w:tcPr>
          <w:p>
            <w:pPr>
              <w:ind w:left="140"/>
              <w:spacing w:after="0"/>
              <w:rPr>
                <w:sz w:val="20"/>
                <w:szCs w:val="20"/>
                <w:color w:val="auto"/>
              </w:rPr>
            </w:pPr>
            <w:r>
              <w:rPr>
                <w:rFonts w:ascii="Arial" w:cs="Arial" w:eastAsia="Arial" w:hAnsi="Arial"/>
                <w:sz w:val="16"/>
                <w:szCs w:val="16"/>
                <w:color w:val="auto"/>
              </w:rPr>
              <w:t>Total capital</w:t>
            </w:r>
          </w:p>
        </w:tc>
        <w:tc>
          <w:tcPr>
            <w:tcW w:w="1140" w:type="dxa"/>
            <w:vAlign w:val="bottom"/>
          </w:tcPr>
          <w:p>
            <w:pPr>
              <w:ind w:left="740"/>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8"/>
                <w:szCs w:val="18"/>
                <w:color w:val="auto"/>
              </w:rPr>
            </w:pP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15.09</w:t>
            </w:r>
          </w:p>
        </w:tc>
        <w:tc>
          <w:tcPr>
            <w:tcW w:w="10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15.15</w:t>
            </w:r>
          </w:p>
        </w:tc>
        <w:tc>
          <w:tcPr>
            <w:tcW w:w="10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14.03</w:t>
            </w:r>
          </w:p>
        </w:tc>
        <w:tc>
          <w:tcPr>
            <w:tcW w:w="12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Arial" w:cs="Arial" w:eastAsia="Arial" w:hAnsi="Arial"/>
                <w:sz w:val="16"/>
                <w:szCs w:val="16"/>
                <w:color w:val="auto"/>
              </w:rPr>
              <w:t>14.28</w:t>
            </w:r>
          </w:p>
        </w:tc>
        <w:tc>
          <w:tcPr>
            <w:tcW w:w="0" w:type="dxa"/>
            <w:vAlign w:val="bottom"/>
          </w:tcPr>
          <w:p>
            <w:pPr>
              <w:spacing w:after="0"/>
              <w:rPr>
                <w:sz w:val="1"/>
                <w:szCs w:val="1"/>
                <w:color w:val="auto"/>
              </w:rPr>
            </w:pPr>
          </w:p>
        </w:tc>
      </w:tr>
      <w:tr>
        <w:trPr>
          <w:trHeight w:val="219"/>
        </w:trPr>
        <w:tc>
          <w:tcPr>
            <w:tcW w:w="1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Leverage ratio</w:t>
            </w:r>
          </w:p>
        </w:tc>
        <w:tc>
          <w:tcPr>
            <w:tcW w:w="1140" w:type="dxa"/>
            <w:vAlign w:val="bottom"/>
            <w:shd w:val="clear" w:color="auto" w:fill="CCEEFF"/>
          </w:tcPr>
          <w:p>
            <w:pPr>
              <w:ind w:left="740"/>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ind w:left="1260"/>
              <w:spacing w:after="0"/>
              <w:rPr>
                <w:sz w:val="20"/>
                <w:szCs w:val="20"/>
                <w:color w:val="auto"/>
              </w:rPr>
            </w:pPr>
            <w:r>
              <w:rPr>
                <w:rFonts w:ascii="Arial" w:cs="Arial" w:eastAsia="Arial" w:hAnsi="Arial"/>
                <w:sz w:val="16"/>
                <w:szCs w:val="16"/>
                <w:color w:val="auto"/>
              </w:rPr>
              <w:t>N/A</w:t>
            </w: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9.26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9.28</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9.16</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9.42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Effect of Inflation and Changing Prices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bank’s asset and liability structure is substantially different from that of an industrial firm in that primarily all assets and liabilities of a bank are monetary in nature with relatively little investment in fixed assets or inventories. Inflation has an important effect on the growth of total assets and the resulting need to increase equity capital at higher than normal rates in order to maintain an appropriate equity to assets ratio.</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 believes the effect of inflation on financial results depends on our ability to react to changes in interest rates, and by such reaction, reduce the inflationary effect on performance. We have an asset/liability management program to manage interest rate sensitivity. In addition, periodic reviews of banking services and products are conducted to adjust pricing in view of current and expected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3" w:name="page54"/>
    <w:bookmarkEnd w:id="53"/>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 About Market Risk</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There have been no material changes in our market risk as of June 30, 2021 from that presented in our 2020 10-K. Our interest rate sensitivity position at June 30, 2021 is set forth in Table 15 in MD&amp;A of this Report and incorporated herein by this reference.</w:t>
      </w:r>
    </w:p>
    <w:p>
      <w:pPr>
        <w:spacing w:after="0" w:line="16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56" w:lineRule="exact"/>
        <w:rPr>
          <w:sz w:val="20"/>
          <w:szCs w:val="20"/>
          <w:color w:val="auto"/>
        </w:rPr>
      </w:pPr>
    </w:p>
    <w:p>
      <w:pPr>
        <w:jc w:val="both"/>
        <w:ind w:firstLine="210"/>
        <w:spacing w:after="0" w:line="259" w:lineRule="auto"/>
        <w:tabs>
          <w:tab w:leader="none" w:pos="451"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Disclosure Controls and Procedures. </w:t>
      </w:r>
      <w:r>
        <w:rPr>
          <w:rFonts w:ascii="Arial" w:cs="Arial" w:eastAsia="Arial" w:hAnsi="Arial"/>
          <w:sz w:val="18"/>
          <w:szCs w:val="18"/>
          <w:color w:val="auto"/>
        </w:rPr>
        <w:t>Under the supervision and with the participation of our management, including our principal executive officer</w:t>
      </w:r>
      <w:r>
        <w:rPr>
          <w:rFonts w:ascii="Arial" w:cs="Arial" w:eastAsia="Arial" w:hAnsi="Arial"/>
          <w:sz w:val="18"/>
          <w:szCs w:val="18"/>
          <w:i w:val="1"/>
          <w:iCs w:val="1"/>
          <w:color w:val="auto"/>
        </w:rPr>
        <w:t xml:space="preserve"> </w:t>
      </w:r>
      <w:r>
        <w:rPr>
          <w:rFonts w:ascii="Arial" w:cs="Arial" w:eastAsia="Arial" w:hAnsi="Arial"/>
          <w:sz w:val="18"/>
          <w:szCs w:val="18"/>
          <w:color w:val="auto"/>
        </w:rPr>
        <w:t>and principal financial officer, we conducted an evaluation of our disclosure controls and procedures (as such term is defined in Exchange Act Rule 13a-15(e)) as of June 30, 2021. Based on that evaluation, our principal executive officer and chief financial officer concluded that our disclosure controls and procedures were effective as of the end of the period covered by this report.</w:t>
      </w:r>
    </w:p>
    <w:p>
      <w:pPr>
        <w:spacing w:after="0" w:line="213" w:lineRule="exact"/>
        <w:rPr>
          <w:rFonts w:ascii="Arial" w:cs="Arial" w:eastAsia="Arial" w:hAnsi="Arial"/>
          <w:sz w:val="18"/>
          <w:szCs w:val="18"/>
          <w:color w:val="auto"/>
        </w:rPr>
      </w:pPr>
    </w:p>
    <w:p>
      <w:pPr>
        <w:jc w:val="both"/>
        <w:ind w:firstLine="285"/>
        <w:spacing w:after="0" w:line="263" w:lineRule="auto"/>
        <w:tabs>
          <w:tab w:leader="none" w:pos="556" w:val="left"/>
        </w:tabs>
        <w:numPr>
          <w:ilvl w:val="1"/>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No change in our internal control over financial reporting (as such term is defined in</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Act Rule 13a-15(f)) occurred during the fiscal quarter ended June 30, 2021 that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4" w:name="page55"/>
    <w:bookmarkEnd w:id="54"/>
    <w:p>
      <w:pPr>
        <w:jc w:val="center"/>
        <w:ind w:right="40"/>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ordinary course of business, the Holding Company and the Bank are parties to various legal proceedings. Additionally, in the ordinary course of business, the Holding Company and the Bank are subject to regulatory examinations and investigations. Based on our current knowledge and advice of counsel, in the opinion of management there is no such pending or threatened legal matter which would result in a material adverse effect upon our consolidated financial condition or results of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1A. Risk Factors</w:t>
      </w:r>
    </w:p>
    <w:p>
      <w:pPr>
        <w:spacing w:after="0" w:line="256"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393939"/>
        </w:rPr>
        <w:t>There have been no material changes to the risk factors previously disclosed in the Company’s Annual Report on Form 10-K for the fiscal year ended December 31, 2020 filed with the SEC on February 25, 2021.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Issuer Purchases of Equity Securities</w:t>
      </w:r>
    </w:p>
    <w:p>
      <w:pPr>
        <w:spacing w:after="0" w:line="23"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 following table contains information regarding purchases of our common stock made during the quarter ended June 30, 2021 by or on behalf of United or any “affiliated purchaser,” as defined by Rule 10b-18(a)(3) of the Exchange Act:</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4"/>
              </w:rPr>
              <w:t>Total</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Total Number of</w:t>
            </w:r>
          </w:p>
        </w:tc>
        <w:tc>
          <w:tcPr>
            <w:tcW w:w="320" w:type="dxa"/>
            <w:vAlign w:val="bottom"/>
          </w:tcPr>
          <w:p>
            <w:pPr>
              <w:spacing w:after="0"/>
              <w:rPr>
                <w:sz w:val="16"/>
                <w:szCs w:val="16"/>
                <w:color w:val="auto"/>
              </w:rPr>
            </w:pPr>
          </w:p>
        </w:tc>
        <w:tc>
          <w:tcPr>
            <w:tcW w:w="2460" w:type="dxa"/>
            <w:vAlign w:val="bottom"/>
            <w:vMerge w:val="restart"/>
          </w:tcPr>
          <w:p>
            <w:pPr>
              <w:jc w:val="center"/>
              <w:ind w:right="239"/>
              <w:spacing w:after="0"/>
              <w:rPr>
                <w:sz w:val="20"/>
                <w:szCs w:val="20"/>
                <w:color w:val="auto"/>
              </w:rPr>
            </w:pPr>
            <w:r>
              <w:rPr>
                <w:rFonts w:ascii="Arial" w:cs="Arial" w:eastAsia="Arial" w:hAnsi="Arial"/>
                <w:sz w:val="16"/>
                <w:szCs w:val="16"/>
                <w:b w:val="1"/>
                <w:bCs w:val="1"/>
                <w:color w:val="auto"/>
                <w:w w:val="93"/>
              </w:rPr>
              <w:t>Approximate Dollar</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8"/>
              </w:rPr>
              <w:t>Average</w:t>
            </w:r>
          </w:p>
        </w:tc>
        <w:tc>
          <w:tcPr>
            <w:tcW w:w="204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87"/>
              </w:rPr>
              <w:t>Shares Purchased</w:t>
            </w:r>
          </w:p>
        </w:tc>
        <w:tc>
          <w:tcPr>
            <w:tcW w:w="320" w:type="dxa"/>
            <w:vAlign w:val="bottom"/>
          </w:tcPr>
          <w:p>
            <w:pPr>
              <w:spacing w:after="0"/>
              <w:rPr>
                <w:sz w:val="14"/>
                <w:szCs w:val="14"/>
                <w:color w:val="auto"/>
              </w:rPr>
            </w:pPr>
          </w:p>
        </w:tc>
        <w:tc>
          <w:tcPr>
            <w:tcW w:w="2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4"/>
              </w:rPr>
              <w:t>Number of</w:t>
            </w:r>
          </w:p>
        </w:tc>
        <w:tc>
          <w:tcPr>
            <w:tcW w:w="1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204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0"/>
              </w:rPr>
              <w:t>as Part of Publicly</w:t>
            </w:r>
          </w:p>
        </w:tc>
        <w:tc>
          <w:tcPr>
            <w:tcW w:w="320" w:type="dxa"/>
            <w:vAlign w:val="bottom"/>
          </w:tcPr>
          <w:p>
            <w:pPr>
              <w:spacing w:after="0"/>
              <w:rPr>
                <w:sz w:val="14"/>
                <w:szCs w:val="14"/>
                <w:color w:val="auto"/>
              </w:rPr>
            </w:pPr>
          </w:p>
        </w:tc>
        <w:tc>
          <w:tcPr>
            <w:tcW w:w="2460" w:type="dxa"/>
            <w:vAlign w:val="bottom"/>
          </w:tcPr>
          <w:p>
            <w:pPr>
              <w:jc w:val="center"/>
              <w:ind w:right="239"/>
              <w:spacing w:after="0" w:line="162" w:lineRule="exact"/>
              <w:rPr>
                <w:sz w:val="20"/>
                <w:szCs w:val="20"/>
                <w:color w:val="auto"/>
              </w:rPr>
            </w:pPr>
            <w:r>
              <w:rPr>
                <w:rFonts w:ascii="Arial" w:cs="Arial" w:eastAsia="Arial" w:hAnsi="Arial"/>
                <w:sz w:val="16"/>
                <w:szCs w:val="16"/>
                <w:b w:val="1"/>
                <w:bCs w:val="1"/>
                <w:color w:val="auto"/>
                <w:w w:val="91"/>
              </w:rPr>
              <w:t>Value of Shares that May</w:t>
            </w:r>
          </w:p>
        </w:tc>
        <w:tc>
          <w:tcPr>
            <w:tcW w:w="0" w:type="dxa"/>
            <w:vAlign w:val="bottom"/>
          </w:tcPr>
          <w:p>
            <w:pPr>
              <w:spacing w:after="0"/>
              <w:rPr>
                <w:sz w:val="1"/>
                <w:szCs w:val="1"/>
                <w:color w:val="auto"/>
              </w:rPr>
            </w:pPr>
          </w:p>
        </w:tc>
      </w:tr>
      <w:tr>
        <w:trPr>
          <w:trHeight w:val="162"/>
        </w:trPr>
        <w:tc>
          <w:tcPr>
            <w:tcW w:w="378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(Dollars in thousands, except for per share amounts)</w:t>
            </w:r>
          </w:p>
        </w:tc>
        <w:tc>
          <w:tcPr>
            <w:tcW w:w="120" w:type="dxa"/>
            <w:vAlign w:val="bottom"/>
            <w:vMerge w:val="restart"/>
          </w:tcPr>
          <w:p>
            <w:pPr>
              <w:spacing w:after="0"/>
              <w:rPr>
                <w:sz w:val="14"/>
                <w:szCs w:val="14"/>
                <w:color w:val="auto"/>
              </w:rPr>
            </w:pPr>
          </w:p>
        </w:tc>
        <w:tc>
          <w:tcPr>
            <w:tcW w:w="128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86"/>
              </w:rPr>
              <w:t>Shares</w:t>
            </w:r>
          </w:p>
        </w:tc>
        <w:tc>
          <w:tcPr>
            <w:tcW w:w="140" w:type="dxa"/>
            <w:vAlign w:val="bottom"/>
          </w:tcPr>
          <w:p>
            <w:pPr>
              <w:spacing w:after="0"/>
              <w:rPr>
                <w:sz w:val="14"/>
                <w:szCs w:val="14"/>
                <w:color w:val="auto"/>
              </w:rPr>
            </w:pPr>
          </w:p>
        </w:tc>
        <w:tc>
          <w:tcPr>
            <w:tcW w:w="108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2"/>
              </w:rPr>
              <w:t>Price Paid</w:t>
            </w:r>
          </w:p>
        </w:tc>
        <w:tc>
          <w:tcPr>
            <w:tcW w:w="204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0"/>
              </w:rPr>
              <w:t>Announced Plans</w:t>
            </w:r>
          </w:p>
        </w:tc>
        <w:tc>
          <w:tcPr>
            <w:tcW w:w="320" w:type="dxa"/>
            <w:vAlign w:val="bottom"/>
          </w:tcPr>
          <w:p>
            <w:pPr>
              <w:spacing w:after="0"/>
              <w:rPr>
                <w:sz w:val="14"/>
                <w:szCs w:val="14"/>
                <w:color w:val="auto"/>
              </w:rPr>
            </w:pPr>
          </w:p>
        </w:tc>
        <w:tc>
          <w:tcPr>
            <w:tcW w:w="2460" w:type="dxa"/>
            <w:vAlign w:val="bottom"/>
          </w:tcPr>
          <w:p>
            <w:pPr>
              <w:jc w:val="center"/>
              <w:ind w:right="239"/>
              <w:spacing w:after="0" w:line="162" w:lineRule="exact"/>
              <w:rPr>
                <w:sz w:val="20"/>
                <w:szCs w:val="20"/>
                <w:color w:val="auto"/>
              </w:rPr>
            </w:pPr>
            <w:r>
              <w:rPr>
                <w:rFonts w:ascii="Arial" w:cs="Arial" w:eastAsia="Arial" w:hAnsi="Arial"/>
                <w:sz w:val="16"/>
                <w:szCs w:val="16"/>
                <w:b w:val="1"/>
                <w:bCs w:val="1"/>
                <w:color w:val="auto"/>
                <w:w w:val="91"/>
              </w:rPr>
              <w:t>Yet Be Purchased Under</w:t>
            </w:r>
          </w:p>
        </w:tc>
        <w:tc>
          <w:tcPr>
            <w:tcW w:w="0" w:type="dxa"/>
            <w:vAlign w:val="bottom"/>
          </w:tcPr>
          <w:p>
            <w:pPr>
              <w:spacing w:after="0"/>
              <w:rPr>
                <w:sz w:val="1"/>
                <w:szCs w:val="1"/>
                <w:color w:val="auto"/>
              </w:rPr>
            </w:pPr>
          </w:p>
        </w:tc>
      </w:tr>
      <w:tr>
        <w:trPr>
          <w:trHeight w:val="216"/>
        </w:trPr>
        <w:tc>
          <w:tcPr>
            <w:tcW w:w="37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Purchased</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2"/>
              </w:rPr>
              <w:t>per Share</w:t>
            </w:r>
          </w:p>
        </w:tc>
        <w:tc>
          <w:tcPr>
            <w:tcW w:w="100" w:type="dxa"/>
            <w:vAlign w:val="bottom"/>
            <w:tcBorders>
              <w:bottom w:val="single" w:sz="8" w:color="CCEEFF"/>
            </w:tcBorders>
          </w:tcPr>
          <w:p>
            <w:pPr>
              <w:spacing w:after="0"/>
              <w:rPr>
                <w:sz w:val="18"/>
                <w:szCs w:val="18"/>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or Programs</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tcPr>
          <w:p>
            <w:pPr>
              <w:jc w:val="center"/>
              <w:ind w:right="239"/>
              <w:spacing w:after="0" w:line="216" w:lineRule="exact"/>
              <w:rPr>
                <w:sz w:val="20"/>
                <w:szCs w:val="20"/>
                <w:color w:val="auto"/>
              </w:rPr>
            </w:pPr>
            <w:r>
              <w:rPr>
                <w:rFonts w:ascii="Arial" w:cs="Arial" w:eastAsia="Arial" w:hAnsi="Arial"/>
                <w:sz w:val="16"/>
                <w:szCs w:val="16"/>
                <w:b w:val="1"/>
                <w:bCs w:val="1"/>
                <w:color w:val="auto"/>
                <w:w w:val="88"/>
              </w:rPr>
              <w:t xml:space="preserve">the Plans or Programs </w:t>
            </w:r>
            <w:r>
              <w:rPr>
                <w:rFonts w:ascii="Arial" w:cs="Arial" w:eastAsia="Arial" w:hAnsi="Arial"/>
                <w:sz w:val="21"/>
                <w:szCs w:val="21"/>
                <w:b w:val="1"/>
                <w:bCs w:val="1"/>
                <w:color w:val="auto"/>
                <w:w w:val="88"/>
                <w:vertAlign w:val="superscript"/>
              </w:rPr>
              <w:t>(1)</w:t>
            </w:r>
          </w:p>
        </w:tc>
        <w:tc>
          <w:tcPr>
            <w:tcW w:w="0" w:type="dxa"/>
            <w:vAlign w:val="bottom"/>
          </w:tcPr>
          <w:p>
            <w:pPr>
              <w:spacing w:after="0"/>
              <w:rPr>
                <w:sz w:val="1"/>
                <w:szCs w:val="1"/>
                <w:color w:val="auto"/>
              </w:rPr>
            </w:pPr>
          </w:p>
        </w:tc>
      </w:tr>
      <w:tr>
        <w:trPr>
          <w:trHeight w:val="209"/>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April 1, 2021 - April 30, 2021</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2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0" w:type="dxa"/>
            <w:vAlign w:val="bottom"/>
          </w:tcPr>
          <w:p>
            <w:pPr>
              <w:spacing w:after="0"/>
              <w:rPr>
                <w:sz w:val="1"/>
                <w:szCs w:val="1"/>
                <w:color w:val="auto"/>
              </w:rPr>
            </w:pPr>
          </w:p>
        </w:tc>
      </w:tr>
      <w:tr>
        <w:trPr>
          <w:trHeight w:val="213"/>
        </w:trPr>
        <w:tc>
          <w:tcPr>
            <w:tcW w:w="3900" w:type="dxa"/>
            <w:vAlign w:val="bottom"/>
            <w:gridSpan w:val="2"/>
          </w:tcPr>
          <w:p>
            <w:pPr>
              <w:ind w:left="20"/>
              <w:spacing w:after="0"/>
              <w:rPr>
                <w:sz w:val="20"/>
                <w:szCs w:val="20"/>
                <w:color w:val="auto"/>
              </w:rPr>
            </w:pPr>
            <w:r>
              <w:rPr>
                <w:rFonts w:ascii="Arial" w:cs="Arial" w:eastAsia="Arial" w:hAnsi="Arial"/>
                <w:sz w:val="16"/>
                <w:szCs w:val="16"/>
                <w:color w:val="auto"/>
              </w:rPr>
              <w:t>May 1, 2021 - May 31, 2021</w:t>
            </w:r>
          </w:p>
        </w:tc>
        <w:tc>
          <w:tcPr>
            <w:tcW w:w="1180" w:type="dxa"/>
            <w:vAlign w:val="bottom"/>
          </w:tcPr>
          <w:p>
            <w:pPr>
              <w:jc w:val="right"/>
              <w:spacing w:after="0"/>
              <w:rPr>
                <w:sz w:val="20"/>
                <w:szCs w:val="20"/>
                <w:color w:val="auto"/>
              </w:rPr>
            </w:pPr>
            <w:r>
              <w:rPr>
                <w:rFonts w:ascii="Arial" w:cs="Arial" w:eastAsia="Arial" w:hAnsi="Arial"/>
                <w:sz w:val="16"/>
                <w:szCs w:val="16"/>
                <w:color w:val="auto"/>
              </w:rPr>
              <w:t>150,000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34.01</w:t>
            </w:r>
          </w:p>
        </w:tc>
        <w:tc>
          <w:tcPr>
            <w:tcW w:w="1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150,000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60" w:type="dxa"/>
            <w:vAlign w:val="bottom"/>
          </w:tcPr>
          <w:p>
            <w:pPr>
              <w:jc w:val="right"/>
              <w:spacing w:after="0"/>
              <w:rPr>
                <w:sz w:val="20"/>
                <w:szCs w:val="20"/>
                <w:color w:val="auto"/>
              </w:rPr>
            </w:pPr>
            <w:r>
              <w:rPr>
                <w:rFonts w:ascii="Arial" w:cs="Arial" w:eastAsia="Arial" w:hAnsi="Arial"/>
                <w:sz w:val="16"/>
                <w:szCs w:val="16"/>
                <w:color w:val="auto"/>
              </w:rPr>
              <w:t>44,899</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June 1, 2021 - June 30, 2021</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2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44,899</w:t>
            </w:r>
          </w:p>
        </w:tc>
        <w:tc>
          <w:tcPr>
            <w:tcW w:w="0" w:type="dxa"/>
            <w:vAlign w:val="bottom"/>
          </w:tcPr>
          <w:p>
            <w:pPr>
              <w:spacing w:after="0"/>
              <w:rPr>
                <w:sz w:val="1"/>
                <w:szCs w:val="1"/>
                <w:color w:val="auto"/>
              </w:rPr>
            </w:pPr>
          </w:p>
        </w:tc>
      </w:tr>
      <w:tr>
        <w:trPr>
          <w:trHeight w:val="213"/>
        </w:trPr>
        <w:tc>
          <w:tcPr>
            <w:tcW w:w="390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150,000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34.01</w:t>
            </w:r>
          </w:p>
        </w:tc>
        <w:tc>
          <w:tcPr>
            <w:tcW w:w="100" w:type="dxa"/>
            <w:vAlign w:val="bottom"/>
          </w:tcPr>
          <w:p>
            <w:pPr>
              <w:spacing w:after="0"/>
              <w:rPr>
                <w:sz w:val="18"/>
                <w:szCs w:val="18"/>
                <w:color w:val="auto"/>
              </w:rPr>
            </w:pP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150,000</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2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44,899</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jc w:val="both"/>
        <w:ind w:firstLine="8"/>
        <w:spacing w:after="0" w:line="279" w:lineRule="auto"/>
        <w:tabs>
          <w:tab w:leader="none" w:pos="162"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In November of 2020, United’s Board re-authorized its common stock repurchase program to permit the repurchase of up to $50.0 million of its common stock. The program is scheduled to expire on the earlier of the repurchase of our common stock having an aggregate purchase price of $50 million or December 31, 2021. Under the program, shares may be repurchased in open market transactions or in privately negotiated transactions, from time to time, subject to market conditions, including transactions outside the safe harbor provided by Exchange Act Rule 10b-18</w:t>
      </w:r>
      <w:r>
        <w:rPr>
          <w:rFonts w:ascii="Arial" w:cs="Arial" w:eastAsia="Arial" w:hAnsi="Arial"/>
          <w:sz w:val="15"/>
          <w:szCs w:val="15"/>
          <w:color w:val="auto"/>
        </w:rPr>
        <w:t>.</w:t>
      </w:r>
      <w:r>
        <w:rPr>
          <w:rFonts w:ascii="Arial" w:cs="Arial" w:eastAsia="Arial" w:hAnsi="Arial"/>
          <w:sz w:val="14"/>
          <w:szCs w:val="14"/>
          <w:color w:val="auto"/>
        </w:rPr>
        <w:t xml:space="preserve"> </w:t>
      </w:r>
      <w:r>
        <w:rPr>
          <w:rFonts w:ascii="Arial" w:cs="Arial" w:eastAsia="Arial" w:hAnsi="Arial"/>
          <w:sz w:val="14"/>
          <w:szCs w:val="14"/>
          <w:color w:val="212529"/>
        </w:rPr>
        <w:t>The approved share repurchase program does not obligate us to repurchase any dollar amount</w:t>
      </w:r>
      <w:r>
        <w:rPr>
          <w:rFonts w:ascii="Arial" w:cs="Arial" w:eastAsia="Arial" w:hAnsi="Arial"/>
          <w:sz w:val="14"/>
          <w:szCs w:val="14"/>
          <w:color w:val="auto"/>
        </w:rPr>
        <w:t xml:space="preserve"> </w:t>
      </w:r>
      <w:r>
        <w:rPr>
          <w:rFonts w:ascii="Arial" w:cs="Arial" w:eastAsia="Arial" w:hAnsi="Arial"/>
          <w:sz w:val="14"/>
          <w:szCs w:val="14"/>
          <w:color w:val="212529"/>
        </w:rPr>
        <w:t>or number of shares.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Item 6. Exhibits</w:t>
      </w:r>
    </w:p>
    <w:p>
      <w:pPr>
        <w:spacing w:after="0" w:line="252" w:lineRule="exact"/>
        <w:rPr>
          <w:sz w:val="20"/>
          <w:szCs w:val="20"/>
          <w:color w:val="auto"/>
        </w:rPr>
      </w:pPr>
    </w:p>
    <w:p>
      <w:pPr>
        <w:ind w:left="1100" w:hanging="444"/>
        <w:spacing w:after="0"/>
        <w:tabs>
          <w:tab w:leader="none" w:pos="11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Exhibits. </w:t>
      </w:r>
      <w:r>
        <w:rPr>
          <w:rFonts w:ascii="Arial" w:cs="Arial" w:eastAsia="Arial" w:hAnsi="Arial"/>
          <w:sz w:val="18"/>
          <w:szCs w:val="18"/>
          <w:color w:val="auto"/>
        </w:rPr>
        <w:t>See Exhibit Index below.</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279" w:lineRule="exact"/>
        <w:rPr>
          <w:sz w:val="20"/>
          <w:szCs w:val="20"/>
          <w:color w:val="auto"/>
        </w:rPr>
      </w:pPr>
    </w:p>
    <w:p>
      <w:pPr>
        <w:ind w:left="440"/>
        <w:spacing w:after="0"/>
        <w:tabs>
          <w:tab w:leader="none" w:pos="606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jc w:val="both"/>
        <w:ind w:left="1840" w:hanging="746"/>
        <w:spacing w:after="0" w:line="253" w:lineRule="auto"/>
        <w:tabs>
          <w:tab w:leader="none" w:pos="1820" w:val="left"/>
        </w:tabs>
        <w:rPr>
          <w:rFonts w:ascii="Arial" w:cs="Arial" w:eastAsia="Arial" w:hAnsi="Arial"/>
          <w:sz w:val="17"/>
          <w:szCs w:val="17"/>
          <w:u w:val="single" w:color="auto"/>
          <w:color w:val="0000FF"/>
        </w:rPr>
      </w:pPr>
      <w:hyperlink r:id="rId92">
        <w:r>
          <w:rPr>
            <w:rFonts w:ascii="Arial" w:cs="Arial" w:eastAsia="Arial" w:hAnsi="Arial"/>
            <w:sz w:val="18"/>
            <w:szCs w:val="18"/>
            <w:u w:val="single" w:color="auto"/>
            <w:color w:val="0000FF"/>
          </w:rPr>
          <w:t>2.1</w:t>
        </w:r>
      </w:hyperlink>
      <w:r>
        <w:rPr>
          <w:rFonts w:ascii="Arial" w:cs="Arial" w:eastAsia="Arial" w:hAnsi="Arial"/>
          <w:sz w:val="18"/>
          <w:szCs w:val="18"/>
          <w:u w:val="single" w:color="auto"/>
          <w:color w:val="0000FF"/>
        </w:rPr>
        <w:tab/>
      </w:r>
      <w:hyperlink r:id="rId92">
        <w:r>
          <w:rPr>
            <w:rFonts w:ascii="Arial" w:cs="Arial" w:eastAsia="Arial" w:hAnsi="Arial"/>
            <w:sz w:val="17"/>
            <w:szCs w:val="17"/>
            <w:u w:val="single" w:color="auto"/>
            <w:color w:val="0000FF"/>
          </w:rPr>
          <w:t>Agreement and Plan of Merger and Reorganization, dated as of May 26, 2021, by and between United Community Banks, Inc.</w:t>
        </w:r>
      </w:hyperlink>
      <w:r>
        <w:rPr>
          <w:rFonts w:ascii="Arial" w:cs="Arial" w:eastAsia="Arial" w:hAnsi="Arial"/>
          <w:sz w:val="17"/>
          <w:szCs w:val="17"/>
          <w:u w:val="single" w:color="auto"/>
          <w:color w:val="0000FF"/>
        </w:rPr>
        <w:t xml:space="preserve"> </w:t>
      </w:r>
      <w:hyperlink r:id="rId92">
        <w:r>
          <w:rPr>
            <w:rFonts w:ascii="Arial" w:cs="Arial" w:eastAsia="Arial" w:hAnsi="Arial"/>
            <w:sz w:val="17"/>
            <w:szCs w:val="17"/>
            <w:u w:val="single" w:color="auto"/>
            <w:color w:val="0000FF"/>
          </w:rPr>
          <w:t>and Aquesta Financial Holdings, Inc. (incorporated by reference from Annex A to the proxy statement/prospectus contained in</w:t>
        </w:r>
      </w:hyperlink>
      <w:r>
        <w:rPr>
          <w:rFonts w:ascii="Arial" w:cs="Arial" w:eastAsia="Arial" w:hAnsi="Arial"/>
          <w:sz w:val="17"/>
          <w:szCs w:val="17"/>
          <w:u w:val="single" w:color="auto"/>
          <w:color w:val="0000FF"/>
        </w:rPr>
        <w:t xml:space="preserve"> </w:t>
      </w:r>
      <w:hyperlink r:id="rId92">
        <w:r>
          <w:rPr>
            <w:rFonts w:ascii="Arial" w:cs="Arial" w:eastAsia="Arial" w:hAnsi="Arial"/>
            <w:sz w:val="17"/>
            <w:szCs w:val="17"/>
            <w:u w:val="single" w:color="auto"/>
            <w:color w:val="0000FF"/>
          </w:rPr>
          <w:t>United Community Banks, Inc.’s Registration Statement on Form S-4 filed with the SEC on July 29, 2021).</w:t>
        </w:r>
      </w:hyperlink>
    </w:p>
    <w:p>
      <w:pPr>
        <w:spacing w:after="0" w:line="165" w:lineRule="exact"/>
        <w:rPr>
          <w:rFonts w:ascii="Arial" w:cs="Arial" w:eastAsia="Arial" w:hAnsi="Arial"/>
          <w:sz w:val="17"/>
          <w:szCs w:val="17"/>
          <w:u w:val="single" w:color="auto"/>
          <w:color w:val="0000FF"/>
        </w:rPr>
      </w:pPr>
    </w:p>
    <w:p>
      <w:pPr>
        <w:jc w:val="both"/>
        <w:ind w:left="1840" w:hanging="746"/>
        <w:spacing w:after="0" w:line="235" w:lineRule="auto"/>
        <w:tabs>
          <w:tab w:leader="none" w:pos="1820" w:val="left"/>
        </w:tabs>
        <w:rPr>
          <w:rFonts w:ascii="Arial" w:cs="Arial" w:eastAsia="Arial" w:hAnsi="Arial"/>
          <w:sz w:val="18"/>
          <w:szCs w:val="18"/>
          <w:u w:val="single" w:color="auto"/>
          <w:color w:val="0000FF"/>
        </w:rPr>
      </w:pPr>
      <w:hyperlink r:id="rId93">
        <w:r>
          <w:rPr>
            <w:rFonts w:ascii="Arial" w:cs="Arial" w:eastAsia="Arial" w:hAnsi="Arial"/>
            <w:sz w:val="18"/>
            <w:szCs w:val="18"/>
            <w:u w:val="single" w:color="auto"/>
            <w:color w:val="0000FF"/>
          </w:rPr>
          <w:t>2.2</w:t>
        </w:r>
      </w:hyperlink>
      <w:r>
        <w:rPr>
          <w:rFonts w:ascii="Arial" w:cs="Arial" w:eastAsia="Arial" w:hAnsi="Arial"/>
          <w:sz w:val="18"/>
          <w:szCs w:val="18"/>
          <w:u w:val="single" w:color="auto"/>
          <w:color w:val="0000FF"/>
        </w:rPr>
        <w:tab/>
      </w:r>
      <w:hyperlink r:id="rId93">
        <w:r>
          <w:rPr>
            <w:rFonts w:ascii="Arial" w:cs="Arial" w:eastAsia="Arial" w:hAnsi="Arial"/>
            <w:sz w:val="18"/>
            <w:szCs w:val="18"/>
            <w:u w:val="single" w:color="auto"/>
            <w:color w:val="0000FF"/>
          </w:rPr>
          <w:t>Agreement and Plan of Merger, dated as of July 14, 2021, by and between United Community Banks, Inc. and Reliant Bancorp,</w:t>
        </w:r>
      </w:hyperlink>
      <w:r>
        <w:rPr>
          <w:rFonts w:ascii="Arial" w:cs="Arial" w:eastAsia="Arial" w:hAnsi="Arial"/>
          <w:sz w:val="18"/>
          <w:szCs w:val="18"/>
          <w:u w:val="single" w:color="auto"/>
          <w:color w:val="0000FF"/>
        </w:rPr>
        <w:t xml:space="preserve"> </w:t>
      </w:r>
      <w:hyperlink r:id="rId93">
        <w:r>
          <w:rPr>
            <w:rFonts w:ascii="Arial" w:cs="Arial" w:eastAsia="Arial" w:hAnsi="Arial"/>
            <w:sz w:val="18"/>
            <w:szCs w:val="18"/>
            <w:u w:val="single" w:color="auto"/>
            <w:color w:val="0000FF"/>
          </w:rPr>
          <w:t>Inc. (incorporated herein by reference to Exhibit 2.1 to United Community Banks, Inc.’s Current Report on Form 8-K dated July</w:t>
        </w:r>
      </w:hyperlink>
      <w:r>
        <w:rPr>
          <w:rFonts w:ascii="Arial" w:cs="Arial" w:eastAsia="Arial" w:hAnsi="Arial"/>
          <w:sz w:val="18"/>
          <w:szCs w:val="18"/>
          <w:u w:val="single" w:color="auto"/>
          <w:color w:val="0000FF"/>
        </w:rPr>
        <w:t xml:space="preserve"> </w:t>
      </w:r>
      <w:hyperlink r:id="rId93">
        <w:r>
          <w:rPr>
            <w:rFonts w:ascii="Arial" w:cs="Arial" w:eastAsia="Arial" w:hAnsi="Arial"/>
            <w:sz w:val="18"/>
            <w:szCs w:val="18"/>
            <w:u w:val="single" w:color="auto"/>
            <w:color w:val="0000FF"/>
          </w:rPr>
          <w:t>14, 2021 and filed with the SEC on July 15, 2021).</w:t>
        </w:r>
      </w:hyperlink>
    </w:p>
    <w:p>
      <w:pPr>
        <w:spacing w:after="0" w:line="269" w:lineRule="exact"/>
        <w:rPr>
          <w:rFonts w:ascii="Arial" w:cs="Arial" w:eastAsia="Arial" w:hAnsi="Arial"/>
          <w:sz w:val="18"/>
          <w:szCs w:val="18"/>
          <w:u w:val="single" w:color="auto"/>
          <w:color w:val="0000FF"/>
        </w:rPr>
      </w:pPr>
    </w:p>
    <w:p>
      <w:pPr>
        <w:jc w:val="both"/>
        <w:ind w:left="1840" w:hanging="746"/>
        <w:spacing w:after="0" w:line="224" w:lineRule="auto"/>
        <w:tabs>
          <w:tab w:leader="none" w:pos="1820" w:val="left"/>
        </w:tabs>
        <w:rPr>
          <w:rFonts w:ascii="Arial" w:cs="Arial" w:eastAsia="Arial" w:hAnsi="Arial"/>
          <w:sz w:val="18"/>
          <w:szCs w:val="18"/>
          <w:u w:val="single" w:color="auto"/>
          <w:color w:val="0000FF"/>
        </w:rPr>
      </w:pPr>
      <w:hyperlink r:id="rId94">
        <w:r>
          <w:rPr>
            <w:rFonts w:ascii="Arial" w:cs="Arial" w:eastAsia="Arial" w:hAnsi="Arial"/>
            <w:sz w:val="18"/>
            <w:szCs w:val="18"/>
            <w:u w:val="single" w:color="auto"/>
            <w:color w:val="0000FF"/>
          </w:rPr>
          <w:t>3.1</w:t>
        </w:r>
      </w:hyperlink>
      <w:r>
        <w:rPr>
          <w:rFonts w:ascii="Arial" w:cs="Arial" w:eastAsia="Arial" w:hAnsi="Arial"/>
          <w:sz w:val="18"/>
          <w:szCs w:val="18"/>
          <w:u w:val="single" w:color="auto"/>
          <w:color w:val="0000FF"/>
        </w:rPr>
        <w:tab/>
      </w:r>
      <w:hyperlink r:id="rId94">
        <w:r>
          <w:rPr>
            <w:rFonts w:ascii="Arial" w:cs="Arial" w:eastAsia="Arial" w:hAnsi="Arial"/>
            <w:sz w:val="18"/>
            <w:szCs w:val="18"/>
            <w:u w:val="single" w:color="auto"/>
            <w:color w:val="0000FF"/>
          </w:rPr>
          <w:t>Composite Restated Articles of Incorporation of United Community Banks, Inc. as amended through June 30, 2021 (incorporated</w:t>
        </w:r>
      </w:hyperlink>
      <w:r>
        <w:rPr>
          <w:rFonts w:ascii="Arial" w:cs="Arial" w:eastAsia="Arial" w:hAnsi="Arial"/>
          <w:sz w:val="18"/>
          <w:szCs w:val="18"/>
          <w:u w:val="single" w:color="auto"/>
          <w:color w:val="0000FF"/>
        </w:rPr>
        <w:t xml:space="preserve"> </w:t>
      </w:r>
      <w:hyperlink r:id="rId94">
        <w:r>
          <w:rPr>
            <w:rFonts w:ascii="Arial" w:cs="Arial" w:eastAsia="Arial" w:hAnsi="Arial"/>
            <w:sz w:val="18"/>
            <w:szCs w:val="18"/>
            <w:u w:val="single" w:color="auto"/>
            <w:color w:val="0000FF"/>
          </w:rPr>
          <w:t>herein by reference to Exhibit 3.1 to United Community Banks, Inc.’s Registration Statement on Form S-4 filed with the SEC on</w:t>
        </w:r>
      </w:hyperlink>
      <w:r>
        <w:rPr>
          <w:rFonts w:ascii="Arial" w:cs="Arial" w:eastAsia="Arial" w:hAnsi="Arial"/>
          <w:sz w:val="18"/>
          <w:szCs w:val="18"/>
          <w:u w:val="single" w:color="auto"/>
          <w:color w:val="0000FF"/>
        </w:rPr>
        <w:t xml:space="preserve"> </w:t>
      </w:r>
      <w:hyperlink r:id="rId94">
        <w:r>
          <w:rPr>
            <w:rFonts w:ascii="Arial" w:cs="Arial" w:eastAsia="Arial" w:hAnsi="Arial"/>
            <w:sz w:val="18"/>
            <w:szCs w:val="18"/>
            <w:u w:val="single" w:color="auto"/>
            <w:color w:val="0000FF"/>
          </w:rPr>
          <w:t>July 29, 2021).</w:t>
        </w:r>
      </w:hyperlink>
    </w:p>
    <w:p>
      <w:pPr>
        <w:spacing w:after="0" w:line="163" w:lineRule="exact"/>
        <w:rPr>
          <w:rFonts w:ascii="Arial" w:cs="Arial" w:eastAsia="Arial" w:hAnsi="Arial"/>
          <w:sz w:val="18"/>
          <w:szCs w:val="18"/>
          <w:u w:val="single" w:color="auto"/>
          <w:color w:val="0000FF"/>
        </w:rPr>
      </w:pPr>
    </w:p>
    <w:p>
      <w:pPr>
        <w:jc w:val="both"/>
        <w:ind w:left="1840" w:hanging="746"/>
        <w:spacing w:after="0" w:line="224" w:lineRule="auto"/>
        <w:tabs>
          <w:tab w:leader="none" w:pos="1820" w:val="left"/>
        </w:tabs>
        <w:rPr>
          <w:rFonts w:ascii="Arial" w:cs="Arial" w:eastAsia="Arial" w:hAnsi="Arial"/>
          <w:sz w:val="18"/>
          <w:szCs w:val="18"/>
          <w:u w:val="single" w:color="auto"/>
          <w:color w:val="0000FF"/>
        </w:rPr>
      </w:pPr>
      <w:hyperlink r:id="rId95">
        <w:r>
          <w:rPr>
            <w:rFonts w:ascii="Arial" w:cs="Arial" w:eastAsia="Arial" w:hAnsi="Arial"/>
            <w:sz w:val="18"/>
            <w:szCs w:val="18"/>
            <w:u w:val="single" w:color="auto"/>
            <w:color w:val="0000FF"/>
          </w:rPr>
          <w:t>3.2</w:t>
        </w:r>
      </w:hyperlink>
      <w:r>
        <w:rPr>
          <w:rFonts w:ascii="Arial" w:cs="Arial" w:eastAsia="Arial" w:hAnsi="Arial"/>
          <w:sz w:val="18"/>
          <w:szCs w:val="18"/>
          <w:u w:val="single" w:color="auto"/>
          <w:color w:val="0000FF"/>
        </w:rPr>
        <w:tab/>
      </w:r>
      <w:hyperlink r:id="rId95">
        <w:r>
          <w:rPr>
            <w:rFonts w:ascii="Arial" w:cs="Arial" w:eastAsia="Arial" w:hAnsi="Arial"/>
            <w:sz w:val="18"/>
            <w:szCs w:val="18"/>
            <w:u w:val="single" w:color="auto"/>
            <w:color w:val="0000FF"/>
          </w:rPr>
          <w:t>Amended and Restated Bylaws of United Community Banks, Inc., as amended (incorporated herein by reference to Exhibit 3.2 to</w:t>
        </w:r>
      </w:hyperlink>
      <w:r>
        <w:rPr>
          <w:rFonts w:ascii="Arial" w:cs="Arial" w:eastAsia="Arial" w:hAnsi="Arial"/>
          <w:sz w:val="18"/>
          <w:szCs w:val="18"/>
          <w:u w:val="single" w:color="auto"/>
          <w:color w:val="0000FF"/>
        </w:rPr>
        <w:t xml:space="preserve"> </w:t>
      </w:r>
      <w:hyperlink r:id="rId95">
        <w:r>
          <w:rPr>
            <w:rFonts w:ascii="Arial" w:cs="Arial" w:eastAsia="Arial" w:hAnsi="Arial"/>
            <w:sz w:val="18"/>
            <w:szCs w:val="18"/>
            <w:u w:val="single" w:color="auto"/>
            <w:color w:val="0000FF"/>
          </w:rPr>
          <w:t>United Community Banks, Inc.’s Quarterly Report on Form 10-Q for the period ended March 31, 2015, filed with the SEC on</w:t>
        </w:r>
      </w:hyperlink>
      <w:r>
        <w:rPr>
          <w:rFonts w:ascii="Arial" w:cs="Arial" w:eastAsia="Arial" w:hAnsi="Arial"/>
          <w:sz w:val="18"/>
          <w:szCs w:val="18"/>
          <w:u w:val="single" w:color="auto"/>
          <w:color w:val="0000FF"/>
        </w:rPr>
        <w:t xml:space="preserve"> </w:t>
      </w:r>
      <w:hyperlink r:id="rId95">
        <w:r>
          <w:rPr>
            <w:rFonts w:ascii="Arial" w:cs="Arial" w:eastAsia="Arial" w:hAnsi="Arial"/>
            <w:sz w:val="18"/>
            <w:szCs w:val="18"/>
            <w:u w:val="single" w:color="auto"/>
            <w:color w:val="0000FF"/>
          </w:rPr>
          <w:t>May 11, 2015).</w:t>
        </w:r>
      </w:hyperlink>
    </w:p>
    <w:p>
      <w:pPr>
        <w:spacing w:after="0" w:line="163" w:lineRule="exact"/>
        <w:rPr>
          <w:rFonts w:ascii="Arial" w:cs="Arial" w:eastAsia="Arial" w:hAnsi="Arial"/>
          <w:sz w:val="18"/>
          <w:szCs w:val="18"/>
          <w:u w:val="single" w:color="auto"/>
          <w:color w:val="0000FF"/>
        </w:rPr>
      </w:pPr>
    </w:p>
    <w:p>
      <w:pPr>
        <w:ind w:left="1840" w:hanging="836"/>
        <w:spacing w:after="0" w:line="235" w:lineRule="auto"/>
        <w:tabs>
          <w:tab w:leader="none" w:pos="1820" w:val="left"/>
        </w:tabs>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31.1</w:t>
        </w:r>
      </w:hyperlink>
      <w:r>
        <w:rPr>
          <w:rFonts w:ascii="Arial" w:cs="Arial" w:eastAsia="Arial" w:hAnsi="Arial"/>
          <w:sz w:val="18"/>
          <w:szCs w:val="18"/>
          <w:u w:val="single" w:color="auto"/>
          <w:color w:val="0000FF"/>
        </w:rPr>
        <w:tab/>
      </w:r>
      <w:hyperlink w:anchor="page58">
        <w:r>
          <w:rPr>
            <w:rFonts w:ascii="Arial" w:cs="Arial" w:eastAsia="Arial" w:hAnsi="Arial"/>
            <w:sz w:val="18"/>
            <w:szCs w:val="18"/>
            <w:u w:val="single" w:color="auto"/>
            <w:color w:val="0000FF"/>
          </w:rPr>
          <w:t>Certification by H. Lynn Harton, President and Chief Executive Officer of United Community Banks, Inc., pursuant to Exchange</w:t>
        </w:r>
      </w:hyperlink>
      <w:r>
        <w:rPr>
          <w:rFonts w:ascii="Arial" w:cs="Arial" w:eastAsia="Arial" w:hAnsi="Arial"/>
          <w:sz w:val="18"/>
          <w:szCs w:val="18"/>
          <w:u w:val="single" w:color="auto"/>
          <w:color w:val="0000FF"/>
        </w:rPr>
        <w:t xml:space="preserve"> </w:t>
      </w:r>
      <w:hyperlink w:anchor="page58">
        <w:r>
          <w:rPr>
            <w:rFonts w:ascii="Arial" w:cs="Arial" w:eastAsia="Arial" w:hAnsi="Arial"/>
            <w:sz w:val="18"/>
            <w:szCs w:val="18"/>
            <w:u w:val="single" w:color="auto"/>
            <w:color w:val="0000FF"/>
          </w:rPr>
          <w:t>Act Rule 13a-14(a).</w:t>
        </w:r>
      </w:hyperlink>
    </w:p>
    <w:p>
      <w:pPr>
        <w:spacing w:after="0" w:line="162" w:lineRule="exact"/>
        <w:rPr>
          <w:rFonts w:ascii="Arial" w:cs="Arial" w:eastAsia="Arial" w:hAnsi="Arial"/>
          <w:sz w:val="18"/>
          <w:szCs w:val="18"/>
          <w:u w:val="single" w:color="auto"/>
          <w:color w:val="0000FF"/>
        </w:rPr>
      </w:pPr>
    </w:p>
    <w:p>
      <w:pPr>
        <w:ind w:left="1840" w:hanging="836"/>
        <w:spacing w:after="0" w:line="235" w:lineRule="auto"/>
        <w:tabs>
          <w:tab w:leader="none" w:pos="1820" w:val="left"/>
        </w:tabs>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31.2</w:t>
        </w:r>
      </w:hyperlink>
      <w:r>
        <w:rPr>
          <w:rFonts w:ascii="Arial" w:cs="Arial" w:eastAsia="Arial" w:hAnsi="Arial"/>
          <w:sz w:val="18"/>
          <w:szCs w:val="18"/>
          <w:u w:val="single" w:color="auto"/>
          <w:color w:val="0000FF"/>
        </w:rPr>
        <w:tab/>
      </w:r>
      <w:hyperlink w:anchor="page59">
        <w:r>
          <w:rPr>
            <w:rFonts w:ascii="Arial" w:cs="Arial" w:eastAsia="Arial" w:hAnsi="Arial"/>
            <w:sz w:val="18"/>
            <w:szCs w:val="18"/>
            <w:u w:val="single" w:color="auto"/>
            <w:color w:val="0000FF"/>
          </w:rPr>
          <w:t>Certification by Jefferson L. Harralson, Executive Vice President and Chief Financial Officer of United Community Banks, Inc.,</w:t>
        </w:r>
      </w:hyperlink>
      <w:r>
        <w:rPr>
          <w:rFonts w:ascii="Arial" w:cs="Arial" w:eastAsia="Arial" w:hAnsi="Arial"/>
          <w:sz w:val="18"/>
          <w:szCs w:val="18"/>
          <w:u w:val="single" w:color="auto"/>
          <w:color w:val="0000FF"/>
        </w:rPr>
        <w:t xml:space="preserve"> </w:t>
      </w:r>
      <w:hyperlink w:anchor="page59">
        <w:r>
          <w:rPr>
            <w:rFonts w:ascii="Arial" w:cs="Arial" w:eastAsia="Arial" w:hAnsi="Arial"/>
            <w:sz w:val="18"/>
            <w:szCs w:val="18"/>
            <w:u w:val="single" w:color="auto"/>
            <w:color w:val="0000FF"/>
          </w:rPr>
          <w:t>pursuant to Exchange Act Rule 13a-14(a).</w:t>
        </w:r>
      </w:hyperlink>
    </w:p>
    <w:p>
      <w:pPr>
        <w:spacing w:after="0" w:line="162" w:lineRule="exact"/>
        <w:rPr>
          <w:rFonts w:ascii="Arial" w:cs="Arial" w:eastAsia="Arial" w:hAnsi="Arial"/>
          <w:sz w:val="18"/>
          <w:szCs w:val="18"/>
          <w:u w:val="single" w:color="auto"/>
          <w:color w:val="0000FF"/>
        </w:rPr>
      </w:pPr>
    </w:p>
    <w:p>
      <w:pPr>
        <w:ind w:left="1140"/>
        <w:spacing w:after="0"/>
        <w:tabs>
          <w:tab w:leader="none" w:pos="1820" w:val="left"/>
        </w:tabs>
        <w:rPr>
          <w:rFonts w:ascii="Arial" w:cs="Arial" w:eastAsia="Arial" w:hAnsi="Arial"/>
          <w:sz w:val="18"/>
          <w:szCs w:val="18"/>
          <w:u w:val="single" w:color="auto"/>
          <w:color w:val="0000FF"/>
        </w:rPr>
      </w:pPr>
      <w:r>
        <w:rPr>
          <w:rFonts w:ascii="Arial" w:cs="Arial" w:eastAsia="Arial" w:hAnsi="Arial"/>
          <w:sz w:val="18"/>
          <w:szCs w:val="18"/>
          <w:u w:val="single" w:color="auto"/>
          <w:color w:val="0000FF"/>
        </w:rPr>
        <w:t>32</w:t>
      </w:r>
      <w:r>
        <w:rPr>
          <w:sz w:val="20"/>
          <w:szCs w:val="20"/>
          <w:color w:val="auto"/>
        </w:rPr>
        <w:tab/>
      </w:r>
      <w:hyperlink w:anchor="page60">
        <w:r>
          <w:rPr>
            <w:rFonts w:ascii="Arial" w:cs="Arial" w:eastAsia="Arial" w:hAnsi="Arial"/>
            <w:sz w:val="18"/>
            <w:szCs w:val="18"/>
            <w:u w:val="single" w:color="auto"/>
            <w:color w:val="0000FF"/>
          </w:rPr>
          <w:t>Certification of CEO and CFO pursuant to 18 U.S.C. Section 1350.</w:t>
        </w:r>
      </w:hyperlink>
    </w:p>
    <w:p>
      <w:pPr>
        <w:spacing w:after="0" w:line="185" w:lineRule="exact"/>
        <w:rPr>
          <w:rFonts w:ascii="Arial" w:cs="Arial" w:eastAsia="Arial" w:hAnsi="Arial"/>
          <w:sz w:val="18"/>
          <w:szCs w:val="18"/>
          <w:u w:val="single" w:color="auto"/>
          <w:color w:val="0000FF"/>
        </w:rPr>
      </w:pPr>
    </w:p>
    <w:p>
      <w:pPr>
        <w:jc w:val="both"/>
        <w:ind w:left="1840" w:hanging="797"/>
        <w:spacing w:after="0" w:line="216" w:lineRule="auto"/>
        <w:tabs>
          <w:tab w:leader="none" w:pos="1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Interactive data files for United Community Bank, Inc.’s Quarterly Report on Form 10-Q for the quarter ended June 30, 2021, formatted in Inline XBRL: </w:t>
      </w:r>
      <w:r>
        <w:rPr>
          <w:rFonts w:ascii="Arial" w:cs="Arial" w:eastAsia="Arial" w:hAnsi="Arial"/>
          <w:sz w:val="18"/>
          <w:szCs w:val="18"/>
          <w:color w:val="212529"/>
        </w:rPr>
        <w:t>(i) the Consolidated Balance Sheets (unaudited); (ii) the Consolidated Statements of Income</w:t>
      </w:r>
      <w:r>
        <w:rPr>
          <w:rFonts w:ascii="Arial" w:cs="Arial" w:eastAsia="Arial" w:hAnsi="Arial"/>
          <w:sz w:val="18"/>
          <w:szCs w:val="18"/>
          <w:color w:val="auto"/>
        </w:rPr>
        <w:t xml:space="preserve"> </w:t>
      </w:r>
      <w:r>
        <w:rPr>
          <w:rFonts w:ascii="Arial" w:cs="Arial" w:eastAsia="Arial" w:hAnsi="Arial"/>
          <w:sz w:val="18"/>
          <w:szCs w:val="18"/>
          <w:color w:val="212529"/>
        </w:rPr>
        <w:t>(unaudited); (iii) the Consolidated Statements of Comprehensive Income (unaudited); (iv) the Consolidated Statements in Shareholders’ Equity (unaudited); (v) the Consolidated Statements of Cash Flows (unaudited); and (vi) the Notes to Consolidated Financial Statements (unaudited)</w:t>
      </w:r>
      <w:r>
        <w:rPr>
          <w:rFonts w:ascii="Arial" w:cs="Arial" w:eastAsia="Arial" w:hAnsi="Arial"/>
          <w:sz w:val="18"/>
          <w:szCs w:val="18"/>
          <w:color w:val="000000"/>
        </w:rPr>
        <w:t>.</w:t>
      </w:r>
    </w:p>
    <w:p>
      <w:pPr>
        <w:spacing w:after="0" w:line="162" w:lineRule="exact"/>
        <w:rPr>
          <w:rFonts w:ascii="Arial" w:cs="Arial" w:eastAsia="Arial" w:hAnsi="Arial"/>
          <w:sz w:val="18"/>
          <w:szCs w:val="18"/>
          <w:u w:val="single" w:color="auto"/>
          <w:color w:val="0000FF"/>
        </w:rPr>
      </w:pPr>
    </w:p>
    <w:p>
      <w:pPr>
        <w:ind w:left="1840" w:hanging="797"/>
        <w:spacing w:after="0" w:line="235" w:lineRule="auto"/>
        <w:tabs>
          <w:tab w:leader="none" w:pos="1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cover page from United Community Bank’s Quarterly Report on Form 10-Q for the quarter ended June 30, 2021 (formatted in Inline XBRL and included in Exhibit 101)</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4" w:lineRule="exact"/>
        <w:rPr>
          <w:rFonts w:ascii="Arial" w:cs="Arial" w:eastAsia="Arial" w:hAnsi="Arial"/>
          <w:sz w:val="18"/>
          <w:szCs w:val="18"/>
          <w:u w:val="single" w:color="auto"/>
          <w:color w:val="0000FF"/>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1"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UNITED COMMUNITY BANKS, INC.</w:t>
      </w:r>
    </w:p>
    <w:p>
      <w:pPr>
        <w:spacing w:after="0" w:line="25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H. Lynn Harton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337756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337756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H. Lynn Harton</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(Principal Executive Officer)</w:t>
      </w:r>
    </w:p>
    <w:p>
      <w:pPr>
        <w:spacing w:after="0" w:line="25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Jefferson L. Harralson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337756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Jefferson L. Harralson</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(Principal Financial Officer)</w:t>
      </w:r>
    </w:p>
    <w:p>
      <w:pPr>
        <w:spacing w:after="0" w:line="25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Alan H. Kumler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337756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Alan H. Kumler</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Senior Vice President and Chief Accounting Officer</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(Principal Accounting Officer)</w:t>
      </w:r>
    </w:p>
    <w:p>
      <w:pPr>
        <w:spacing w:after="0" w:line="25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Date: August 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931" w:right="339" w:bottom="1440" w:gutter="0" w:footer="0" w:header="0"/>
        </w:sectPr>
      </w:pPr>
    </w:p>
    <w:bookmarkStart w:id="57" w:name="page58"/>
    <w:bookmarkEnd w:id="57"/>
    <w:p>
      <w:pPr>
        <w:ind w:left="10320"/>
        <w:spacing w:after="0"/>
        <w:rPr>
          <w:sz w:val="20"/>
          <w:szCs w:val="20"/>
          <w:color w:val="auto"/>
        </w:rPr>
      </w:pPr>
      <w:r>
        <w:rPr>
          <w:rFonts w:ascii="Arial" w:cs="Arial" w:eastAsia="Arial" w:hAnsi="Arial"/>
          <w:sz w:val="16"/>
          <w:szCs w:val="16"/>
          <w:b w:val="1"/>
          <w:bCs w:val="1"/>
          <w:color w:val="auto"/>
        </w:rPr>
        <w:t>Exhibit 31.1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H. Lynn Harton, certify that:</w:t>
      </w:r>
    </w:p>
    <w:p>
      <w:pPr>
        <w:spacing w:after="0" w:line="225" w:lineRule="exact"/>
        <w:rPr>
          <w:sz w:val="20"/>
          <w:szCs w:val="20"/>
          <w:color w:val="auto"/>
        </w:rPr>
      </w:pPr>
    </w:p>
    <w:p>
      <w:pPr>
        <w:ind w:left="180" w:hanging="172"/>
        <w:spacing w:after="0"/>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Community Banks, Inc. (the “Registrant”);</w:t>
      </w:r>
    </w:p>
    <w:p>
      <w:pPr>
        <w:spacing w:after="0" w:line="225" w:lineRule="exact"/>
        <w:rPr>
          <w:rFonts w:ascii="Arial" w:cs="Arial" w:eastAsia="Arial" w:hAnsi="Arial"/>
          <w:sz w:val="18"/>
          <w:szCs w:val="18"/>
          <w:color w:val="auto"/>
        </w:rPr>
      </w:pPr>
    </w:p>
    <w:p>
      <w:pPr>
        <w:ind w:firstLine="8"/>
        <w:spacing w:after="0" w:line="342" w:lineRule="auto"/>
        <w:tabs>
          <w:tab w:leader="none" w:pos="201"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4"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209"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83" w:lineRule="exact"/>
        <w:rPr>
          <w:rFonts w:ascii="Arial" w:cs="Arial" w:eastAsia="Arial" w:hAnsi="Arial"/>
          <w:sz w:val="18"/>
          <w:szCs w:val="18"/>
          <w:color w:val="auto"/>
        </w:rPr>
      </w:pPr>
    </w:p>
    <w:p>
      <w:pPr>
        <w:jc w:val="both"/>
        <w:ind w:firstLine="656"/>
        <w:spacing w:after="0" w:line="263" w:lineRule="auto"/>
        <w:tabs>
          <w:tab w:leader="none" w:pos="842"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656"/>
        <w:spacing w:after="0" w:line="263" w:lineRule="auto"/>
        <w:tabs>
          <w:tab w:leader="none" w:pos="871"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20" w:firstLine="656"/>
        <w:spacing w:after="0" w:line="308" w:lineRule="auto"/>
        <w:tabs>
          <w:tab w:leader="none" w:pos="869" w:val="left"/>
        </w:tabs>
        <w:numPr>
          <w:ilvl w:val="1"/>
          <w:numId w:val="1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656"/>
        <w:spacing w:after="0" w:line="263" w:lineRule="auto"/>
        <w:tabs>
          <w:tab w:leader="none" w:pos="851"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192"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20" w:firstLine="656"/>
        <w:spacing w:after="0" w:line="277" w:lineRule="auto"/>
        <w:tabs>
          <w:tab w:leader="none" w:pos="837"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656"/>
        <w:spacing w:after="0" w:line="277" w:lineRule="auto"/>
        <w:tabs>
          <w:tab w:leader="none" w:pos="845"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6, 2021</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H. Lynn Harton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14605</wp:posOffset>
            </wp:positionV>
            <wp:extent cx="326580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H. Lynn Harton</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President and Chief Executive Officer of the Registrant</w:t>
      </w:r>
    </w:p>
    <w:p>
      <w:pPr>
        <w:sectPr>
          <w:pgSz w:w="11900" w:h="16838" w:orient="portrait"/>
          <w:cols w:equalWidth="0" w:num="1">
            <w:col w:w="11240"/>
          </w:cols>
          <w:pgMar w:left="320" w:top="891" w:right="339" w:bottom="1440" w:gutter="0" w:footer="0" w:header="0"/>
        </w:sectPr>
      </w:pPr>
    </w:p>
    <w:bookmarkStart w:id="58" w:name="page59"/>
    <w:bookmarkEnd w:id="58"/>
    <w:p>
      <w:pPr>
        <w:ind w:left="10320"/>
        <w:spacing w:after="0"/>
        <w:rPr>
          <w:sz w:val="20"/>
          <w:szCs w:val="20"/>
          <w:color w:val="auto"/>
        </w:rPr>
      </w:pPr>
      <w:r>
        <w:rPr>
          <w:rFonts w:ascii="Arial" w:cs="Arial" w:eastAsia="Arial" w:hAnsi="Arial"/>
          <w:sz w:val="16"/>
          <w:szCs w:val="16"/>
          <w:b w:val="1"/>
          <w:bCs w:val="1"/>
          <w:color w:val="auto"/>
        </w:rPr>
        <w:t>Exhibit 31.2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Jefferson L. Harralson, certify that:</w:t>
      </w:r>
    </w:p>
    <w:p>
      <w:pPr>
        <w:spacing w:after="0" w:line="225" w:lineRule="exact"/>
        <w:rPr>
          <w:sz w:val="20"/>
          <w:szCs w:val="20"/>
          <w:color w:val="auto"/>
        </w:rPr>
      </w:pPr>
    </w:p>
    <w:p>
      <w:pPr>
        <w:ind w:left="180" w:hanging="172"/>
        <w:spacing w:after="0"/>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Community Banks, Inc. (the “Registrant”);</w:t>
      </w:r>
    </w:p>
    <w:p>
      <w:pPr>
        <w:spacing w:after="0" w:line="225" w:lineRule="exact"/>
        <w:rPr>
          <w:rFonts w:ascii="Arial" w:cs="Arial" w:eastAsia="Arial" w:hAnsi="Arial"/>
          <w:sz w:val="18"/>
          <w:szCs w:val="18"/>
          <w:color w:val="auto"/>
        </w:rPr>
      </w:pPr>
    </w:p>
    <w:p>
      <w:pPr>
        <w:ind w:firstLine="8"/>
        <w:spacing w:after="0" w:line="342" w:lineRule="auto"/>
        <w:tabs>
          <w:tab w:leader="none" w:pos="201"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4"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209"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83" w:lineRule="exact"/>
        <w:rPr>
          <w:rFonts w:ascii="Arial" w:cs="Arial" w:eastAsia="Arial" w:hAnsi="Arial"/>
          <w:sz w:val="18"/>
          <w:szCs w:val="18"/>
          <w:color w:val="auto"/>
        </w:rPr>
      </w:pPr>
    </w:p>
    <w:p>
      <w:pPr>
        <w:jc w:val="both"/>
        <w:ind w:firstLine="656"/>
        <w:spacing w:after="0" w:line="263" w:lineRule="auto"/>
        <w:tabs>
          <w:tab w:leader="none" w:pos="842"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656"/>
        <w:spacing w:after="0" w:line="263" w:lineRule="auto"/>
        <w:tabs>
          <w:tab w:leader="none" w:pos="871"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20" w:firstLine="656"/>
        <w:spacing w:after="0" w:line="308" w:lineRule="auto"/>
        <w:tabs>
          <w:tab w:leader="none" w:pos="869" w:val="left"/>
        </w:tabs>
        <w:numPr>
          <w:ilvl w:val="1"/>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656"/>
        <w:spacing w:after="0" w:line="263" w:lineRule="auto"/>
        <w:tabs>
          <w:tab w:leader="none" w:pos="851"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192"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20" w:firstLine="656"/>
        <w:spacing w:after="0" w:line="277" w:lineRule="auto"/>
        <w:tabs>
          <w:tab w:leader="none" w:pos="837"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656"/>
        <w:spacing w:after="0" w:line="277" w:lineRule="auto"/>
        <w:tabs>
          <w:tab w:leader="none" w:pos="845"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6, 2021</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Jefferson L. Harralson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14605</wp:posOffset>
            </wp:positionV>
            <wp:extent cx="326580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Jefferson L. Harralson</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Executive Vice President and Chief Financial Officer of the Registrant</w:t>
      </w:r>
    </w:p>
    <w:p>
      <w:pPr>
        <w:sectPr>
          <w:pgSz w:w="11900" w:h="16838" w:orient="portrait"/>
          <w:cols w:equalWidth="0" w:num="1">
            <w:col w:w="11240"/>
          </w:cols>
          <w:pgMar w:left="320" w:top="891"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United Community Banks, Inc. (“United”) on Form 10-Q for the period ending June 30, 2021 filed with the Securities and Exchange Commission on the date hereof (the “Report”), each of the undersigned officers of United certifies, pursuant to 18 U.S.C. Section 1350, as adopted pursuant to Section 906 of the Sarbanes-Oxley Act of 2002, that:</w:t>
      </w:r>
    </w:p>
    <w:p>
      <w:pPr>
        <w:spacing w:after="0" w:line="184" w:lineRule="exact"/>
        <w:rPr>
          <w:sz w:val="20"/>
          <w:szCs w:val="20"/>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United.</w:t>
      </w:r>
    </w:p>
    <w:p>
      <w:pPr>
        <w:spacing w:after="0" w:line="130" w:lineRule="exact"/>
        <w:rPr>
          <w:sz w:val="20"/>
          <w:szCs w:val="20"/>
          <w:color w:val="auto"/>
        </w:rPr>
      </w:pPr>
    </w:p>
    <w:tbl>
      <w:tblPr>
        <w:tblLayout w:type="fixed"/>
        <w:tblInd w:w="532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p>
        </w:tc>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H. Lynn Harton</w:t>
            </w:r>
          </w:p>
        </w:tc>
      </w:tr>
      <w:tr>
        <w:trPr>
          <w:trHeight w:val="222"/>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5100" w:type="dxa"/>
            <w:vAlign w:val="bottom"/>
          </w:tcPr>
          <w:p>
            <w:pPr>
              <w:ind w:left="20"/>
              <w:spacing w:after="0"/>
              <w:rPr>
                <w:sz w:val="20"/>
                <w:szCs w:val="20"/>
                <w:color w:val="auto"/>
              </w:rPr>
            </w:pPr>
            <w:r>
              <w:rPr>
                <w:rFonts w:ascii="Arial" w:cs="Arial" w:eastAsia="Arial" w:hAnsi="Arial"/>
                <w:sz w:val="18"/>
                <w:szCs w:val="18"/>
                <w:color w:val="auto"/>
              </w:rPr>
              <w:t>H. Lynn Harton</w:t>
            </w:r>
          </w:p>
        </w:tc>
      </w:tr>
      <w:tr>
        <w:trPr>
          <w:trHeight w:val="229"/>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51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Date:</w:t>
            </w:r>
          </w:p>
        </w:tc>
        <w:tc>
          <w:tcPr>
            <w:tcW w:w="5100" w:type="dxa"/>
            <w:vAlign w:val="bottom"/>
          </w:tcPr>
          <w:p>
            <w:pPr>
              <w:ind w:left="20"/>
              <w:spacing w:after="0"/>
              <w:rPr>
                <w:sz w:val="20"/>
                <w:szCs w:val="20"/>
                <w:color w:val="auto"/>
              </w:rPr>
            </w:pPr>
            <w:r>
              <w:rPr>
                <w:rFonts w:ascii="Arial" w:cs="Arial" w:eastAsia="Arial" w:hAnsi="Arial"/>
                <w:sz w:val="18"/>
                <w:szCs w:val="18"/>
                <w:color w:val="auto"/>
              </w:rPr>
              <w:t>August 6, 2021</w:t>
            </w:r>
          </w:p>
        </w:tc>
      </w:tr>
      <w:tr>
        <w:trPr>
          <w:trHeight w:val="459"/>
        </w:trPr>
        <w:tc>
          <w:tcPr>
            <w:tcW w:w="780" w:type="dxa"/>
            <w:vAlign w:val="bottom"/>
          </w:tcPr>
          <w:p>
            <w:pPr>
              <w:spacing w:after="0"/>
              <w:rPr>
                <w:sz w:val="24"/>
                <w:szCs w:val="24"/>
                <w:color w:val="auto"/>
              </w:rPr>
            </w:pPr>
          </w:p>
        </w:tc>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Jefferson L. Harralson</w:t>
            </w:r>
          </w:p>
        </w:tc>
      </w:tr>
      <w:tr>
        <w:trPr>
          <w:trHeight w:val="222"/>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5100" w:type="dxa"/>
            <w:vAlign w:val="bottom"/>
          </w:tcPr>
          <w:p>
            <w:pPr>
              <w:ind w:left="20"/>
              <w:spacing w:after="0"/>
              <w:rPr>
                <w:sz w:val="20"/>
                <w:szCs w:val="20"/>
                <w:color w:val="auto"/>
              </w:rPr>
            </w:pPr>
            <w:r>
              <w:rPr>
                <w:rFonts w:ascii="Arial" w:cs="Arial" w:eastAsia="Arial" w:hAnsi="Arial"/>
                <w:sz w:val="18"/>
                <w:szCs w:val="18"/>
                <w:color w:val="auto"/>
              </w:rPr>
              <w:t>Jefferson L. Harralson</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510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Date:</w:t>
            </w:r>
          </w:p>
        </w:tc>
        <w:tc>
          <w:tcPr>
            <w:tcW w:w="5100" w:type="dxa"/>
            <w:vAlign w:val="bottom"/>
          </w:tcPr>
          <w:p>
            <w:pPr>
              <w:ind w:left="20"/>
              <w:spacing w:after="0"/>
              <w:rPr>
                <w:sz w:val="20"/>
                <w:szCs w:val="20"/>
                <w:color w:val="auto"/>
              </w:rPr>
            </w:pPr>
            <w:r>
              <w:rPr>
                <w:rFonts w:ascii="Arial" w:cs="Arial" w:eastAsia="Arial" w:hAnsi="Arial"/>
                <w:sz w:val="18"/>
                <w:szCs w:val="18"/>
                <w:color w:val="auto"/>
              </w:rPr>
              <w:t>August 6, 2021</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1)"/>
      <w:numFmt w:val="lowerLetter"/>
      <w:start w:val="1"/>
    </w:lvl>
    <w:lvl w:ilvl="1">
      <w:lvlJc w:val="left"/>
      <w:lvlText w:val="(%2)"/>
      <w:numFmt w:val="lowerLetter"/>
      <w:start w:val="2"/>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1)"/>
      <w:numFmt w:val="lowerLetter"/>
      <w:start w:val="4"/>
    </w:lvl>
  </w:abstractNum>
  <w:abstractNum w:abstractNumId="15">
    <w:nsid w:val="431BD7B7"/>
    <w:multiLevelType w:val="hybridMultilevel"/>
    <w:lvl w:ilvl="0">
      <w:lvlJc w:val="left"/>
      <w:lvlText w:val="%1"/>
      <w:numFmt w:val="decimal"/>
      <w:start w:val="101"/>
    </w:lvl>
  </w:abstractNum>
  <w:abstractNum w:abstractNumId="16">
    <w:nsid w:val="3F2DBA31"/>
    <w:multiLevelType w:val="hybridMultilevel"/>
    <w:lvl w:ilvl="0">
      <w:lvlJc w:val="left"/>
      <w:lvlText w:val="%1"/>
      <w:numFmt w:val="decimal"/>
      <w:start w:val="104"/>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92" Type="http://schemas.openxmlformats.org/officeDocument/2006/relationships/hyperlink" Target="http://www.sec.gov/Archives/edgar/data/857855/000110465921097702/tm2123399-1_s4.htm" TargetMode="External"/><Relationship Id="rId93" Type="http://schemas.openxmlformats.org/officeDocument/2006/relationships/hyperlink" Target="http://www.sec.gov/Archives/edgar/data/857855/000110465921092188/tm2122201d1_ex2-1.htm" TargetMode="External"/><Relationship Id="rId94" Type="http://schemas.openxmlformats.org/officeDocument/2006/relationships/hyperlink" Target="http://www.sec.gov/Archives/edgar/data/857855/000110465921097702/tm2123399d2_ex3-1.htm" TargetMode="External"/><Relationship Id="rId95" Type="http://schemas.openxmlformats.org/officeDocument/2006/relationships/hyperlink" Target="http://www.sec.gov/Archives/edgar/data/857855/000157104915003882/t82199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2021-08-06T16:07:57Z</dcterms:created>
  <dcterms:modified xsi:type="dcterms:W3CDTF">2021-08-06T16:07:57Z</dcterms:modified>
</cp:coreProperties>
</file>