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10-Q</w:t>
      </w:r>
    </w:p>
    <w:p>
      <w:pPr>
        <w:spacing w:after="0" w:line="171" w:lineRule="exact"/>
        <w:rPr>
          <w:sz w:val="24"/>
          <w:szCs w:val="24"/>
          <w:color w:val="auto"/>
        </w:rPr>
      </w:pPr>
    </w:p>
    <w:p>
      <w:pPr>
        <w:ind w:left="3420" w:hanging="1008"/>
        <w:spacing w:after="0"/>
        <w:tabs>
          <w:tab w:leader="none" w:pos="34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w:t>
      </w:r>
    </w:p>
    <w:p>
      <w:pPr>
        <w:spacing w:after="0" w:line="31" w:lineRule="exact"/>
        <w:rPr>
          <w:rFonts w:ascii="MS PGothic" w:cs="MS PGothic" w:eastAsia="MS PGothic" w:hAnsi="MS PGothic"/>
          <w:sz w:val="18"/>
          <w:szCs w:val="18"/>
          <w:color w:val="auto"/>
        </w:rPr>
      </w:pPr>
    </w:p>
    <w:p>
      <w:pPr>
        <w:jc w:val="center"/>
        <w:ind w:left="4100" w:right="3900" w:hanging="210"/>
        <w:spacing w:after="0" w:line="347" w:lineRule="auto"/>
        <w:rPr>
          <w:rFonts w:ascii="MS PGothic" w:cs="MS PGothic" w:eastAsia="MS PGothic" w:hAnsi="MS PGothic"/>
          <w:sz w:val="18"/>
          <w:szCs w:val="18"/>
          <w:color w:val="auto"/>
        </w:rPr>
      </w:pPr>
      <w:r>
        <w:rPr>
          <w:rFonts w:ascii="Arial" w:cs="Arial" w:eastAsia="Arial" w:hAnsi="Arial"/>
          <w:sz w:val="15"/>
          <w:szCs w:val="15"/>
          <w:b w:val="1"/>
          <w:bCs w:val="1"/>
          <w:color w:val="auto"/>
        </w:rPr>
        <w:t>OF THE SECURITIES EXCHANGE ACT OF 1934 For the Quarterly Period Ended June 30, 2019</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67" w:lineRule="exact"/>
        <w:rPr>
          <w:sz w:val="24"/>
          <w:szCs w:val="24"/>
          <w:color w:val="auto"/>
        </w:rPr>
      </w:pPr>
    </w:p>
    <w:p>
      <w:pPr>
        <w:ind w:left="3420" w:hanging="1008"/>
        <w:spacing w:after="0"/>
        <w:tabs>
          <w:tab w:leader="none" w:pos="34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w:t>
      </w:r>
    </w:p>
    <w:p>
      <w:pPr>
        <w:spacing w:after="0" w:line="31" w:lineRule="exact"/>
        <w:rPr>
          <w:rFonts w:ascii="MS PGothic" w:cs="MS PGothic" w:eastAsia="MS PGothic" w:hAnsi="MS PGothic"/>
          <w:sz w:val="18"/>
          <w:szCs w:val="18"/>
          <w:color w:val="auto"/>
        </w:rPr>
      </w:pPr>
    </w:p>
    <w:p>
      <w:pPr>
        <w:ind w:left="390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OF THE SECURITIES EXCHANGE ACT OF 1934</w:t>
      </w:r>
    </w:p>
    <w:p>
      <w:pPr>
        <w:spacing w:after="0" w:line="55" w:lineRule="exact"/>
        <w:rPr>
          <w:sz w:val="24"/>
          <w:szCs w:val="24"/>
          <w:color w:val="auto"/>
        </w:rPr>
      </w:pPr>
    </w:p>
    <w:p>
      <w:pPr>
        <w:ind w:left="3620"/>
        <w:spacing w:after="0"/>
        <w:rPr>
          <w:sz w:val="20"/>
          <w:szCs w:val="20"/>
          <w:color w:val="auto"/>
        </w:rPr>
      </w:pPr>
      <w:r>
        <w:rPr>
          <w:rFonts w:ascii="Arial" w:cs="Arial" w:eastAsia="Arial" w:hAnsi="Arial"/>
          <w:sz w:val="16"/>
          <w:szCs w:val="16"/>
          <w:b w:val="1"/>
          <w:bCs w:val="1"/>
          <w:color w:val="auto"/>
        </w:rPr>
        <w:t>For the Transition Period from ___________ to ___________</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001-35095</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COMMUNITY BANKS,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49" w:lineRule="exact"/>
        <w:rPr>
          <w:sz w:val="24"/>
          <w:szCs w:val="24"/>
          <w:color w:val="auto"/>
        </w:rPr>
      </w:pPr>
    </w:p>
    <w:tbl>
      <w:tblPr>
        <w:tblLayout w:type="fixed"/>
        <w:tblInd w:w="8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89"/>
              </w:rPr>
              <w:t>Georgia</w:t>
            </w:r>
          </w:p>
        </w:tc>
        <w:tc>
          <w:tcPr>
            <w:tcW w:w="5960" w:type="dxa"/>
            <w:vAlign w:val="bottom"/>
            <w:gridSpan w:val="4"/>
          </w:tcPr>
          <w:p>
            <w:pPr>
              <w:jc w:val="center"/>
              <w:ind w:left="2159"/>
              <w:spacing w:after="0"/>
              <w:rPr>
                <w:sz w:val="20"/>
                <w:szCs w:val="20"/>
                <w:color w:val="auto"/>
              </w:rPr>
            </w:pPr>
            <w:r>
              <w:rPr>
                <w:rFonts w:ascii="Arial" w:cs="Arial" w:eastAsia="Arial" w:hAnsi="Arial"/>
                <w:sz w:val="16"/>
                <w:szCs w:val="16"/>
                <w:b w:val="1"/>
                <w:bCs w:val="1"/>
                <w:color w:val="auto"/>
                <w:w w:val="93"/>
              </w:rPr>
              <w:t>58-1807304</w:t>
            </w:r>
          </w:p>
        </w:tc>
        <w:tc>
          <w:tcPr>
            <w:tcW w:w="40" w:type="dxa"/>
            <w:vAlign w:val="bottom"/>
          </w:tcPr>
          <w:p>
            <w:pPr>
              <w:spacing w:after="0"/>
              <w:rPr>
                <w:sz w:val="18"/>
                <w:szCs w:val="18"/>
                <w:color w:val="auto"/>
              </w:rPr>
            </w:pPr>
          </w:p>
        </w:tc>
      </w:tr>
      <w:tr>
        <w:trPr>
          <w:trHeight w:val="33"/>
        </w:trPr>
        <w:tc>
          <w:tcPr>
            <w:tcW w:w="20" w:type="dxa"/>
            <w:vAlign w:val="bottom"/>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1"/>
              </w:rPr>
              <w:t>(State of incorporation)</w:t>
            </w:r>
          </w:p>
        </w:tc>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4"/>
              </w:rPr>
              <w:t>(I.R.S. Employer Identification No.)</w:t>
            </w:r>
          </w:p>
        </w:tc>
        <w:tc>
          <w:tcPr>
            <w:tcW w:w="40" w:type="dxa"/>
            <w:vAlign w:val="bottom"/>
          </w:tcPr>
          <w:p>
            <w:pPr>
              <w:spacing w:after="0"/>
              <w:rPr>
                <w:sz w:val="18"/>
                <w:szCs w:val="18"/>
                <w:color w:val="auto"/>
              </w:rPr>
            </w:pPr>
          </w:p>
        </w:tc>
      </w:tr>
      <w:tr>
        <w:trPr>
          <w:trHeight w:val="405"/>
        </w:trPr>
        <w:tc>
          <w:tcPr>
            <w:tcW w:w="2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2"/>
              </w:rPr>
              <w:t>125 Highway 515 East</w:t>
            </w:r>
          </w:p>
        </w:tc>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95"/>
              </w:rPr>
              <w:t>Blairsville , Georgia</w:t>
            </w:r>
          </w:p>
        </w:tc>
        <w:tc>
          <w:tcPr>
            <w:tcW w:w="5960" w:type="dxa"/>
            <w:vAlign w:val="bottom"/>
            <w:gridSpan w:val="4"/>
          </w:tcPr>
          <w:p>
            <w:pPr>
              <w:jc w:val="center"/>
              <w:ind w:left="2179"/>
              <w:spacing w:after="0"/>
              <w:rPr>
                <w:sz w:val="20"/>
                <w:szCs w:val="20"/>
                <w:color w:val="auto"/>
              </w:rPr>
            </w:pPr>
            <w:r>
              <w:rPr>
                <w:rFonts w:ascii="Arial" w:cs="Arial" w:eastAsia="Arial" w:hAnsi="Arial"/>
                <w:sz w:val="16"/>
                <w:szCs w:val="16"/>
                <w:b w:val="1"/>
                <w:bCs w:val="1"/>
                <w:color w:val="auto"/>
                <w:w w:val="94"/>
              </w:rPr>
              <w:t>30512</w:t>
            </w:r>
          </w:p>
        </w:tc>
        <w:tc>
          <w:tcPr>
            <w:tcW w:w="40" w:type="dxa"/>
            <w:vAlign w:val="bottom"/>
          </w:tcPr>
          <w:p>
            <w:pPr>
              <w:spacing w:after="0"/>
              <w:rPr>
                <w:sz w:val="23"/>
                <w:szCs w:val="23"/>
                <w:color w:val="auto"/>
              </w:rPr>
            </w:pPr>
          </w:p>
        </w:tc>
      </w:tr>
      <w:tr>
        <w:trPr>
          <w:trHeight w:val="33"/>
        </w:trPr>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Arial" w:cs="Arial" w:eastAsia="Arial" w:hAnsi="Arial"/>
                <w:sz w:val="16"/>
                <w:szCs w:val="16"/>
                <w:b w:val="1"/>
                <w:bCs w:val="1"/>
                <w:color w:val="auto"/>
                <w:w w:val="91"/>
              </w:rPr>
              <w:t>(Zip code)</w:t>
            </w:r>
          </w:p>
        </w:tc>
        <w:tc>
          <w:tcPr>
            <w:tcW w:w="40" w:type="dxa"/>
            <w:vAlign w:val="bottom"/>
          </w:tcPr>
          <w:p>
            <w:pPr>
              <w:spacing w:after="0"/>
              <w:rPr>
                <w:sz w:val="18"/>
                <w:szCs w:val="18"/>
                <w:color w:val="auto"/>
              </w:rPr>
            </w:pPr>
          </w:p>
        </w:tc>
      </w:tr>
      <w:tr>
        <w:trPr>
          <w:trHeight w:val="226"/>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22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(706) 781-2265</w:t>
            </w:r>
          </w:p>
        </w:tc>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ind w:left="388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14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40" w:lineRule="exact"/>
        <w:rPr>
          <w:sz w:val="24"/>
          <w:szCs w:val="24"/>
          <w:color w:val="auto"/>
        </w:rPr>
      </w:pPr>
    </w:p>
    <w:tbl>
      <w:tblPr>
        <w:tblLayout w:type="fixed"/>
        <w:tblInd w:w="680" w:type="dxa"/>
        <w:tblCellMar>
          <w:top w:w="0" w:type="dxa"/>
          <w:left w:w="0" w:type="dxa"/>
          <w:bottom w:w="0" w:type="dxa"/>
          <w:right w:w="0" w:type="dxa"/>
        </w:tblCellMar>
      </w:tblPr>
      <w:tr>
        <w:trPr>
          <w:trHeight w:val="184"/>
        </w:trPr>
        <w:tc>
          <w:tcPr>
            <w:tcW w:w="68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23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660" w:type="dxa"/>
            <w:vAlign w:val="bottom"/>
            <w:gridSpan w:val="2"/>
          </w:tcPr>
          <w:p>
            <w:pPr>
              <w:jc w:val="center"/>
              <w:ind w:left="1399"/>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
        </w:trPr>
        <w:tc>
          <w:tcPr>
            <w:tcW w:w="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71"/>
        </w:trPr>
        <w:tc>
          <w:tcPr>
            <w:tcW w:w="4340" w:type="dxa"/>
            <w:vAlign w:val="bottom"/>
            <w:gridSpan w:val="3"/>
          </w:tcPr>
          <w:p>
            <w:pPr>
              <w:jc w:val="center"/>
              <w:ind w:right="1680"/>
              <w:spacing w:after="0"/>
              <w:rPr>
                <w:sz w:val="20"/>
                <w:szCs w:val="20"/>
                <w:color w:val="auto"/>
              </w:rPr>
            </w:pPr>
            <w:r>
              <w:rPr>
                <w:rFonts w:ascii="Arial" w:cs="Arial" w:eastAsia="Arial" w:hAnsi="Arial"/>
                <w:sz w:val="16"/>
                <w:szCs w:val="16"/>
                <w:b w:val="1"/>
                <w:bCs w:val="1"/>
                <w:color w:val="auto"/>
                <w:w w:val="90"/>
              </w:rPr>
              <w:t>Common stock, par value $1 per share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rPr>
              <w:t>UCBI</w:t>
            </w:r>
          </w:p>
        </w:tc>
        <w:tc>
          <w:tcPr>
            <w:tcW w:w="1480" w:type="dxa"/>
            <w:vAlign w:val="bottom"/>
          </w:tcPr>
          <w:p>
            <w:pPr>
              <w:spacing w:after="0"/>
              <w:rPr>
                <w:sz w:val="23"/>
                <w:szCs w:val="23"/>
                <w:color w:val="auto"/>
              </w:rPr>
            </w:pPr>
          </w:p>
        </w:tc>
        <w:tc>
          <w:tcPr>
            <w:tcW w:w="3180" w:type="dxa"/>
            <w:vAlign w:val="bottom"/>
          </w:tcPr>
          <w:p>
            <w:pPr>
              <w:jc w:val="center"/>
              <w:spacing w:after="0"/>
              <w:rPr>
                <w:sz w:val="20"/>
                <w:szCs w:val="20"/>
                <w:color w:val="auto"/>
              </w:rPr>
            </w:pPr>
            <w:r>
              <w:rPr>
                <w:rFonts w:ascii="Arial" w:cs="Arial" w:eastAsia="Arial" w:hAnsi="Arial"/>
                <w:sz w:val="16"/>
                <w:szCs w:val="16"/>
                <w:b w:val="1"/>
                <w:bCs w:val="1"/>
                <w:color w:val="auto"/>
                <w:w w:val="92"/>
              </w:rPr>
              <w:t>Nasdaq Global Select Market</w:t>
            </w:r>
          </w:p>
        </w:tc>
      </w:tr>
    </w:tbl>
    <w:p>
      <w:pPr>
        <w:spacing w:after="0" w:line="208" w:lineRule="exact"/>
        <w:rPr>
          <w:sz w:val="24"/>
          <w:szCs w:val="24"/>
          <w:color w:val="auto"/>
        </w:rPr>
      </w:pPr>
    </w:p>
    <w:p>
      <w:pPr>
        <w:jc w:val="both"/>
        <w:spacing w:after="0" w:line="250" w:lineRule="auto"/>
        <w:rPr>
          <w:sz w:val="20"/>
          <w:szCs w:val="20"/>
          <w:color w:val="auto"/>
        </w:rPr>
      </w:pPr>
      <w:r>
        <w:rPr>
          <w:rFonts w:ascii="Arial" w:cs="Arial" w:eastAsia="Arial" w:hAnsi="Arial"/>
          <w:sz w:val="16"/>
          <w:szCs w:val="16"/>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spacing w:after="0" w:line="207"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8"/>
          <w:szCs w:val="18"/>
          <w:color w:val="auto"/>
        </w:rPr>
        <w:t>☐</w:t>
      </w:r>
    </w:p>
    <w:p>
      <w:pPr>
        <w:spacing w:after="0" w:line="189" w:lineRule="exact"/>
        <w:rPr>
          <w:sz w:val="24"/>
          <w:szCs w:val="24"/>
          <w:color w:val="auto"/>
        </w:rPr>
      </w:pPr>
    </w:p>
    <w:p>
      <w:pPr>
        <w:jc w:val="both"/>
        <w:ind w:right="20"/>
        <w:spacing w:after="0" w:line="269" w:lineRule="auto"/>
        <w:rPr>
          <w:sz w:val="20"/>
          <w:szCs w:val="20"/>
          <w:color w:val="auto"/>
        </w:rPr>
      </w:pPr>
      <w:r>
        <w:rPr>
          <w:rFonts w:ascii="Arial" w:cs="Arial" w:eastAsia="Arial" w:hAnsi="Arial"/>
          <w:sz w:val="15"/>
          <w:szCs w:val="15"/>
          <w:b w:val="1"/>
          <w:bCs w:val="1"/>
          <w:color w:val="auto"/>
        </w:rPr>
        <w:t>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w:t>
      </w:r>
    </w:p>
    <w:p>
      <w:pPr>
        <w:jc w:val="center"/>
        <w:spacing w:after="0" w:line="207"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8"/>
          <w:szCs w:val="18"/>
          <w:color w:val="auto"/>
        </w:rPr>
        <w:t>☐</w:t>
      </w:r>
    </w:p>
    <w:p>
      <w:pPr>
        <w:spacing w:after="0" w:line="189" w:lineRule="exact"/>
        <w:rPr>
          <w:sz w:val="24"/>
          <w:szCs w:val="24"/>
          <w:color w:val="auto"/>
        </w:rPr>
      </w:pPr>
    </w:p>
    <w:p>
      <w:pPr>
        <w:jc w:val="both"/>
        <w:spacing w:after="0" w:line="263"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1"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200" w:type="dxa"/>
            <w:vAlign w:val="bottom"/>
          </w:tcPr>
          <w:p>
            <w:pPr>
              <w:spacing w:after="0"/>
              <w:rPr>
                <w:sz w:val="20"/>
                <w:szCs w:val="20"/>
                <w:color w:val="auto"/>
              </w:rPr>
            </w:pPr>
            <w:r>
              <w:rPr>
                <w:rFonts w:ascii="Arial" w:cs="Arial" w:eastAsia="Arial" w:hAnsi="Arial"/>
                <w:sz w:val="16"/>
                <w:szCs w:val="16"/>
                <w:b w:val="1"/>
                <w:bCs w:val="1"/>
                <w:color w:val="auto"/>
              </w:rPr>
              <w:t>Large accelerated filer</w:t>
            </w:r>
          </w:p>
        </w:tc>
        <w:tc>
          <w:tcPr>
            <w:tcW w:w="34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600"/>
              <w:spacing w:after="0"/>
              <w:rPr>
                <w:sz w:val="20"/>
                <w:szCs w:val="20"/>
                <w:color w:val="auto"/>
              </w:rPr>
            </w:pPr>
            <w:r>
              <w:rPr>
                <w:rFonts w:ascii="Arial" w:cs="Arial" w:eastAsia="Arial" w:hAnsi="Arial"/>
                <w:sz w:val="16"/>
                <w:szCs w:val="16"/>
                <w:b w:val="1"/>
                <w:bCs w:val="1"/>
                <w:color w:val="auto"/>
              </w:rPr>
              <w:t>Accelerated filer</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200" w:type="dxa"/>
            <w:vAlign w:val="bottom"/>
          </w:tcPr>
          <w:p>
            <w:pPr>
              <w:spacing w:after="0"/>
              <w:rPr>
                <w:sz w:val="20"/>
                <w:szCs w:val="20"/>
                <w:color w:val="auto"/>
              </w:rPr>
            </w:pPr>
            <w:r>
              <w:rPr>
                <w:rFonts w:ascii="Arial" w:cs="Arial" w:eastAsia="Arial" w:hAnsi="Arial"/>
                <w:sz w:val="16"/>
                <w:szCs w:val="16"/>
                <w:b w:val="1"/>
                <w:bCs w:val="1"/>
                <w:color w:val="auto"/>
              </w:rPr>
              <w:t>Non-accelerated filer</w:t>
            </w:r>
          </w:p>
        </w:tc>
        <w:tc>
          <w:tcPr>
            <w:tcW w:w="34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600"/>
              <w:spacing w:after="0"/>
              <w:rPr>
                <w:sz w:val="20"/>
                <w:szCs w:val="20"/>
                <w:color w:val="auto"/>
              </w:rPr>
            </w:pPr>
            <w:r>
              <w:rPr>
                <w:rFonts w:ascii="Arial" w:cs="Arial" w:eastAsia="Arial" w:hAnsi="Arial"/>
                <w:sz w:val="16"/>
                <w:szCs w:val="16"/>
                <w:b w:val="1"/>
                <w:bCs w:val="1"/>
                <w:color w:val="auto"/>
              </w:rPr>
              <w:t>Smaller reporting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980" w:type="dxa"/>
            <w:vAlign w:val="bottom"/>
          </w:tcPr>
          <w:p>
            <w:pPr>
              <w:ind w:left="2600"/>
              <w:spacing w:after="0"/>
              <w:rPr>
                <w:sz w:val="20"/>
                <w:szCs w:val="20"/>
                <w:color w:val="auto"/>
              </w:rPr>
            </w:pPr>
            <w:r>
              <w:rPr>
                <w:rFonts w:ascii="Arial" w:cs="Arial" w:eastAsia="Arial" w:hAnsi="Arial"/>
                <w:sz w:val="16"/>
                <w:szCs w:val="16"/>
                <w:b w:val="1"/>
                <w:bCs w:val="1"/>
                <w:color w:val="auto"/>
              </w:rPr>
              <w:t>Emerging growth company</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6" w:lineRule="exact"/>
        <w:rPr>
          <w:sz w:val="24"/>
          <w:szCs w:val="24"/>
          <w:color w:val="auto"/>
        </w:rPr>
      </w:pPr>
    </w:p>
    <w:p>
      <w:pPr>
        <w:spacing w:after="0" w:line="226" w:lineRule="exact"/>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Exchange Act).</w:t>
      </w:r>
    </w:p>
    <w:p>
      <w:pPr>
        <w:spacing w:after="0" w:line="14" w:lineRule="exact"/>
        <w:rPr>
          <w:sz w:val="24"/>
          <w:szCs w:val="24"/>
          <w:color w:val="auto"/>
        </w:rPr>
      </w:pPr>
    </w:p>
    <w:p>
      <w:pPr>
        <w:ind w:left="5280"/>
        <w:spacing w:after="0" w:line="207" w:lineRule="exact"/>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6"/>
          <w:szCs w:val="16"/>
          <w:b w:val="1"/>
          <w:bCs w:val="1"/>
          <w:color w:val="auto"/>
        </w:rPr>
        <w:t xml:space="preserve"> No </w:t>
      </w:r>
      <w:r>
        <w:rPr>
          <w:rFonts w:ascii="MS PGothic" w:cs="MS PGothic" w:eastAsia="MS PGothic" w:hAnsi="MS PGothic"/>
          <w:sz w:val="18"/>
          <w:szCs w:val="18"/>
          <w:color w:val="auto"/>
        </w:rPr>
        <w:t>☒</w:t>
      </w:r>
    </w:p>
    <w:p>
      <w:pPr>
        <w:spacing w:after="0" w:line="18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Common stock, par value $1 per share 79,079,126 shares outstanding as of July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0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51" w:lineRule="exact"/>
        <w:rPr>
          <w:sz w:val="20"/>
          <w:szCs w:val="20"/>
          <w:color w:val="auto"/>
        </w:rPr>
      </w:pPr>
    </w:p>
    <w:p>
      <w:pPr>
        <w:ind w:left="4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 - Financial Information</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1960" w:type="dxa"/>
            <w:vAlign w:val="bottom"/>
            <w:gridSpan w:val="4"/>
            <w:shd w:val="clear" w:color="auto" w:fill="CCEEFF"/>
          </w:tcPr>
          <w:p>
            <w:pPr>
              <w:ind w:left="920"/>
              <w:spacing w:after="0"/>
              <w:rPr>
                <w:sz w:val="20"/>
                <w:szCs w:val="20"/>
                <w:color w:val="auto"/>
              </w:rPr>
            </w:pPr>
            <w:r>
              <w:rPr>
                <w:rFonts w:ascii="Arial" w:cs="Arial" w:eastAsia="Arial" w:hAnsi="Arial"/>
                <w:sz w:val="18"/>
                <w:szCs w:val="18"/>
                <w:b w:val="1"/>
                <w:bCs w:val="1"/>
                <w:color w:val="auto"/>
              </w:rPr>
              <w:t>Item 1.</w:t>
            </w:r>
          </w:p>
        </w:tc>
        <w:tc>
          <w:tcPr>
            <w:tcW w:w="9220" w:type="dxa"/>
            <w:vAlign w:val="bottom"/>
            <w:gridSpan w:val="15"/>
            <w:shd w:val="clear" w:color="auto" w:fill="CCEEFF"/>
          </w:tcPr>
          <w:p>
            <w:pPr>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20" w:type="dxa"/>
            <w:vAlign w:val="bottom"/>
            <w:gridSpan w:val="15"/>
            <w:shd w:val="clear" w:color="auto" w:fill="CCEEFF"/>
          </w:tcPr>
          <w:p>
            <w:pPr>
              <w:spacing w:after="0" w:line="202" w:lineRule="exact"/>
              <w:rPr>
                <w:rFonts w:ascii="Arial" w:cs="Arial" w:eastAsia="Arial" w:hAnsi="Arial"/>
                <w:sz w:val="18"/>
                <w:szCs w:val="18"/>
                <w:b w:val="1"/>
                <w:bCs w:val="1"/>
                <w:color w:val="0000EE"/>
                <w:w w:val="99"/>
              </w:rPr>
            </w:pPr>
            <w:hyperlink w:anchor="page4">
              <w:r>
                <w:rPr>
                  <w:rFonts w:ascii="Arial" w:cs="Arial" w:eastAsia="Arial" w:hAnsi="Arial"/>
                  <w:sz w:val="18"/>
                  <w:szCs w:val="18"/>
                  <w:b w:val="1"/>
                  <w:bCs w:val="1"/>
                  <w:color w:val="0000EE"/>
                  <w:w w:val="99"/>
                </w:rPr>
                <w:t>Consolidated Statements of Income (unaudited) for the Three and Six Months Ended June 30, 2019 and 2018</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70"/>
        </w:trPr>
        <w:tc>
          <w:tcPr>
            <w:tcW w:w="40" w:type="dxa"/>
            <w:vAlign w:val="bottom"/>
            <w:tcBorders>
              <w:top w:val="single" w:sz="8" w:color="CCEEFF"/>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156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940" w:type="dxa"/>
            <w:vAlign w:val="bottom"/>
            <w:tcBorders>
              <w:top w:val="single" w:sz="8" w:color="0000EE"/>
            </w:tcBorders>
          </w:tcPr>
          <w:p>
            <w:pPr>
              <w:spacing w:after="0"/>
              <w:rPr>
                <w:sz w:val="23"/>
                <w:szCs w:val="23"/>
                <w:color w:val="auto"/>
              </w:rPr>
            </w:pPr>
          </w:p>
        </w:tc>
        <w:tc>
          <w:tcPr>
            <w:tcW w:w="520" w:type="dxa"/>
            <w:vAlign w:val="bottom"/>
            <w:tcBorders>
              <w:top w:val="single" w:sz="8" w:color="0000EE"/>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20" w:type="dxa"/>
            <w:vAlign w:val="bottom"/>
            <w:gridSpan w:val="15"/>
            <w:shd w:val="clear" w:color="auto" w:fill="CCEEFF"/>
          </w:tcPr>
          <w:p>
            <w:pPr>
              <w:spacing w:after="0" w:line="202" w:lineRule="exact"/>
              <w:rPr>
                <w:rFonts w:ascii="Arial" w:cs="Arial" w:eastAsia="Arial" w:hAnsi="Arial"/>
                <w:sz w:val="18"/>
                <w:szCs w:val="18"/>
                <w:b w:val="1"/>
                <w:bCs w:val="1"/>
                <w:color w:val="0000EE"/>
                <w:w w:val="93"/>
              </w:rPr>
            </w:pPr>
            <w:hyperlink w:anchor="page6">
              <w:r>
                <w:rPr>
                  <w:rFonts w:ascii="Arial" w:cs="Arial" w:eastAsia="Arial" w:hAnsi="Arial"/>
                  <w:sz w:val="18"/>
                  <w:szCs w:val="18"/>
                  <w:b w:val="1"/>
                  <w:bCs w:val="1"/>
                  <w:color w:val="0000EE"/>
                  <w:w w:val="93"/>
                </w:rPr>
                <w:t>Consolidated Statements of Comprehensive Income (unaudited) for the Three and Six Months Ended June 30, 2019</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CCEEFF"/>
            </w:tcBorders>
            <w:shd w:val="clear" w:color="auto" w:fill="CCEEFF"/>
          </w:tcPr>
          <w:p>
            <w:pPr>
              <w:spacing w:after="0"/>
              <w:rPr>
                <w:sz w:val="21"/>
                <w:szCs w:val="21"/>
                <w:color w:val="auto"/>
              </w:rPr>
            </w:pPr>
          </w:p>
        </w:tc>
        <w:tc>
          <w:tcPr>
            <w:tcW w:w="8840" w:type="dxa"/>
            <w:vAlign w:val="bottom"/>
            <w:tcBorders>
              <w:top w:val="single" w:sz="8" w:color="0000EE"/>
            </w:tcBorders>
            <w:gridSpan w:val="13"/>
            <w:shd w:val="clear" w:color="auto" w:fill="CCEEFF"/>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and 2018</w:t>
              </w:r>
            </w:hyperlink>
          </w:p>
        </w:tc>
        <w:tc>
          <w:tcPr>
            <w:tcW w:w="380" w:type="dxa"/>
            <w:vAlign w:val="bottom"/>
            <w:tcBorders>
              <w:top w:val="single" w:sz="8" w:color="CCEEFF"/>
            </w:tcBorders>
            <w:gridSpan w:val="2"/>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20" w:type="dxa"/>
            <w:vAlign w:val="bottom"/>
            <w:gridSpan w:val="15"/>
            <w:shd w:val="clear" w:color="auto" w:fill="CCEEFF"/>
          </w:tcPr>
          <w:p>
            <w:pPr>
              <w:spacing w:after="0" w:line="202"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Consolidated Balance Sheets (unaudited) at June 30, 2019 and December 31, 2018</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70"/>
        </w:trPr>
        <w:tc>
          <w:tcPr>
            <w:tcW w:w="40" w:type="dxa"/>
            <w:vAlign w:val="bottom"/>
            <w:tcBorders>
              <w:top w:val="single" w:sz="8" w:color="CCEEFF"/>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1560" w:type="dxa"/>
            <w:vAlign w:val="bottom"/>
            <w:tcBorders>
              <w:top w:val="single" w:sz="8" w:color="0000EE"/>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20" w:type="dxa"/>
            <w:vAlign w:val="bottom"/>
            <w:gridSpan w:val="15"/>
            <w:shd w:val="clear" w:color="auto" w:fill="CCEEFF"/>
          </w:tcPr>
          <w:p>
            <w:pPr>
              <w:spacing w:after="0" w:line="202" w:lineRule="exact"/>
              <w:rPr>
                <w:rFonts w:ascii="Arial" w:cs="Arial" w:eastAsia="Arial" w:hAnsi="Arial"/>
                <w:sz w:val="18"/>
                <w:szCs w:val="18"/>
                <w:b w:val="1"/>
                <w:bCs w:val="1"/>
                <w:color w:val="0000EE"/>
                <w:w w:val="93"/>
              </w:rPr>
            </w:pPr>
            <w:hyperlink w:anchor="page8">
              <w:r>
                <w:rPr>
                  <w:rFonts w:ascii="Arial" w:cs="Arial" w:eastAsia="Arial" w:hAnsi="Arial"/>
                  <w:sz w:val="18"/>
                  <w:szCs w:val="18"/>
                  <w:b w:val="1"/>
                  <w:bCs w:val="1"/>
                  <w:color w:val="0000EE"/>
                  <w:w w:val="93"/>
                </w:rPr>
                <w:t>Consolidated Statements of Changes in Shareholders’ Equity (unaudited) for the Three and Six Months Ended June</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7</w:t>
              </w:r>
            </w:hyperlink>
          </w:p>
        </w:tc>
      </w:tr>
      <w:tr>
        <w:trPr>
          <w:trHeight w:val="244"/>
        </w:trPr>
        <w:tc>
          <w:tcPr>
            <w:tcW w:w="4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CCEEFF"/>
            </w:tcBorders>
            <w:shd w:val="clear" w:color="auto" w:fill="CCEEFF"/>
          </w:tcPr>
          <w:p>
            <w:pPr>
              <w:spacing w:after="0"/>
              <w:rPr>
                <w:sz w:val="21"/>
                <w:szCs w:val="21"/>
                <w:color w:val="auto"/>
              </w:rPr>
            </w:pPr>
          </w:p>
        </w:tc>
        <w:tc>
          <w:tcPr>
            <w:tcW w:w="8900" w:type="dxa"/>
            <w:vAlign w:val="bottom"/>
            <w:tcBorders>
              <w:top w:val="single" w:sz="8" w:color="0000EE"/>
            </w:tcBorders>
            <w:gridSpan w:val="14"/>
            <w:shd w:val="clear" w:color="auto" w:fill="CCEEFF"/>
          </w:tcPr>
          <w:p>
            <w:pPr>
              <w:spacing w:after="0" w:line="196"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30, 2019 and 2018</w:t>
              </w:r>
            </w:hyperlink>
          </w:p>
        </w:tc>
        <w:tc>
          <w:tcPr>
            <w:tcW w:w="3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20" w:type="dxa"/>
            <w:vAlign w:val="bottom"/>
            <w:gridSpan w:val="15"/>
            <w:shd w:val="clear" w:color="auto" w:fill="CCEEFF"/>
          </w:tcPr>
          <w:p>
            <w:pPr>
              <w:spacing w:after="0" w:line="202"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Consolidated Statements of Cash Flows (unaudited) for the Six Months Ended June 30, 2019 and 2018</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8</w:t>
              </w:r>
            </w:hyperlink>
          </w:p>
        </w:tc>
      </w:tr>
      <w:tr>
        <w:trPr>
          <w:trHeight w:val="270"/>
        </w:trPr>
        <w:tc>
          <w:tcPr>
            <w:tcW w:w="40" w:type="dxa"/>
            <w:vAlign w:val="bottom"/>
            <w:tcBorders>
              <w:top w:val="single" w:sz="8" w:color="CCEEFF"/>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156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940" w:type="dxa"/>
            <w:vAlign w:val="bottom"/>
            <w:tcBorders>
              <w:top w:val="single" w:sz="8" w:color="0000EE"/>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20" w:type="dxa"/>
            <w:vAlign w:val="bottom"/>
            <w:gridSpan w:val="15"/>
            <w:shd w:val="clear" w:color="auto" w:fill="CCEEFF"/>
          </w:tcPr>
          <w:p>
            <w:pPr>
              <w:spacing w:after="0" w:line="202"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Notes to Consolidated Financial Statements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9</w:t>
              </w:r>
            </w:hyperlink>
          </w:p>
        </w:tc>
      </w:tr>
      <w:tr>
        <w:trPr>
          <w:trHeight w:val="270"/>
        </w:trPr>
        <w:tc>
          <w:tcPr>
            <w:tcW w:w="40" w:type="dxa"/>
            <w:vAlign w:val="bottom"/>
            <w:tcBorders>
              <w:top w:val="single" w:sz="8" w:color="CCEEFF"/>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540" w:type="dxa"/>
            <w:vAlign w:val="bottom"/>
            <w:tcBorders>
              <w:top w:val="single" w:sz="8" w:color="CCEEFF"/>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4"/>
            <w:shd w:val="clear" w:color="auto" w:fill="CCEEFF"/>
          </w:tcPr>
          <w:p>
            <w:pPr>
              <w:ind w:left="920"/>
              <w:spacing w:after="0" w:line="202"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Item 2.</w:t>
              </w:r>
            </w:hyperlink>
          </w:p>
        </w:tc>
        <w:tc>
          <w:tcPr>
            <w:tcW w:w="9220" w:type="dxa"/>
            <w:vAlign w:val="bottom"/>
            <w:gridSpan w:val="15"/>
            <w:shd w:val="clear" w:color="auto" w:fill="CCEEFF"/>
          </w:tcPr>
          <w:p>
            <w:pPr>
              <w:spacing w:after="0" w:line="202" w:lineRule="exact"/>
              <w:rPr>
                <w:rFonts w:ascii="Arial" w:cs="Arial" w:eastAsia="Arial" w:hAnsi="Arial"/>
                <w:sz w:val="18"/>
                <w:szCs w:val="18"/>
                <w:b w:val="1"/>
                <w:bCs w:val="1"/>
                <w:color w:val="0000EE"/>
              </w:rPr>
            </w:pPr>
            <w:hyperlink w:anchor="page47">
              <w:r>
                <w:rPr>
                  <w:rFonts w:ascii="Arial" w:cs="Arial" w:eastAsia="Arial" w:hAnsi="Arial"/>
                  <w:sz w:val="18"/>
                  <w:szCs w:val="18"/>
                  <w:b w:val="1"/>
                  <w:bCs w:val="1"/>
                  <w:color w:val="0000EE"/>
                </w:rPr>
                <w:t>Management’s Discussion and Analysis of Financial Condition and Results of Operations.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43</w:t>
              </w:r>
            </w:hyperlink>
          </w:p>
        </w:tc>
      </w:tr>
      <w:tr>
        <w:trPr>
          <w:trHeight w:val="270"/>
        </w:trPr>
        <w:tc>
          <w:tcPr>
            <w:tcW w:w="40" w:type="dxa"/>
            <w:vAlign w:val="bottom"/>
            <w:tcBorders>
              <w:top w:val="single" w:sz="8" w:color="CCEEFF"/>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156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4"/>
            <w:shd w:val="clear" w:color="auto" w:fill="CCEEFF"/>
          </w:tcPr>
          <w:p>
            <w:pPr>
              <w:ind w:left="920"/>
              <w:spacing w:after="0" w:line="202" w:lineRule="exact"/>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Item 3.</w:t>
              </w:r>
            </w:hyperlink>
          </w:p>
        </w:tc>
        <w:tc>
          <w:tcPr>
            <w:tcW w:w="9220" w:type="dxa"/>
            <w:vAlign w:val="bottom"/>
            <w:gridSpan w:val="15"/>
            <w:shd w:val="clear" w:color="auto" w:fill="CCEEFF"/>
          </w:tcPr>
          <w:p>
            <w:pPr>
              <w:spacing w:after="0" w:line="202" w:lineRule="exact"/>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Quantitative and Qualitative Disclosures About Market Risk.</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63</w:t>
              </w:r>
            </w:hyperlink>
          </w:p>
        </w:tc>
      </w:tr>
      <w:tr>
        <w:trPr>
          <w:trHeight w:val="270"/>
        </w:trPr>
        <w:tc>
          <w:tcPr>
            <w:tcW w:w="40" w:type="dxa"/>
            <w:vAlign w:val="bottom"/>
            <w:tcBorders>
              <w:top w:val="single" w:sz="8" w:color="CCEEFF"/>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0" w:type="dxa"/>
            <w:vAlign w:val="bottom"/>
            <w:tcBorders>
              <w:top w:val="single" w:sz="8" w:color="0000EE"/>
            </w:tcBorders>
          </w:tcPr>
          <w:p>
            <w:pPr>
              <w:spacing w:after="0"/>
              <w:rPr>
                <w:sz w:val="23"/>
                <w:szCs w:val="23"/>
                <w:color w:val="auto"/>
              </w:rPr>
            </w:pPr>
          </w:p>
        </w:tc>
        <w:tc>
          <w:tcPr>
            <w:tcW w:w="1360" w:type="dxa"/>
            <w:vAlign w:val="bottom"/>
            <w:tcBorders>
              <w:top w:val="single" w:sz="8" w:color="0000EE"/>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4"/>
            <w:shd w:val="clear" w:color="auto" w:fill="CCEEFF"/>
          </w:tcPr>
          <w:p>
            <w:pPr>
              <w:ind w:left="920"/>
              <w:spacing w:after="0" w:line="202" w:lineRule="exact"/>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Item 4.</w:t>
              </w:r>
            </w:hyperlink>
          </w:p>
        </w:tc>
        <w:tc>
          <w:tcPr>
            <w:tcW w:w="9220" w:type="dxa"/>
            <w:vAlign w:val="bottom"/>
            <w:gridSpan w:val="15"/>
            <w:shd w:val="clear" w:color="auto" w:fill="CCEEFF"/>
          </w:tcPr>
          <w:p>
            <w:pPr>
              <w:spacing w:after="0" w:line="202" w:lineRule="exact"/>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Controls and Procedures.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63</w:t>
              </w:r>
            </w:hyperlink>
          </w:p>
        </w:tc>
      </w:tr>
      <w:tr>
        <w:trPr>
          <w:trHeight w:val="270"/>
        </w:trPr>
        <w:tc>
          <w:tcPr>
            <w:tcW w:w="40" w:type="dxa"/>
            <w:vAlign w:val="bottom"/>
            <w:tcBorders>
              <w:top w:val="single" w:sz="8" w:color="CCEEFF"/>
            </w:tcBorders>
          </w:tcPr>
          <w:p>
            <w:pPr>
              <w:spacing w:after="0"/>
              <w:rPr>
                <w:sz w:val="23"/>
                <w:szCs w:val="23"/>
                <w:color w:val="auto"/>
              </w:rPr>
            </w:pPr>
          </w:p>
        </w:tc>
        <w:tc>
          <w:tcPr>
            <w:tcW w:w="920" w:type="dxa"/>
            <w:vAlign w:val="bottom"/>
            <w:tcBorders>
              <w:top w:val="single" w:sz="8" w:color="CCEEFF"/>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20" w:type="dxa"/>
            <w:vAlign w:val="bottom"/>
            <w:tcBorders>
              <w:top w:val="single" w:sz="8" w:color="CCEEFF"/>
            </w:tcBorders>
          </w:tcPr>
          <w:p>
            <w:pPr>
              <w:spacing w:after="0"/>
              <w:rPr>
                <w:sz w:val="23"/>
                <w:szCs w:val="23"/>
                <w:color w:val="auto"/>
              </w:rPr>
            </w:pPr>
          </w:p>
        </w:tc>
        <w:tc>
          <w:tcPr>
            <w:tcW w:w="380" w:type="dxa"/>
            <w:vAlign w:val="bottom"/>
            <w:tcBorders>
              <w:top w:val="single" w:sz="8" w:color="CCEEFF"/>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34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500" w:type="dxa"/>
            <w:vAlign w:val="bottom"/>
            <w:tcBorders>
              <w:top w:val="single" w:sz="8" w:color="0000EE"/>
            </w:tcBorders>
          </w:tcPr>
          <w:p>
            <w:pPr>
              <w:spacing w:after="0"/>
              <w:rPr>
                <w:sz w:val="23"/>
                <w:szCs w:val="23"/>
                <w:color w:val="auto"/>
              </w:rPr>
            </w:pPr>
          </w:p>
        </w:tc>
        <w:tc>
          <w:tcPr>
            <w:tcW w:w="140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11220" w:type="dxa"/>
            <w:vAlign w:val="bottom"/>
            <w:gridSpan w:val="20"/>
            <w:shd w:val="clear" w:color="auto" w:fill="CCEEFF"/>
          </w:tcPr>
          <w:p>
            <w:pPr>
              <w:ind w:left="40"/>
              <w:spacing w:after="0" w:line="202" w:lineRule="exact"/>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PART II - Other Information</w:t>
              </w:r>
            </w:hyperlink>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70"/>
        </w:trPr>
        <w:tc>
          <w:tcPr>
            <w:tcW w:w="40" w:type="dxa"/>
            <w:vAlign w:val="bottom"/>
            <w:tcBorders>
              <w:top w:val="single" w:sz="8" w:color="CCEEFF"/>
            </w:tcBorders>
          </w:tcPr>
          <w:p>
            <w:pPr>
              <w:spacing w:after="0"/>
              <w:rPr>
                <w:sz w:val="23"/>
                <w:szCs w:val="23"/>
                <w:color w:val="auto"/>
              </w:rPr>
            </w:pPr>
          </w:p>
        </w:tc>
        <w:tc>
          <w:tcPr>
            <w:tcW w:w="920" w:type="dxa"/>
            <w:vAlign w:val="bottom"/>
            <w:tcBorders>
              <w:top w:val="single" w:sz="8" w:color="0000EE"/>
            </w:tcBorders>
          </w:tcPr>
          <w:p>
            <w:pPr>
              <w:spacing w:after="0"/>
              <w:rPr>
                <w:sz w:val="23"/>
                <w:szCs w:val="23"/>
                <w:color w:val="auto"/>
              </w:rPr>
            </w:pPr>
          </w:p>
        </w:tc>
        <w:tc>
          <w:tcPr>
            <w:tcW w:w="54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380" w:type="dxa"/>
            <w:vAlign w:val="bottom"/>
            <w:tcBorders>
              <w:top w:val="single" w:sz="8" w:color="0000EE"/>
            </w:tcBorders>
          </w:tcPr>
          <w:p>
            <w:pPr>
              <w:spacing w:after="0"/>
              <w:rPr>
                <w:sz w:val="23"/>
                <w:szCs w:val="23"/>
                <w:color w:val="auto"/>
              </w:rPr>
            </w:pPr>
          </w:p>
        </w:tc>
        <w:tc>
          <w:tcPr>
            <w:tcW w:w="30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34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140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1560" w:type="dxa"/>
            <w:vAlign w:val="bottom"/>
            <w:tcBorders>
              <w:top w:val="single" w:sz="8" w:color="CCEEFF"/>
            </w:tcBorders>
          </w:tcPr>
          <w:p>
            <w:pPr>
              <w:spacing w:after="0"/>
              <w:rPr>
                <w:sz w:val="23"/>
                <w:szCs w:val="23"/>
                <w:color w:val="auto"/>
              </w:rPr>
            </w:pPr>
          </w:p>
        </w:tc>
        <w:tc>
          <w:tcPr>
            <w:tcW w:w="620" w:type="dxa"/>
            <w:vAlign w:val="bottom"/>
            <w:tcBorders>
              <w:top w:val="single" w:sz="8" w:color="CCEEFF"/>
            </w:tcBorders>
          </w:tcPr>
          <w:p>
            <w:pPr>
              <w:spacing w:after="0"/>
              <w:rPr>
                <w:sz w:val="23"/>
                <w:szCs w:val="23"/>
                <w:color w:val="auto"/>
              </w:rPr>
            </w:pPr>
          </w:p>
        </w:tc>
        <w:tc>
          <w:tcPr>
            <w:tcW w:w="940" w:type="dxa"/>
            <w:vAlign w:val="bottom"/>
            <w:tcBorders>
              <w:top w:val="single" w:sz="8" w:color="CCEEFF"/>
            </w:tcBorders>
          </w:tcPr>
          <w:p>
            <w:pPr>
              <w:spacing w:after="0"/>
              <w:rPr>
                <w:sz w:val="23"/>
                <w:szCs w:val="23"/>
                <w:color w:val="auto"/>
              </w:rPr>
            </w:pPr>
          </w:p>
        </w:tc>
        <w:tc>
          <w:tcPr>
            <w:tcW w:w="520" w:type="dxa"/>
            <w:vAlign w:val="bottom"/>
            <w:tcBorders>
              <w:top w:val="single" w:sz="8" w:color="CCEEFF"/>
            </w:tcBorders>
          </w:tcPr>
          <w:p>
            <w:pPr>
              <w:spacing w:after="0"/>
              <w:rPr>
                <w:sz w:val="23"/>
                <w:szCs w:val="23"/>
                <w:color w:val="auto"/>
              </w:rPr>
            </w:pPr>
          </w:p>
        </w:tc>
        <w:tc>
          <w:tcPr>
            <w:tcW w:w="50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3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40" w:type="dxa"/>
            <w:vAlign w:val="bottom"/>
            <w:shd w:val="clear" w:color="auto" w:fill="CCEEFF"/>
          </w:tcPr>
          <w:p>
            <w:pPr>
              <w:spacing w:after="0"/>
              <w:rPr>
                <w:sz w:val="17"/>
                <w:szCs w:val="17"/>
                <w:color w:val="auto"/>
              </w:rPr>
            </w:pPr>
          </w:p>
        </w:tc>
        <w:tc>
          <w:tcPr>
            <w:tcW w:w="1960" w:type="dxa"/>
            <w:vAlign w:val="bottom"/>
            <w:gridSpan w:val="4"/>
            <w:shd w:val="clear" w:color="auto" w:fill="CCEEFF"/>
          </w:tcPr>
          <w:p>
            <w:pPr>
              <w:ind w:left="920"/>
              <w:spacing w:after="0" w:line="202" w:lineRule="exact"/>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Item 1.</w:t>
              </w:r>
            </w:hyperlink>
          </w:p>
        </w:tc>
        <w:tc>
          <w:tcPr>
            <w:tcW w:w="9220" w:type="dxa"/>
            <w:vAlign w:val="bottom"/>
            <w:gridSpan w:val="15"/>
            <w:shd w:val="clear" w:color="auto" w:fill="CCEEFF"/>
          </w:tcPr>
          <w:p>
            <w:pPr>
              <w:spacing w:after="0" w:line="202" w:lineRule="exact"/>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Legal Proceedings.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64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0000EE"/>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960" w:type="dxa"/>
            <w:vAlign w:val="bottom"/>
            <w:gridSpan w:val="4"/>
          </w:tcPr>
          <w:p>
            <w:pPr>
              <w:ind w:left="920"/>
              <w:spacing w:after="0" w:line="202" w:lineRule="exact"/>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Item 1A.</w:t>
              </w:r>
            </w:hyperlink>
          </w:p>
        </w:tc>
        <w:tc>
          <w:tcPr>
            <w:tcW w:w="9220" w:type="dxa"/>
            <w:vAlign w:val="bottom"/>
            <w:gridSpan w:val="15"/>
          </w:tcPr>
          <w:p>
            <w:pPr>
              <w:spacing w:after="0" w:line="202" w:lineRule="exact"/>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Risk Factors.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64</w:t>
              </w:r>
            </w:hyperlink>
          </w:p>
        </w:tc>
      </w:tr>
      <w:tr>
        <w:trPr>
          <w:trHeight w:val="48"/>
        </w:trPr>
        <w:tc>
          <w:tcPr>
            <w:tcW w:w="40" w:type="dxa"/>
            <w:vAlign w:val="bottom"/>
          </w:tcPr>
          <w:p>
            <w:pPr>
              <w:spacing w:after="0"/>
              <w:rPr>
                <w:sz w:val="4"/>
                <w:szCs w:val="4"/>
                <w:color w:val="auto"/>
              </w:rPr>
            </w:pPr>
          </w:p>
        </w:tc>
        <w:tc>
          <w:tcPr>
            <w:tcW w:w="92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380" w:type="dxa"/>
            <w:vAlign w:val="bottom"/>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960" w:type="dxa"/>
            <w:vAlign w:val="bottom"/>
            <w:gridSpan w:val="4"/>
            <w:shd w:val="clear" w:color="auto" w:fill="CCEEFF"/>
          </w:tcPr>
          <w:p>
            <w:pPr>
              <w:ind w:left="920"/>
              <w:spacing w:after="0" w:line="202" w:lineRule="exact"/>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Item 6.</w:t>
              </w:r>
            </w:hyperlink>
          </w:p>
        </w:tc>
        <w:tc>
          <w:tcPr>
            <w:tcW w:w="9220" w:type="dxa"/>
            <w:vAlign w:val="bottom"/>
            <w:gridSpan w:val="15"/>
            <w:shd w:val="clear" w:color="auto" w:fill="CCEEFF"/>
          </w:tcPr>
          <w:p>
            <w:pPr>
              <w:spacing w:after="0" w:line="202" w:lineRule="exact"/>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Exhibits.</w:t>
              </w:r>
            </w:hyperlink>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64</w:t>
              </w:r>
            </w:hyperlink>
          </w:p>
        </w:tc>
      </w:tr>
      <w:tr>
        <w:trPr>
          <w:trHeight w:val="675"/>
        </w:trPr>
        <w:tc>
          <w:tcPr>
            <w:tcW w:w="4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gridSpan w:val="2"/>
          </w:tcPr>
          <w:p>
            <w:pPr>
              <w:spacing w:after="0"/>
              <w:rPr>
                <w:sz w:val="24"/>
                <w:szCs w:val="24"/>
                <w:color w:val="auto"/>
              </w:rPr>
            </w:pPr>
          </w:p>
        </w:tc>
        <w:tc>
          <w:tcPr>
            <w:tcW w:w="4020" w:type="dxa"/>
            <w:vAlign w:val="bottom"/>
            <w:tcBorders>
              <w:top w:val="single" w:sz="8" w:color="CCEEFF"/>
            </w:tcBorders>
            <w:gridSpan w:val="6"/>
          </w:tcPr>
          <w:p>
            <w:pPr>
              <w:jc w:val="right"/>
              <w:ind w:right="940"/>
              <w:spacing w:after="0"/>
              <w:rPr>
                <w:sz w:val="20"/>
                <w:szCs w:val="20"/>
                <w:color w:val="auto"/>
              </w:rPr>
            </w:pPr>
            <w:r>
              <w:rPr>
                <w:rFonts w:ascii="Arial" w:cs="Arial" w:eastAsia="Arial" w:hAnsi="Arial"/>
                <w:sz w:val="18"/>
                <w:szCs w:val="18"/>
                <w:color w:val="auto"/>
              </w:rPr>
              <w:t>2</w:t>
            </w:r>
          </w:p>
        </w:tc>
        <w:tc>
          <w:tcPr>
            <w:tcW w:w="1560" w:type="dxa"/>
            <w:vAlign w:val="bottom"/>
            <w:tcBorders>
              <w:top w:val="single" w:sz="8" w:color="CCEEFF"/>
            </w:tcBorders>
          </w:tcPr>
          <w:p>
            <w:pPr>
              <w:spacing w:after="0"/>
              <w:rPr>
                <w:sz w:val="24"/>
                <w:szCs w:val="24"/>
                <w:color w:val="auto"/>
              </w:rPr>
            </w:pPr>
          </w:p>
        </w:tc>
        <w:tc>
          <w:tcPr>
            <w:tcW w:w="62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Section 27A of the Securities Act of 1933, as amended, and Section 21E of the Securities Exchange Act of 1934, as amended, (the “Exchange Act”). Forward-looking statements are not statements of historical fact and generally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or events, and statements about the future performance, operations, products and services of United Community Banks, Inc. (the “Holding Company”) and its subsidiaries (collectively referred to in this report as “United”).</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Forward-looking statements are subject to risks, uncertainties and assumptions that are difficult to predict as to timing, extent, likelihood and degree of occurrence, which could cause actual results to differ materially from anticipated results. Such risks, uncertainties and assumptions include, but are not limited to the following factors:</w:t>
      </w:r>
    </w:p>
    <w:p>
      <w:pPr>
        <w:spacing w:after="0" w:line="181" w:lineRule="exact"/>
        <w:rPr>
          <w:sz w:val="20"/>
          <w:szCs w:val="20"/>
          <w:color w:val="auto"/>
        </w:rPr>
      </w:pPr>
    </w:p>
    <w:p>
      <w:pPr>
        <w:ind w:left="340" w:hanging="332"/>
        <w:spacing w:after="0" w:line="25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condition of the general business, political, and economic environment, banking system and financial markets and corresponding changes in loan underwriting, credit review or loss policies associated with changes in these and other conditions;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market, operational, liquidity and interest rate risks associated with our business;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interest rate environment, including interest rate changes made by the Federal Reserve, the discontinuation of London Interbank Offered Rate (“LIBOR”) as an interest rate benchmark, as well as cash flow reassessments may reduce net interest margin and/or the volumes and values of loans made or held as well as the value of other financial assets;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geographic diversification and the success of the local economies in which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of expansion into new geographic or product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with respect to our ability to successfully expand and complete acquisitions and integrate businesses and operations that are acquired;</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employees;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 including financial technology providers and our ability to attract customers from other financial institutions;</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customers, third party service providers or employees;</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cybersecurity risks and the vulnerability of United’s network and online banking portals, and the systems of parties with whom United contracts, to unauthorized access, computer viruses, phishing schemes, spam attacks, human error, natural disasters, power loss and other security breaches that could adversely affect our business and financial performance or reputation;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provide key components of our business infrastructure and services required to operate our business;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we may be required to make substantial expenditures to keep pace with regulatory initiatives and the rapid technological changes in the financial services market;</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access to capital;</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legislative, regulatory or accounting changes that may adversely affect us;</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allowance for loan losses resulting from the adoption and implementation of the new Current Expected Credit Loss (“CECL”) methodology;</w:t>
      </w: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effects and outcomes of litigation, regulatory proceedings, examinations, investigations, or similar matters, or adverse facts and developments related thereto;</w:t>
      </w:r>
    </w:p>
    <w:p>
      <w:pPr>
        <w:ind w:left="340" w:right="2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deterioration in the financial condition of borrowers resulting in significant increases in loan losses and provisions for those losses that exceed our current allowance for loan losses; and</w:t>
      </w:r>
    </w:p>
    <w:p>
      <w:pPr>
        <w:ind w:left="340" w:hanging="332"/>
        <w:spacing w:after="0" w:line="26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limitations on the ability of United Community Bank (the “Bank”) to pay dividends to the Holding Company, which could affect Holding Company liquidity, including the ability to pay dividends to shareholders or take other capital actions.</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cautions readers that the foregoing list of factors is not exclusive, is not necessarily in order of importance and not to place undue reliance on forward-looking statements. Additional factors that may cause actual results to differ materially from those contemplated by any forward-looking statements also may be found in United’s Annual Report on Form 10-K, Quarterly Reports on Form 10-Q, and Current Reports on Form 8-K filed with the Securities and Exchange Commission (the “SEC”) and available at the SEC’s website at http://www.sec.gov. United does not intend to and hereby disclaims any obligation to update or revise any forward-looking statement contained in this Form 10-Q, which speak only as of the date hereof, whether as a result of new information, future events, or otherwise. The financial statements and information contained herein have not been reviewed, or confirmed for accuracy or relevance, by the Federal Deposit Insurance Corporation (the “FDIC”) or any other regulator.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spacing w:after="0" w:line="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 COMMUNITY BANKS,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Consolidated Statements of Income </w:t>
      </w:r>
      <w:r>
        <w:rPr>
          <w:rFonts w:ascii="Arial" w:cs="Arial" w:eastAsia="Arial" w:hAnsi="Arial"/>
          <w:sz w:val="16"/>
          <w:szCs w:val="16"/>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5"/>
          </w:tcPr>
          <w:p>
            <w:pPr>
              <w:ind w:left="260"/>
              <w:spacing w:after="0"/>
              <w:rPr>
                <w:sz w:val="20"/>
                <w:szCs w:val="20"/>
                <w:color w:val="auto"/>
              </w:rPr>
            </w:pPr>
            <w:r>
              <w:rPr>
                <w:rFonts w:ascii="Arial" w:cs="Arial" w:eastAsia="Arial" w:hAnsi="Arial"/>
                <w:sz w:val="15"/>
                <w:szCs w:val="15"/>
                <w:b w:val="1"/>
                <w:bCs w:val="1"/>
                <w:color w:val="auto"/>
              </w:rPr>
              <w:t>Three Months Ended</w:t>
            </w:r>
          </w:p>
        </w:tc>
        <w:tc>
          <w:tcPr>
            <w:tcW w:w="240" w:type="dxa"/>
            <w:vAlign w:val="bottom"/>
          </w:tcPr>
          <w:p>
            <w:pPr>
              <w:spacing w:after="0"/>
              <w:rPr>
                <w:sz w:val="14"/>
                <w:szCs w:val="14"/>
                <w:color w:val="auto"/>
              </w:rPr>
            </w:pPr>
          </w:p>
        </w:tc>
        <w:tc>
          <w:tcPr>
            <w:tcW w:w="2100" w:type="dxa"/>
            <w:vAlign w:val="bottom"/>
            <w:gridSpan w:val="4"/>
          </w:tcPr>
          <w:p>
            <w:pPr>
              <w:jc w:val="right"/>
              <w:ind w:right="488"/>
              <w:spacing w:after="0"/>
              <w:rPr>
                <w:sz w:val="20"/>
                <w:szCs w:val="20"/>
                <w:color w:val="auto"/>
              </w:rPr>
            </w:pPr>
            <w:r>
              <w:rPr>
                <w:rFonts w:ascii="Arial" w:cs="Arial" w:eastAsia="Arial" w:hAnsi="Arial"/>
                <w:sz w:val="15"/>
                <w:szCs w:val="15"/>
                <w:b w:val="1"/>
                <w:bCs w:val="1"/>
                <w:color w:val="auto"/>
              </w:rPr>
              <w:t>Six Months Ended</w:t>
            </w:r>
          </w:p>
        </w:tc>
      </w:tr>
      <w:tr>
        <w:trPr>
          <w:trHeight w:val="202"/>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5"/>
                <w:szCs w:val="15"/>
                <w:b w:val="1"/>
                <w:bCs w:val="1"/>
                <w:color w:val="auto"/>
              </w:rPr>
              <w:t>June 30,</w:t>
            </w:r>
          </w:p>
        </w:tc>
        <w:tc>
          <w:tcPr>
            <w:tcW w:w="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5"/>
                <w:szCs w:val="15"/>
                <w:b w:val="1"/>
                <w:bCs w:val="1"/>
                <w:color w:val="auto"/>
              </w:rPr>
              <w:t>June 30,</w:t>
            </w:r>
          </w:p>
        </w:tc>
        <w:tc>
          <w:tcPr>
            <w:tcW w:w="800" w:type="dxa"/>
            <w:vAlign w:val="bottom"/>
            <w:tcBorders>
              <w:bottom w:val="single" w:sz="8" w:color="auto"/>
            </w:tcBorders>
          </w:tcPr>
          <w:p>
            <w:pPr>
              <w:spacing w:after="0"/>
              <w:rPr>
                <w:sz w:val="17"/>
                <w:szCs w:val="17"/>
                <w:color w:val="auto"/>
              </w:rPr>
            </w:pPr>
          </w:p>
        </w:tc>
      </w:tr>
      <w:tr>
        <w:trPr>
          <w:trHeight w:val="264"/>
        </w:trPr>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5"/>
                <w:szCs w:val="15"/>
                <w:i w:val="1"/>
                <w:iCs w:val="1"/>
                <w:color w:val="auto"/>
              </w:rPr>
              <w:t>(in thousands, except per share data)</w:t>
            </w:r>
          </w:p>
        </w:tc>
        <w:tc>
          <w:tcPr>
            <w:tcW w:w="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5"/>
                <w:szCs w:val="15"/>
                <w:b w:val="1"/>
                <w:bCs w:val="1"/>
                <w:color w:val="auto"/>
              </w:rPr>
              <w:t>2019</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48"/>
              <w:spacing w:after="0"/>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8"/>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28"/>
              <w:spacing w:after="0"/>
              <w:rPr>
                <w:sz w:val="20"/>
                <w:szCs w:val="20"/>
                <w:color w:val="auto"/>
              </w:rPr>
            </w:pPr>
            <w:r>
              <w:rPr>
                <w:rFonts w:ascii="Arial" w:cs="Arial" w:eastAsia="Arial" w:hAnsi="Arial"/>
                <w:sz w:val="15"/>
                <w:szCs w:val="15"/>
                <w:b w:val="1"/>
                <w:bCs w:val="1"/>
                <w:color w:val="auto"/>
              </w:rPr>
              <w:t>2018</w:t>
            </w:r>
          </w:p>
        </w:tc>
      </w:tr>
      <w:tr>
        <w:trPr>
          <w:trHeight w:val="262"/>
        </w:trPr>
        <w:tc>
          <w:tcPr>
            <w:tcW w:w="654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 revenue:</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Loans, including fees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119,671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103,492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234,930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199,961</w:t>
            </w: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Investment securities, including tax exempt of $1,122 and $1,025, and $2,291 and $1,997</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19,076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18,254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39,894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36,549</w:t>
            </w:r>
          </w:p>
        </w:tc>
      </w:tr>
      <w:tr>
        <w:trPr>
          <w:trHeight w:val="270"/>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Deposits in banks and short-term investments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995</w:t>
            </w:r>
          </w:p>
        </w:tc>
      </w:tr>
      <w:tr>
        <w:trPr>
          <w:trHeight w:val="250"/>
        </w:trPr>
        <w:tc>
          <w:tcPr>
            <w:tcW w:w="654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Total interest revenue</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139,156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122,215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275,672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237,505</w:t>
            </w:r>
          </w:p>
        </w:tc>
      </w:tr>
      <w:tr>
        <w:trPr>
          <w:trHeight w:val="243"/>
        </w:trPr>
        <w:tc>
          <w:tcPr>
            <w:tcW w:w="64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64"/>
        </w:trPr>
        <w:tc>
          <w:tcPr>
            <w:tcW w:w="654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 expense:</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7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Deposits: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64"/>
        </w:trPr>
        <w:tc>
          <w:tcPr>
            <w:tcW w:w="6540" w:type="dxa"/>
            <w:vAlign w:val="bottom"/>
            <w:gridSpan w:val="2"/>
          </w:tcPr>
          <w:p>
            <w:pPr>
              <w:ind w:left="280"/>
              <w:spacing w:after="0"/>
              <w:rPr>
                <w:sz w:val="20"/>
                <w:szCs w:val="20"/>
                <w:color w:val="auto"/>
              </w:rPr>
            </w:pPr>
            <w:r>
              <w:rPr>
                <w:rFonts w:ascii="Arial" w:cs="Arial" w:eastAsia="Arial" w:hAnsi="Arial"/>
                <w:sz w:val="14"/>
                <w:szCs w:val="14"/>
                <w:color w:val="auto"/>
              </w:rPr>
              <w:t>NOW and interest-bearing demand</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3,377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1,303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6,913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2,416</w:t>
            </w:r>
          </w:p>
        </w:tc>
      </w:tr>
      <w:tr>
        <w:trPr>
          <w:trHeight w:val="276"/>
        </w:trPr>
        <w:tc>
          <w:tcPr>
            <w:tcW w:w="6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Money market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4,925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9,130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4,758</w:t>
            </w:r>
          </w:p>
        </w:tc>
      </w:tr>
      <w:tr>
        <w:trPr>
          <w:trHeight w:val="264"/>
        </w:trPr>
        <w:tc>
          <w:tcPr>
            <w:tcW w:w="6540" w:type="dxa"/>
            <w:vAlign w:val="bottom"/>
            <w:gridSpan w:val="2"/>
          </w:tcPr>
          <w:p>
            <w:pPr>
              <w:ind w:left="280"/>
              <w:spacing w:after="0"/>
              <w:rPr>
                <w:sz w:val="20"/>
                <w:szCs w:val="20"/>
                <w:color w:val="auto"/>
              </w:rPr>
            </w:pPr>
            <w:r>
              <w:rPr>
                <w:rFonts w:ascii="Arial" w:cs="Arial" w:eastAsia="Arial" w:hAnsi="Arial"/>
                <w:sz w:val="14"/>
                <w:szCs w:val="14"/>
                <w:color w:val="auto"/>
              </w:rPr>
              <w:t>Savings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84</w:t>
            </w:r>
          </w:p>
        </w:tc>
      </w:tr>
      <w:tr>
        <w:trPr>
          <w:trHeight w:val="270"/>
        </w:trPr>
        <w:tc>
          <w:tcPr>
            <w:tcW w:w="6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Time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8,771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4,198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16,955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7,154</w:t>
            </w:r>
          </w:p>
        </w:tc>
      </w:tr>
      <w:tr>
        <w:trPr>
          <w:trHeight w:val="250"/>
        </w:trPr>
        <w:tc>
          <w:tcPr>
            <w:tcW w:w="6540" w:type="dxa"/>
            <w:vAlign w:val="bottom"/>
            <w:gridSpan w:val="2"/>
          </w:tcPr>
          <w:p>
            <w:pPr>
              <w:ind w:left="380"/>
              <w:spacing w:after="0"/>
              <w:rPr>
                <w:sz w:val="20"/>
                <w:szCs w:val="20"/>
                <w:color w:val="auto"/>
              </w:rPr>
            </w:pPr>
            <w:r>
              <w:rPr>
                <w:rFonts w:ascii="Arial" w:cs="Arial" w:eastAsia="Arial" w:hAnsi="Arial"/>
                <w:sz w:val="14"/>
                <w:szCs w:val="14"/>
                <w:color w:val="auto"/>
              </w:rPr>
              <w:t>Total deposit interest expense</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17,115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8,119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33,072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14,412</w:t>
            </w:r>
          </w:p>
        </w:tc>
      </w:tr>
      <w:tr>
        <w:trPr>
          <w:trHeight w:val="27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Short-term borrowings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498</w:t>
            </w: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Federal Home Loan Bank advances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752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1,636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2,174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3,760</w:t>
            </w:r>
          </w:p>
        </w:tc>
      </w:tr>
      <w:tr>
        <w:trPr>
          <w:trHeight w:val="270"/>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Long-term debt</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3,257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3,786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6,599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7,074</w:t>
            </w:r>
          </w:p>
        </w:tc>
      </w:tr>
      <w:tr>
        <w:trPr>
          <w:trHeight w:val="250"/>
        </w:trPr>
        <w:tc>
          <w:tcPr>
            <w:tcW w:w="65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interest expense</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21,372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13,739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42,254</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25,744</w:t>
            </w:r>
          </w:p>
        </w:tc>
      </w:tr>
      <w:tr>
        <w:trPr>
          <w:trHeight w:val="256"/>
        </w:trPr>
        <w:tc>
          <w:tcPr>
            <w:tcW w:w="6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Net interest revenue</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117,784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108,476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233,418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211,761</w:t>
            </w:r>
          </w:p>
        </w:tc>
      </w:tr>
      <w:tr>
        <w:trPr>
          <w:trHeight w:val="264"/>
        </w:trPr>
        <w:tc>
          <w:tcPr>
            <w:tcW w:w="65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Provision for credit losses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3,250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6,550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5,600</w:t>
            </w:r>
          </w:p>
        </w:tc>
      </w:tr>
      <w:tr>
        <w:trPr>
          <w:trHeight w:val="250"/>
        </w:trPr>
        <w:tc>
          <w:tcPr>
            <w:tcW w:w="6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Net interest revenue after provision for credit losses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114,534</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106,676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226,868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206,161</w:t>
            </w:r>
          </w:p>
        </w:tc>
      </w:tr>
      <w:tr>
        <w:trPr>
          <w:trHeight w:val="243"/>
        </w:trPr>
        <w:tc>
          <w:tcPr>
            <w:tcW w:w="6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Noninterest income: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Service charges and fees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9,060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8,794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17,513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17,719</w:t>
            </w:r>
          </w:p>
        </w:tc>
      </w:tr>
      <w:tr>
        <w:trPr>
          <w:trHeight w:val="27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Mortgage loan and other related fees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5,344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5,307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9,092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10,666</w:t>
            </w: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Brokerage fees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1,588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1,201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2,925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2,073</w:t>
            </w:r>
          </w:p>
        </w:tc>
      </w:tr>
      <w:tr>
        <w:trPr>
          <w:trHeight w:val="27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Gains from sales of SBA/USDA loans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4,179</w:t>
            </w: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Securities gains (losses), net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(1,304)</w:t>
            </w:r>
          </w:p>
        </w:tc>
      </w:tr>
      <w:tr>
        <w:trPr>
          <w:trHeight w:val="270"/>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6,920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6,001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13,314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12,403</w:t>
            </w:r>
          </w:p>
        </w:tc>
      </w:tr>
      <w:tr>
        <w:trPr>
          <w:trHeight w:val="250"/>
        </w:trPr>
        <w:tc>
          <w:tcPr>
            <w:tcW w:w="65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noninterest income</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24,531</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23,340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45,499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45,736</w:t>
            </w:r>
          </w:p>
        </w:tc>
      </w:tr>
      <w:tr>
        <w:trPr>
          <w:trHeight w:val="250"/>
        </w:trPr>
        <w:tc>
          <w:tcPr>
            <w:tcW w:w="6540" w:type="dxa"/>
            <w:vAlign w:val="bottom"/>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Total revenue</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139,065</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130,016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272,367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251,897</w:t>
            </w:r>
          </w:p>
        </w:tc>
      </w:tr>
      <w:tr>
        <w:trPr>
          <w:trHeight w:val="243"/>
        </w:trPr>
        <w:tc>
          <w:tcPr>
            <w:tcW w:w="6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0"/>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Noninterest expenses: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Salaries and employee benefits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48,157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45,363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95,660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88,238</w:t>
            </w:r>
          </w:p>
        </w:tc>
      </w:tr>
      <w:tr>
        <w:trPr>
          <w:trHeight w:val="27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Communications and equipment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6,222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4,849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9,481</w:t>
            </w: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Occupancy</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5,919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5,547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11,503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11,160</w:t>
            </w:r>
          </w:p>
        </w:tc>
      </w:tr>
      <w:tr>
        <w:trPr>
          <w:trHeight w:val="27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Advertising and public relations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2,882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2,899</w:t>
            </w: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Postage, printing and supplies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1,529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1,685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3,115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3,322</w:t>
            </w:r>
          </w:p>
        </w:tc>
      </w:tr>
      <w:tr>
        <w:trPr>
          <w:trHeight w:val="27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Professional fees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4,054</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3,464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7,508</w:t>
            </w: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FDIC assessments and other regulatory charges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1,547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1,973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3,257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4,449</w:t>
            </w:r>
          </w:p>
        </w:tc>
      </w:tr>
      <w:tr>
        <w:trPr>
          <w:trHeight w:val="27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Amortization of intangibles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2,635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3,745</w:t>
            </w: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Merger-related and other charges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3,894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2,280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4,440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4,334</w:t>
            </w:r>
          </w:p>
        </w:tc>
      </w:tr>
      <w:tr>
        <w:trPr>
          <w:trHeight w:val="270"/>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7,553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8,458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15,180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15,189</w:t>
            </w:r>
          </w:p>
        </w:tc>
      </w:tr>
      <w:tr>
        <w:trPr>
          <w:trHeight w:val="250"/>
        </w:trPr>
        <w:tc>
          <w:tcPr>
            <w:tcW w:w="65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noninterest expenses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81,813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76,850</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157,897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150,325</w:t>
            </w:r>
          </w:p>
        </w:tc>
      </w:tr>
      <w:tr>
        <w:trPr>
          <w:trHeight w:val="256"/>
        </w:trPr>
        <w:tc>
          <w:tcPr>
            <w:tcW w:w="65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Net income before income taxes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57,252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53,166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114,470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101,572</w:t>
            </w:r>
          </w:p>
        </w:tc>
      </w:tr>
      <w:tr>
        <w:trPr>
          <w:trHeight w:val="264"/>
        </w:trPr>
        <w:tc>
          <w:tcPr>
            <w:tcW w:w="654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13,167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13,532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26,123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24,280</w:t>
            </w:r>
          </w:p>
        </w:tc>
      </w:tr>
      <w:tr>
        <w:trPr>
          <w:trHeight w:val="243"/>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Net income</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44,085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39,634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88,347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77,292</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4"/>
        </w:trPr>
        <w:tc>
          <w:tcPr>
            <w:tcW w:w="6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7"/>
        </w:trPr>
        <w:tc>
          <w:tcPr>
            <w:tcW w:w="6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available to common shareholders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43,769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39,359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87,716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76,740</w:t>
            </w:r>
          </w:p>
        </w:tc>
      </w:tr>
      <w:tr>
        <w:trPr>
          <w:trHeight w:val="20"/>
        </w:trPr>
        <w:tc>
          <w:tcPr>
            <w:tcW w:w="6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4"/>
        </w:trPr>
        <w:tc>
          <w:tcPr>
            <w:tcW w:w="6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70"/>
        </w:trPr>
        <w:tc>
          <w:tcPr>
            <w:tcW w:w="6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per common share:</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64"/>
        </w:trPr>
        <w:tc>
          <w:tcPr>
            <w:tcW w:w="6540" w:type="dxa"/>
            <w:vAlign w:val="bottom"/>
            <w:gridSpan w:val="2"/>
          </w:tcPr>
          <w:p>
            <w:pPr>
              <w:ind w:left="180"/>
              <w:spacing w:after="0"/>
              <w:rPr>
                <w:sz w:val="20"/>
                <w:szCs w:val="20"/>
                <w:color w:val="auto"/>
              </w:rPr>
            </w:pPr>
            <w:r>
              <w:rPr>
                <w:rFonts w:ascii="Arial" w:cs="Arial" w:eastAsia="Arial" w:hAnsi="Arial"/>
                <w:sz w:val="14"/>
                <w:szCs w:val="14"/>
                <w:color w:val="auto"/>
              </w:rPr>
              <w:t>Basic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0.55</w:t>
            </w:r>
          </w:p>
        </w:tc>
        <w:tc>
          <w:tcPr>
            <w:tcW w:w="12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0.49</w:t>
            </w:r>
          </w:p>
        </w:tc>
        <w:tc>
          <w:tcPr>
            <w:tcW w:w="12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0.97</w:t>
            </w:r>
          </w:p>
        </w:tc>
      </w:tr>
      <w:tr>
        <w:trPr>
          <w:trHeight w:val="276"/>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0.97</w:t>
            </w:r>
          </w:p>
        </w:tc>
      </w:tr>
      <w:tr>
        <w:trPr>
          <w:trHeight w:val="264"/>
        </w:trPr>
        <w:tc>
          <w:tcPr>
            <w:tcW w:w="6540" w:type="dxa"/>
            <w:vAlign w:val="bottom"/>
            <w:gridSpan w:val="2"/>
          </w:tcPr>
          <w:p>
            <w:pPr>
              <w:ind w:left="40"/>
              <w:spacing w:after="0"/>
              <w:rPr>
                <w:sz w:val="20"/>
                <w:szCs w:val="20"/>
                <w:color w:val="auto"/>
              </w:rPr>
            </w:pPr>
            <w:r>
              <w:rPr>
                <w:rFonts w:ascii="Arial" w:cs="Arial" w:eastAsia="Arial" w:hAnsi="Arial"/>
                <w:sz w:val="14"/>
                <w:szCs w:val="14"/>
                <w:color w:val="auto"/>
              </w:rPr>
              <w:t>Weighted average common shares outstanding:</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97"/>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79,673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79,745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79,739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79,477</w:t>
            </w:r>
          </w:p>
        </w:tc>
      </w:tr>
      <w:tr>
        <w:trPr>
          <w:trHeight w:val="55"/>
        </w:trPr>
        <w:tc>
          <w:tcPr>
            <w:tcW w:w="64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r>
    </w:tbl>
    <w:p>
      <w:pPr>
        <w:sectPr>
          <w:pgSz w:w="11900" w:h="16900" w:orient="portrait"/>
          <w:cols w:equalWidth="0" w:num="1">
            <w:col w:w="11420"/>
          </w:cols>
          <w:pgMar w:left="240" w:top="585" w:right="239" w:bottom="0" w:gutter="0" w:footer="0" w:header="0"/>
        </w:sectPr>
      </w:pPr>
    </w:p>
    <w:bookmarkStart w:id="4" w:name="page5"/>
    <w:bookmarkEnd w:id="4"/>
    <w:p>
      <w:pPr>
        <w:spacing w:after="0"/>
        <w:tabs>
          <w:tab w:leader="none" w:pos="6980" w:val="left"/>
          <w:tab w:leader="none" w:pos="8260" w:val="left"/>
          <w:tab w:leader="none" w:pos="9480" w:val="left"/>
          <w:tab w:leader="none" w:pos="1072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t>Diluted</w:t>
      </w:r>
      <w:r>
        <w:rPr>
          <w:sz w:val="20"/>
          <w:szCs w:val="20"/>
          <w:color w:val="auto"/>
        </w:rPr>
        <w:tab/>
      </w:r>
      <w:r>
        <w:rPr>
          <w:rFonts w:ascii="Arial" w:cs="Arial" w:eastAsia="Arial" w:hAnsi="Arial"/>
          <w:sz w:val="14"/>
          <w:szCs w:val="14"/>
          <w:color w:val="auto"/>
        </w:rPr>
        <w:t>79,678</w:t>
      </w:r>
      <w:r>
        <w:rPr>
          <w:sz w:val="20"/>
          <w:szCs w:val="20"/>
          <w:color w:val="auto"/>
        </w:rPr>
        <w:tab/>
      </w:r>
      <w:r>
        <w:rPr>
          <w:rFonts w:ascii="Arial" w:cs="Arial" w:eastAsia="Arial" w:hAnsi="Arial"/>
          <w:sz w:val="14"/>
          <w:szCs w:val="14"/>
          <w:color w:val="auto"/>
        </w:rPr>
        <w:t>79,755</w:t>
      </w:r>
      <w:r>
        <w:rPr>
          <w:sz w:val="20"/>
          <w:szCs w:val="20"/>
          <w:color w:val="auto"/>
        </w:rPr>
        <w:tab/>
      </w:r>
      <w:r>
        <w:rPr>
          <w:rFonts w:ascii="Arial" w:cs="Arial" w:eastAsia="Arial" w:hAnsi="Arial"/>
          <w:sz w:val="14"/>
          <w:szCs w:val="14"/>
          <w:color w:val="auto"/>
        </w:rPr>
        <w:t>79,745</w:t>
      </w:r>
      <w:r>
        <w:rPr>
          <w:sz w:val="20"/>
          <w:szCs w:val="20"/>
          <w:color w:val="auto"/>
        </w:rPr>
        <w:tab/>
      </w:r>
      <w:r>
        <w:rPr>
          <w:rFonts w:ascii="Arial" w:cs="Arial" w:eastAsia="Arial" w:hAnsi="Arial"/>
          <w:sz w:val="13"/>
          <w:szCs w:val="13"/>
          <w:color w:val="auto"/>
        </w:rPr>
        <w:t>79,487</w:t>
      </w:r>
    </w:p>
    <w:p>
      <w:pPr>
        <w:sectPr>
          <w:pgSz w:w="11900" w:h="16838" w:orient="portrait"/>
          <w:cols w:equalWidth="0" w:num="1">
            <w:col w:w="11140"/>
          </w:cols>
          <w:pgMar w:left="420" w:top="229" w:right="339" w:bottom="1440" w:gutter="0" w:footer="0" w:header="0"/>
        </w:sectPr>
      </w:pPr>
    </w:p>
    <w:p>
      <w:pPr>
        <w:spacing w:after="0" w:line="23"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See accompanying notes to consolidated financial statements (unaudited).</w:t>
      </w:r>
    </w:p>
    <w:p>
      <w:pPr>
        <w:spacing w:after="0" w:line="26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420" w:top="229"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b w:val="1"/>
          <w:bCs w:val="1"/>
          <w:color w:val="auto"/>
        </w:rPr>
        <w:t>UNITED COMMUNITY BANKS,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Consolidated Statements of Comprehensive Income </w:t>
      </w:r>
      <w:r>
        <w:rPr>
          <w:rFonts w:ascii="Arial" w:cs="Arial" w:eastAsia="Arial" w:hAnsi="Arial"/>
          <w:sz w:val="16"/>
          <w:szCs w:val="16"/>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2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8"/>
                <w:szCs w:val="18"/>
                <w:color w:val="auto"/>
              </w:rPr>
            </w:pPr>
          </w:p>
        </w:tc>
        <w:tc>
          <w:tcPr>
            <w:tcW w:w="3340" w:type="dxa"/>
            <w:vAlign w:val="bottom"/>
            <w:gridSpan w:val="8"/>
          </w:tcPr>
          <w:p>
            <w:pPr>
              <w:ind w:left="520"/>
              <w:spacing w:after="0"/>
              <w:rPr>
                <w:sz w:val="20"/>
                <w:szCs w:val="20"/>
                <w:color w:val="auto"/>
              </w:rPr>
            </w:pPr>
            <w:r>
              <w:rPr>
                <w:rFonts w:ascii="Arial" w:cs="Arial" w:eastAsia="Arial" w:hAnsi="Arial"/>
                <w:sz w:val="16"/>
                <w:szCs w:val="16"/>
                <w:b w:val="1"/>
                <w:bCs w:val="1"/>
                <w:color w:val="auto"/>
              </w:rPr>
              <w:t>Three Months Ended June 30,</w:t>
            </w:r>
          </w:p>
        </w:tc>
        <w:tc>
          <w:tcPr>
            <w:tcW w:w="140" w:type="dxa"/>
            <w:vAlign w:val="bottom"/>
          </w:tcPr>
          <w:p>
            <w:pPr>
              <w:spacing w:after="0"/>
              <w:rPr>
                <w:sz w:val="18"/>
                <w:szCs w:val="18"/>
                <w:color w:val="auto"/>
              </w:rPr>
            </w:pPr>
          </w:p>
        </w:tc>
        <w:tc>
          <w:tcPr>
            <w:tcW w:w="2980" w:type="dxa"/>
            <w:vAlign w:val="bottom"/>
            <w:gridSpan w:val="7"/>
          </w:tcPr>
          <w:p>
            <w:pPr>
              <w:jc w:val="center"/>
              <w:ind w:right="41"/>
              <w:spacing w:after="0"/>
              <w:rPr>
                <w:sz w:val="20"/>
                <w:szCs w:val="20"/>
                <w:color w:val="auto"/>
              </w:rPr>
            </w:pPr>
            <w:r>
              <w:rPr>
                <w:rFonts w:ascii="Arial" w:cs="Arial" w:eastAsia="Arial" w:hAnsi="Arial"/>
                <w:sz w:val="16"/>
                <w:szCs w:val="16"/>
                <w:b w:val="1"/>
                <w:bCs w:val="1"/>
                <w:color w:val="auto"/>
                <w:w w:val="91"/>
              </w:rPr>
              <w:t>Six Months Ended June 30,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260"/>
              <w:spacing w:after="0"/>
              <w:rPr>
                <w:sz w:val="20"/>
                <w:szCs w:val="20"/>
                <w:color w:val="auto"/>
              </w:rPr>
            </w:pPr>
            <w:r>
              <w:rPr>
                <w:rFonts w:ascii="Arial" w:cs="Arial" w:eastAsia="Arial" w:hAnsi="Arial"/>
                <w:sz w:val="16"/>
                <w:szCs w:val="16"/>
                <w:b w:val="1"/>
                <w:bCs w:val="1"/>
                <w:color w:val="auto"/>
              </w:rPr>
              <w:t>Tax</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Tax</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Before-tax</w:t>
            </w:r>
          </w:p>
        </w:tc>
        <w:tc>
          <w:tcPr>
            <w:tcW w:w="16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(Expense)</w:t>
            </w:r>
          </w:p>
        </w:tc>
        <w:tc>
          <w:tcPr>
            <w:tcW w:w="10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Net of Tax</w:t>
            </w:r>
          </w:p>
        </w:tc>
        <w:tc>
          <w:tcPr>
            <w:tcW w:w="10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Before-tax</w:t>
            </w: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(Expense)</w:t>
            </w:r>
          </w:p>
        </w:tc>
        <w:tc>
          <w:tcPr>
            <w:tcW w:w="90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Net of Tax</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Benefit</w:t>
            </w:r>
          </w:p>
        </w:tc>
        <w:tc>
          <w:tcPr>
            <w:tcW w:w="140" w:type="dxa"/>
            <w:vAlign w:val="bottom"/>
          </w:tcPr>
          <w:p>
            <w:pPr>
              <w:spacing w:after="0"/>
              <w:rPr>
                <w:sz w:val="18"/>
                <w:szCs w:val="18"/>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Amount</w:t>
            </w:r>
          </w:p>
        </w:tc>
        <w:tc>
          <w:tcPr>
            <w:tcW w:w="14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Amount</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Benefit</w:t>
            </w:r>
          </w:p>
        </w:tc>
        <w:tc>
          <w:tcPr>
            <w:tcW w:w="140" w:type="dxa"/>
            <w:vAlign w:val="bottom"/>
          </w:tcPr>
          <w:p>
            <w:pPr>
              <w:spacing w:after="0"/>
              <w:rPr>
                <w:sz w:val="18"/>
                <w:szCs w:val="18"/>
                <w:color w:val="auto"/>
              </w:rPr>
            </w:pPr>
          </w:p>
        </w:tc>
        <w:tc>
          <w:tcPr>
            <w:tcW w:w="760" w:type="dxa"/>
            <w:vAlign w:val="bottom"/>
          </w:tcPr>
          <w:p>
            <w:pPr>
              <w:jc w:val="right"/>
              <w:ind w:right="81"/>
              <w:spacing w:after="0"/>
              <w:rPr>
                <w:sz w:val="20"/>
                <w:szCs w:val="20"/>
                <w:color w:val="auto"/>
              </w:rPr>
            </w:pPr>
            <w:r>
              <w:rPr>
                <w:rFonts w:ascii="Arial" w:cs="Arial" w:eastAsia="Arial" w:hAnsi="Arial"/>
                <w:sz w:val="16"/>
                <w:szCs w:val="16"/>
                <w:b w:val="1"/>
                <w:bCs w:val="1"/>
                <w:color w:val="auto"/>
                <w:w w:val="95"/>
              </w:rPr>
              <w:t>Amount</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47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4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57,252</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(13,167)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44,085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114,470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(26,123)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88,347</w:t>
            </w:r>
          </w:p>
        </w:tc>
        <w:tc>
          <w:tcPr>
            <w:tcW w:w="0" w:type="dxa"/>
            <w:vAlign w:val="bottom"/>
          </w:tcPr>
          <w:p>
            <w:pPr>
              <w:spacing w:after="0"/>
              <w:rPr>
                <w:sz w:val="1"/>
                <w:szCs w:val="1"/>
                <w:color w:val="auto"/>
              </w:rPr>
            </w:pPr>
          </w:p>
        </w:tc>
      </w:tr>
      <w:tr>
        <w:trPr>
          <w:trHeight w:val="249"/>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Other comprehensive income:</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Unrealized gains on available-for-sale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820" w:type="dxa"/>
            <w:vAlign w:val="bottom"/>
            <w:gridSpan w:val="2"/>
          </w:tcPr>
          <w:p>
            <w:pPr>
              <w:ind w:left="280"/>
              <w:spacing w:after="0"/>
              <w:rPr>
                <w:sz w:val="20"/>
                <w:szCs w:val="20"/>
                <w:color w:val="auto"/>
              </w:rPr>
            </w:pPr>
            <w:r>
              <w:rPr>
                <w:rFonts w:ascii="Arial" w:cs="Arial" w:eastAsia="Arial" w:hAnsi="Arial"/>
                <w:sz w:val="16"/>
                <w:szCs w:val="16"/>
                <w:color w:val="auto"/>
              </w:rPr>
              <w:t>Unrealized holding gains arising during period</w:t>
            </w:r>
          </w:p>
        </w:tc>
        <w:tc>
          <w:tcPr>
            <w:tcW w:w="14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29,756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(7,248)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22,508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62,930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47,633</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w w:val="93"/>
              </w:rPr>
              <w:t>Reclassification adjustment for (gains) losses included in net income</w:t>
            </w: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29"/>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Net unrealized gains</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29,607</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(7,210)</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22,397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63,048</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(15,327)</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47,721</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8"/>
              </w:rPr>
              <w:t>Amortization of losses included in net income on available-for-sale</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securities transferred to held-to-maturity</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93</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183"/>
        </w:trPr>
        <w:tc>
          <w:tcPr>
            <w:tcW w:w="4820" w:type="dxa"/>
            <w:vAlign w:val="bottom"/>
            <w:gridSpan w:val="2"/>
          </w:tcPr>
          <w:p>
            <w:pPr>
              <w:ind w:left="180"/>
              <w:spacing w:after="0"/>
              <w:rPr>
                <w:sz w:val="20"/>
                <w:szCs w:val="20"/>
                <w:color w:val="auto"/>
              </w:rPr>
            </w:pPr>
            <w:r>
              <w:rPr>
                <w:rFonts w:ascii="Arial" w:cs="Arial" w:eastAsia="Arial" w:hAnsi="Arial"/>
                <w:sz w:val="16"/>
                <w:szCs w:val="16"/>
                <w:color w:val="auto"/>
                <w:w w:val="93"/>
              </w:rPr>
              <w:t>Amortization of losses included in net income on terminated derivative</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gridSpan w:val="2"/>
          </w:tcPr>
          <w:p>
            <w:pPr>
              <w:ind w:left="180"/>
              <w:spacing w:after="0" w:line="176" w:lineRule="exact"/>
              <w:rPr>
                <w:sz w:val="20"/>
                <w:szCs w:val="20"/>
                <w:color w:val="auto"/>
              </w:rPr>
            </w:pPr>
            <w:r>
              <w:rPr>
                <w:rFonts w:ascii="Arial" w:cs="Arial" w:eastAsia="Arial" w:hAnsi="Arial"/>
                <w:sz w:val="16"/>
                <w:szCs w:val="16"/>
                <w:color w:val="auto"/>
                <w:w w:val="94"/>
              </w:rPr>
              <w:t>financial instruments that were previously accounted for as cash flow</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820" w:type="dxa"/>
            <w:vAlign w:val="bottom"/>
            <w:gridSpan w:val="2"/>
          </w:tcPr>
          <w:p>
            <w:pPr>
              <w:ind w:left="180"/>
              <w:spacing w:after="0"/>
              <w:rPr>
                <w:sz w:val="20"/>
                <w:szCs w:val="20"/>
                <w:color w:val="auto"/>
              </w:rPr>
            </w:pPr>
            <w:r>
              <w:rPr>
                <w:rFonts w:ascii="Arial" w:cs="Arial" w:eastAsia="Arial" w:hAnsi="Arial"/>
                <w:sz w:val="16"/>
                <w:szCs w:val="16"/>
                <w:color w:val="auto"/>
              </w:rPr>
              <w:t>hedges</w:t>
            </w:r>
          </w:p>
        </w:tc>
        <w:tc>
          <w:tcPr>
            <w:tcW w:w="14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235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5"/>
              </w:rPr>
              <w:t>Amortization of prior service cost and actuarial losses included in net</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periodic pension cost for defined benefit pension plan</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173</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29"/>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Total other comprehensive income</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30,108</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(7,336)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22,772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63,909</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(15,543)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48,366</w:t>
            </w:r>
          </w:p>
        </w:tc>
        <w:tc>
          <w:tcPr>
            <w:tcW w:w="0" w:type="dxa"/>
            <w:vAlign w:val="bottom"/>
          </w:tcPr>
          <w:p>
            <w:pPr>
              <w:spacing w:after="0"/>
              <w:rPr>
                <w:sz w:val="1"/>
                <w:szCs w:val="1"/>
                <w:color w:val="auto"/>
              </w:rPr>
            </w:pP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87,360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(20,503)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66,857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178,379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(41,666)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136,713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53,166</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(13,532)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39,634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101,572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(24,280)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77,292</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820" w:type="dxa"/>
            <w:vAlign w:val="bottom"/>
            <w:gridSpan w:val="2"/>
          </w:tcPr>
          <w:p>
            <w:pPr>
              <w:ind w:left="180"/>
              <w:spacing w:after="0"/>
              <w:rPr>
                <w:sz w:val="20"/>
                <w:szCs w:val="20"/>
                <w:color w:val="auto"/>
              </w:rPr>
            </w:pPr>
            <w:r>
              <w:rPr>
                <w:rFonts w:ascii="Arial" w:cs="Arial" w:eastAsia="Arial" w:hAnsi="Arial"/>
                <w:sz w:val="16"/>
                <w:szCs w:val="16"/>
                <w:color w:val="auto"/>
              </w:rPr>
              <w:t>Unrealized losses on available-for-sale securities: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Unrealized holding losses arising during period</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(9,574)</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9,464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(29,374)</w:t>
            </w:r>
          </w:p>
        </w:tc>
        <w:tc>
          <w:tcPr>
            <w:tcW w:w="0" w:type="dxa"/>
            <w:vAlign w:val="bottom"/>
          </w:tcPr>
          <w:p>
            <w:pPr>
              <w:spacing w:after="0"/>
              <w:rPr>
                <w:sz w:val="1"/>
                <w:szCs w:val="1"/>
                <w:color w:val="auto"/>
              </w:rPr>
            </w:pPr>
          </w:p>
        </w:tc>
      </w:tr>
      <w:tr>
        <w:trPr>
          <w:trHeight w:val="249"/>
        </w:trPr>
        <w:tc>
          <w:tcPr>
            <w:tcW w:w="4820" w:type="dxa"/>
            <w:vAlign w:val="bottom"/>
            <w:gridSpan w:val="2"/>
          </w:tcPr>
          <w:p>
            <w:pPr>
              <w:ind w:left="280"/>
              <w:spacing w:after="0"/>
              <w:rPr>
                <w:sz w:val="20"/>
                <w:szCs w:val="20"/>
                <w:color w:val="auto"/>
              </w:rPr>
            </w:pPr>
            <w:r>
              <w:rPr>
                <w:rFonts w:ascii="Arial" w:cs="Arial" w:eastAsia="Arial" w:hAnsi="Arial"/>
                <w:sz w:val="16"/>
                <w:szCs w:val="16"/>
                <w:color w:val="auto"/>
              </w:rPr>
              <w:t>Reclassification adjustment for losses included in net income</w:t>
            </w:r>
          </w:p>
        </w:tc>
        <w:tc>
          <w:tcPr>
            <w:tcW w:w="140" w:type="dxa"/>
            <w:vAlign w:val="bottom"/>
          </w:tcPr>
          <w:p>
            <w:pPr>
              <w:spacing w:after="0"/>
              <w:rPr>
                <w:sz w:val="21"/>
                <w:szCs w:val="21"/>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364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1,304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987</w:t>
            </w:r>
          </w:p>
        </w:tc>
        <w:tc>
          <w:tcPr>
            <w:tcW w:w="0" w:type="dxa"/>
            <w:vAlign w:val="bottom"/>
          </w:tcPr>
          <w:p>
            <w:pPr>
              <w:spacing w:after="0"/>
              <w:rPr>
                <w:sz w:val="1"/>
                <w:szCs w:val="1"/>
                <w:color w:val="auto"/>
              </w:rPr>
            </w:pP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Net unrealized losses</w:t>
            </w: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(9,210)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2,213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(6,997)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(37,534)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9,147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(28,387)</w:t>
            </w:r>
          </w:p>
        </w:tc>
        <w:tc>
          <w:tcPr>
            <w:tcW w:w="0" w:type="dxa"/>
            <w:vAlign w:val="bottom"/>
          </w:tcPr>
          <w:p>
            <w:pPr>
              <w:spacing w:after="0"/>
              <w:rPr>
                <w:sz w:val="1"/>
                <w:szCs w:val="1"/>
                <w:color w:val="auto"/>
              </w:rPr>
            </w:pPr>
          </w:p>
        </w:tc>
      </w:tr>
      <w:tr>
        <w:trPr>
          <w:trHeight w:val="183"/>
        </w:trPr>
        <w:tc>
          <w:tcPr>
            <w:tcW w:w="4820" w:type="dxa"/>
            <w:vAlign w:val="bottom"/>
            <w:gridSpan w:val="2"/>
          </w:tcPr>
          <w:p>
            <w:pPr>
              <w:ind w:left="180"/>
              <w:spacing w:after="0"/>
              <w:rPr>
                <w:sz w:val="20"/>
                <w:szCs w:val="20"/>
                <w:color w:val="auto"/>
              </w:rPr>
            </w:pPr>
            <w:r>
              <w:rPr>
                <w:rFonts w:ascii="Arial" w:cs="Arial" w:eastAsia="Arial" w:hAnsi="Arial"/>
                <w:sz w:val="16"/>
                <w:szCs w:val="16"/>
                <w:color w:val="auto"/>
                <w:w w:val="98"/>
              </w:rPr>
              <w:t>Amortization of losses included in net income on available-for-sale</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820" w:type="dxa"/>
            <w:vAlign w:val="bottom"/>
            <w:gridSpan w:val="2"/>
          </w:tcPr>
          <w:p>
            <w:pPr>
              <w:ind w:left="180"/>
              <w:spacing w:after="0"/>
              <w:rPr>
                <w:sz w:val="20"/>
                <w:szCs w:val="20"/>
                <w:color w:val="auto"/>
              </w:rPr>
            </w:pPr>
            <w:r>
              <w:rPr>
                <w:rFonts w:ascii="Arial" w:cs="Arial" w:eastAsia="Arial" w:hAnsi="Arial"/>
                <w:sz w:val="16"/>
                <w:szCs w:val="16"/>
                <w:color w:val="auto"/>
              </w:rPr>
              <w:t>securities transferred to held-to-maturity</w:t>
            </w:r>
          </w:p>
        </w:tc>
        <w:tc>
          <w:tcPr>
            <w:tcW w:w="14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218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3"/>
              </w:rPr>
              <w:t>Amortization of losses included in net income on terminated derivative</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2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6"/>
                <w:szCs w:val="16"/>
                <w:color w:val="auto"/>
                <w:w w:val="94"/>
              </w:rPr>
              <w:t>financial instruments that were previously accounted for as cash flow</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hedges</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143</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49"/>
        </w:trPr>
        <w:tc>
          <w:tcPr>
            <w:tcW w:w="4820" w:type="dxa"/>
            <w:vAlign w:val="bottom"/>
            <w:gridSpan w:val="2"/>
          </w:tcPr>
          <w:p>
            <w:pPr>
              <w:ind w:left="180"/>
              <w:spacing w:after="0"/>
              <w:rPr>
                <w:sz w:val="20"/>
                <w:szCs w:val="20"/>
                <w:color w:val="auto"/>
              </w:rPr>
            </w:pPr>
            <w:r>
              <w:rPr>
                <w:rFonts w:ascii="Arial" w:cs="Arial" w:eastAsia="Arial" w:hAnsi="Arial"/>
                <w:sz w:val="16"/>
                <w:szCs w:val="16"/>
                <w:color w:val="auto"/>
              </w:rPr>
              <w:t>Defined benefit pension plan activity:</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Net actuarial loss on defined benefit pension plan</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3"/>
        </w:trPr>
        <w:tc>
          <w:tcPr>
            <w:tcW w:w="4820" w:type="dxa"/>
            <w:vAlign w:val="bottom"/>
            <w:gridSpan w:val="2"/>
          </w:tcPr>
          <w:p>
            <w:pPr>
              <w:ind w:left="280"/>
              <w:spacing w:after="0"/>
              <w:rPr>
                <w:sz w:val="20"/>
                <w:szCs w:val="20"/>
                <w:color w:val="auto"/>
              </w:rPr>
            </w:pPr>
            <w:r>
              <w:rPr>
                <w:rFonts w:ascii="Arial" w:cs="Arial" w:eastAsia="Arial" w:hAnsi="Arial"/>
                <w:sz w:val="16"/>
                <w:szCs w:val="16"/>
                <w:color w:val="auto"/>
                <w:w w:val="93"/>
              </w:rPr>
              <w:t>Amortization of prior service cost and actuarial losses included in net</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820" w:type="dxa"/>
            <w:vAlign w:val="bottom"/>
            <w:gridSpan w:val="2"/>
          </w:tcPr>
          <w:p>
            <w:pPr>
              <w:ind w:left="280"/>
              <w:spacing w:after="0"/>
              <w:rPr>
                <w:sz w:val="20"/>
                <w:szCs w:val="20"/>
                <w:color w:val="auto"/>
              </w:rPr>
            </w:pPr>
            <w:r>
              <w:rPr>
                <w:rFonts w:ascii="Arial" w:cs="Arial" w:eastAsia="Arial" w:hAnsi="Arial"/>
                <w:sz w:val="16"/>
                <w:szCs w:val="16"/>
                <w:color w:val="auto"/>
              </w:rPr>
              <w:t>periodic pension cost for defined benefit pension plan</w:t>
            </w:r>
          </w:p>
        </w:tc>
        <w:tc>
          <w:tcPr>
            <w:tcW w:w="14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227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454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Net defined benefit pension plan activity</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29"/>
        </w:trPr>
        <w:tc>
          <w:tcPr>
            <w:tcW w:w="4820" w:type="dxa"/>
            <w:vAlign w:val="bottom"/>
            <w:gridSpan w:val="2"/>
          </w:tcPr>
          <w:p>
            <w:pPr>
              <w:ind w:left="380"/>
              <w:spacing w:after="0"/>
              <w:rPr>
                <w:sz w:val="20"/>
                <w:szCs w:val="20"/>
                <w:color w:val="auto"/>
              </w:rPr>
            </w:pPr>
            <w:r>
              <w:rPr>
                <w:rFonts w:ascii="Arial" w:cs="Arial" w:eastAsia="Arial" w:hAnsi="Arial"/>
                <w:sz w:val="16"/>
                <w:szCs w:val="16"/>
                <w:color w:val="auto"/>
              </w:rPr>
              <w:t>Total other comprehensive loss</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(8,622)</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2,047</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(6,575)</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(36,356)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8,832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(27,524)</w:t>
            </w:r>
          </w:p>
        </w:tc>
        <w:tc>
          <w:tcPr>
            <w:tcW w:w="0" w:type="dxa"/>
            <w:vAlign w:val="bottom"/>
          </w:tcPr>
          <w:p>
            <w:pPr>
              <w:spacing w:after="0"/>
              <w:rPr>
                <w:sz w:val="1"/>
                <w:szCs w:val="1"/>
                <w:color w:val="auto"/>
              </w:rPr>
            </w:pP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Comprehensive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44,544</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(11,485)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33,059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65,216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49,768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74" w:right="239" w:bottom="1440" w:gutter="0" w:footer="0" w:header="0"/>
        </w:sectPr>
      </w:pPr>
    </w:p>
    <w:bookmarkStart w:id="6" w:name="page7"/>
    <w:bookmarkEnd w:id="6"/>
    <w:p>
      <w:pPr>
        <w:ind w:left="8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Consolidated Balance Sheets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60" w:type="dxa"/>
            <w:vAlign w:val="bottom"/>
            <w:gridSpan w:val="2"/>
          </w:tcPr>
          <w:p>
            <w:pPr>
              <w:ind w:left="40"/>
              <w:spacing w:after="0"/>
              <w:rPr>
                <w:sz w:val="20"/>
                <w:szCs w:val="20"/>
                <w:color w:val="auto"/>
              </w:rPr>
            </w:pPr>
            <w:r>
              <w:rPr>
                <w:rFonts w:ascii="Arial" w:cs="Arial" w:eastAsia="Arial" w:hAnsi="Arial"/>
                <w:sz w:val="16"/>
                <w:szCs w:val="16"/>
                <w:i w:val="1"/>
                <w:iCs w:val="1"/>
                <w:color w:val="auto"/>
              </w:rPr>
              <w:t>(in thousands, except share data)</w:t>
            </w:r>
          </w:p>
        </w:tc>
        <w:tc>
          <w:tcPr>
            <w:tcW w:w="28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2018</w:t>
            </w:r>
          </w:p>
        </w:tc>
        <w:tc>
          <w:tcPr>
            <w:tcW w:w="0" w:type="dxa"/>
            <w:vAlign w:val="bottom"/>
          </w:tcPr>
          <w:p>
            <w:pPr>
              <w:spacing w:after="0"/>
              <w:rPr>
                <w:sz w:val="1"/>
                <w:szCs w:val="1"/>
                <w:color w:val="auto"/>
              </w:rPr>
            </w:pPr>
          </w:p>
        </w:tc>
      </w:tr>
      <w:tr>
        <w:trPr>
          <w:trHeight w:val="33"/>
        </w:trPr>
        <w:tc>
          <w:tcPr>
            <w:tcW w:w="8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6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Cash and due from banks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118,361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126,083</w:t>
            </w:r>
          </w:p>
        </w:tc>
        <w:tc>
          <w:tcPr>
            <w:tcW w:w="0" w:type="dxa"/>
            <w:vAlign w:val="bottom"/>
          </w:tcPr>
          <w:p>
            <w:pPr>
              <w:spacing w:after="0"/>
              <w:rPr>
                <w:sz w:val="1"/>
                <w:szCs w:val="1"/>
                <w:color w:val="auto"/>
              </w:rPr>
            </w:pP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Interest-bearing deposits in banks (includes restricted cash of $5,729 and $6,702)</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157,418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201,182</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275,779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327,265</w:t>
            </w:r>
          </w:p>
        </w:tc>
        <w:tc>
          <w:tcPr>
            <w:tcW w:w="0" w:type="dxa"/>
            <w:vAlign w:val="bottom"/>
          </w:tcPr>
          <w:p>
            <w:pPr>
              <w:spacing w:after="0"/>
              <w:rPr>
                <w:sz w:val="1"/>
                <w:szCs w:val="1"/>
                <w:color w:val="auto"/>
              </w:rPr>
            </w:pP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Debt securities available for sale</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2,366,502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2,628,467</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Debt securities held to maturity (fair value $256,975 and $268,803)</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253,398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274,407</w:t>
            </w:r>
          </w:p>
        </w:tc>
        <w:tc>
          <w:tcPr>
            <w:tcW w:w="0" w:type="dxa"/>
            <w:vAlign w:val="bottom"/>
          </w:tcPr>
          <w:p>
            <w:pPr>
              <w:spacing w:after="0"/>
              <w:rPr>
                <w:sz w:val="1"/>
                <w:szCs w:val="1"/>
                <w:color w:val="auto"/>
              </w:rPr>
            </w:pP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Loans held for sale at fair value</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46,285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18,935</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Loans and leases, net of unearned income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8,838,218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8,383,401</w:t>
            </w:r>
          </w:p>
        </w:tc>
        <w:tc>
          <w:tcPr>
            <w:tcW w:w="0" w:type="dxa"/>
            <w:vAlign w:val="bottom"/>
          </w:tcPr>
          <w:p>
            <w:pPr>
              <w:spacing w:after="0"/>
              <w:rPr>
                <w:sz w:val="1"/>
                <w:szCs w:val="1"/>
                <w:color w:val="auto"/>
              </w:rPr>
            </w:pPr>
          </w:p>
        </w:tc>
      </w:tr>
      <w:tr>
        <w:trPr>
          <w:trHeight w:val="237"/>
        </w:trPr>
        <w:tc>
          <w:tcPr>
            <w:tcW w:w="8360" w:type="dxa"/>
            <w:vAlign w:val="bottom"/>
            <w:gridSpan w:val="2"/>
          </w:tcPr>
          <w:p>
            <w:pPr>
              <w:ind w:left="380"/>
              <w:spacing w:after="0"/>
              <w:rPr>
                <w:sz w:val="20"/>
                <w:szCs w:val="20"/>
                <w:color w:val="auto"/>
              </w:rPr>
            </w:pPr>
            <w:r>
              <w:rPr>
                <w:rFonts w:ascii="Arial" w:cs="Arial" w:eastAsia="Arial" w:hAnsi="Arial"/>
                <w:sz w:val="16"/>
                <w:szCs w:val="16"/>
                <w:color w:val="auto"/>
              </w:rPr>
              <w:t>Less allowance for loan and lease losses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(62,204)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(61,203)</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Loans and leases, net</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8,776,014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8,322,198</w:t>
            </w:r>
          </w:p>
        </w:tc>
        <w:tc>
          <w:tcPr>
            <w:tcW w:w="0" w:type="dxa"/>
            <w:vAlign w:val="bottom"/>
          </w:tcPr>
          <w:p>
            <w:pPr>
              <w:spacing w:after="0"/>
              <w:rPr>
                <w:sz w:val="1"/>
                <w:szCs w:val="1"/>
                <w:color w:val="auto"/>
              </w:rPr>
            </w:pP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Premises and equipment, net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217,086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206,140</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Bank owned life insurance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200,993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192,616</w:t>
            </w:r>
          </w:p>
        </w:tc>
        <w:tc>
          <w:tcPr>
            <w:tcW w:w="0" w:type="dxa"/>
            <w:vAlign w:val="bottom"/>
          </w:tcPr>
          <w:p>
            <w:pPr>
              <w:spacing w:after="0"/>
              <w:rPr>
                <w:sz w:val="1"/>
                <w:szCs w:val="1"/>
                <w:color w:val="auto"/>
              </w:rPr>
            </w:pP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Accrued interest receivable</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35,439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35,413</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Net deferred tax asset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40,870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64,224</w:t>
            </w:r>
          </w:p>
        </w:tc>
        <w:tc>
          <w:tcPr>
            <w:tcW w:w="0" w:type="dxa"/>
            <w:vAlign w:val="bottom"/>
          </w:tcPr>
          <w:p>
            <w:pPr>
              <w:spacing w:after="0"/>
              <w:rPr>
                <w:sz w:val="1"/>
                <w:szCs w:val="1"/>
                <w:color w:val="auto"/>
              </w:rPr>
            </w:pP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Derivative financial instruments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35,209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24,705</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Goodwill and other 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344,550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324,072</w:t>
            </w:r>
          </w:p>
        </w:tc>
        <w:tc>
          <w:tcPr>
            <w:tcW w:w="0" w:type="dxa"/>
            <w:vAlign w:val="bottom"/>
          </w:tcPr>
          <w:p>
            <w:pPr>
              <w:spacing w:after="0"/>
              <w:rPr>
                <w:sz w:val="1"/>
                <w:szCs w:val="1"/>
                <w:color w:val="auto"/>
              </w:rPr>
            </w:pP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Other assets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187,313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154,750</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12,779,438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12,573,192</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Deposits: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Noninterest-bearing demand</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3,461,584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3,210,220</w:t>
            </w:r>
          </w:p>
        </w:tc>
        <w:tc>
          <w:tcPr>
            <w:tcW w:w="0" w:type="dxa"/>
            <w:vAlign w:val="bottom"/>
          </w:tcPr>
          <w:p>
            <w:pPr>
              <w:spacing w:after="0"/>
              <w:rPr>
                <w:sz w:val="1"/>
                <w:szCs w:val="1"/>
                <w:color w:val="auto"/>
              </w:rPr>
            </w:pP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NOW and interest-bearing demand</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2,059,694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2,274,775</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Money market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2,281,818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2,097,526</w:t>
            </w:r>
          </w:p>
        </w:tc>
        <w:tc>
          <w:tcPr>
            <w:tcW w:w="0" w:type="dxa"/>
            <w:vAlign w:val="bottom"/>
          </w:tcPr>
          <w:p>
            <w:pPr>
              <w:spacing w:after="0"/>
              <w:rPr>
                <w:sz w:val="1"/>
                <w:szCs w:val="1"/>
                <w:color w:val="auto"/>
              </w:rPr>
            </w:pP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Savings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693,961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669,886</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Time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1,840,271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1,598,391</w:t>
            </w:r>
          </w:p>
        </w:tc>
        <w:tc>
          <w:tcPr>
            <w:tcW w:w="0" w:type="dxa"/>
            <w:vAlign w:val="bottom"/>
          </w:tcPr>
          <w:p>
            <w:pPr>
              <w:spacing w:after="0"/>
              <w:rPr>
                <w:sz w:val="1"/>
                <w:szCs w:val="1"/>
                <w:color w:val="auto"/>
              </w:rPr>
            </w:pPr>
          </w:p>
        </w:tc>
      </w:tr>
      <w:tr>
        <w:trPr>
          <w:trHeight w:val="237"/>
        </w:trPr>
        <w:tc>
          <w:tcPr>
            <w:tcW w:w="8360" w:type="dxa"/>
            <w:vAlign w:val="bottom"/>
            <w:gridSpan w:val="2"/>
          </w:tcPr>
          <w:p>
            <w:pPr>
              <w:ind w:left="280"/>
              <w:spacing w:after="0"/>
              <w:rPr>
                <w:sz w:val="20"/>
                <w:szCs w:val="20"/>
                <w:color w:val="auto"/>
              </w:rPr>
            </w:pPr>
            <w:r>
              <w:rPr>
                <w:rFonts w:ascii="Arial" w:cs="Arial" w:eastAsia="Arial" w:hAnsi="Arial"/>
                <w:sz w:val="16"/>
                <w:szCs w:val="16"/>
                <w:color w:val="auto"/>
              </w:rPr>
              <w:t>Brokered</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253,942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683,715</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deposits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10,591,270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10,534,513</w:t>
            </w:r>
          </w:p>
        </w:tc>
        <w:tc>
          <w:tcPr>
            <w:tcW w:w="0" w:type="dxa"/>
            <w:vAlign w:val="bottom"/>
          </w:tcPr>
          <w:p>
            <w:pPr>
              <w:spacing w:after="0"/>
              <w:rPr>
                <w:sz w:val="1"/>
                <w:szCs w:val="1"/>
                <w:color w:val="auto"/>
              </w:rPr>
            </w:pP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Short-term borrowings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40,000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Federal Home Loan Bank advances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160,000</w:t>
            </w:r>
          </w:p>
        </w:tc>
        <w:tc>
          <w:tcPr>
            <w:tcW w:w="0" w:type="dxa"/>
            <w:vAlign w:val="bottom"/>
          </w:tcPr>
          <w:p>
            <w:pPr>
              <w:spacing w:after="0"/>
              <w:rPr>
                <w:sz w:val="1"/>
                <w:szCs w:val="1"/>
                <w:color w:val="auto"/>
              </w:rPr>
            </w:pP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247,952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267,189</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Derivative financial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26,433</w:t>
            </w:r>
          </w:p>
        </w:tc>
        <w:tc>
          <w:tcPr>
            <w:tcW w:w="0" w:type="dxa"/>
            <w:vAlign w:val="bottom"/>
          </w:tcPr>
          <w:p>
            <w:pPr>
              <w:spacing w:after="0"/>
              <w:rPr>
                <w:sz w:val="1"/>
                <w:szCs w:val="1"/>
                <w:color w:val="auto"/>
              </w:rPr>
            </w:pP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157,113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127,503</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b w:val="1"/>
                <w:bCs w:val="1"/>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11,213,104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11,115,638</w:t>
            </w:r>
          </w:p>
        </w:tc>
        <w:tc>
          <w:tcPr>
            <w:tcW w:w="0" w:type="dxa"/>
            <w:vAlign w:val="bottom"/>
          </w:tcPr>
          <w:p>
            <w:pPr>
              <w:spacing w:after="0"/>
              <w:rPr>
                <w:sz w:val="1"/>
                <w:szCs w:val="1"/>
                <w:color w:val="auto"/>
              </w:rPr>
            </w:pPr>
          </w:p>
        </w:tc>
      </w:tr>
      <w:tr>
        <w:trPr>
          <w:trHeight w:val="231"/>
        </w:trPr>
        <w:tc>
          <w:tcPr>
            <w:tcW w:w="8360" w:type="dxa"/>
            <w:vAlign w:val="bottom"/>
            <w:gridSpan w:val="2"/>
          </w:tcPr>
          <w:p>
            <w:pPr>
              <w:ind w:left="40"/>
              <w:spacing w:after="0"/>
              <w:rPr>
                <w:sz w:val="20"/>
                <w:szCs w:val="20"/>
                <w:color w:val="auto"/>
              </w:rPr>
            </w:pPr>
            <w:r>
              <w:rPr>
                <w:rFonts w:ascii="Arial" w:cs="Arial" w:eastAsia="Arial" w:hAnsi="Arial"/>
                <w:sz w:val="16"/>
                <w:szCs w:val="16"/>
                <w:color w:val="auto"/>
              </w:rPr>
              <w:t>Shareholders' equity:</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Common stock, $1 par value; 150,000,000 shares authorized;</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79,075,219 and 79,234,077 shares issued and outstanding</w:t>
            </w:r>
          </w:p>
        </w:tc>
        <w:tc>
          <w:tcPr>
            <w:tcW w:w="2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79,075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79,234</w:t>
            </w:r>
          </w:p>
        </w:tc>
        <w:tc>
          <w:tcPr>
            <w:tcW w:w="0" w:type="dxa"/>
            <w:vAlign w:val="bottom"/>
          </w:tcPr>
          <w:p>
            <w:pPr>
              <w:spacing w:after="0"/>
              <w:rPr>
                <w:sz w:val="1"/>
                <w:szCs w:val="1"/>
                <w:color w:val="auto"/>
              </w:rPr>
            </w:pP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Common stock issuable; 641,725 and 674,499 shares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10,858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10,744</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Capital surplus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1,498,740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1,499,584</w:t>
            </w:r>
          </w:p>
        </w:tc>
        <w:tc>
          <w:tcPr>
            <w:tcW w:w="0" w:type="dxa"/>
            <w:vAlign w:val="bottom"/>
          </w:tcPr>
          <w:p>
            <w:pPr>
              <w:spacing w:after="0"/>
              <w:rPr>
                <w:sz w:val="1"/>
                <w:szCs w:val="1"/>
                <w:color w:val="auto"/>
              </w:rPr>
            </w:pPr>
          </w:p>
        </w:tc>
      </w:tr>
      <w:tr>
        <w:trPr>
          <w:trHeight w:val="237"/>
        </w:trPr>
        <w:tc>
          <w:tcPr>
            <w:tcW w:w="8360" w:type="dxa"/>
            <w:vAlign w:val="bottom"/>
            <w:gridSpan w:val="2"/>
          </w:tcPr>
          <w:p>
            <w:pPr>
              <w:ind w:left="180"/>
              <w:spacing w:after="0"/>
              <w:rPr>
                <w:sz w:val="20"/>
                <w:szCs w:val="20"/>
                <w:color w:val="auto"/>
              </w:rPr>
            </w:pPr>
            <w:r>
              <w:rPr>
                <w:rFonts w:ascii="Arial" w:cs="Arial" w:eastAsia="Arial" w:hAnsi="Arial"/>
                <w:sz w:val="16"/>
                <w:szCs w:val="16"/>
                <w:color w:val="auto"/>
              </w:rPr>
              <w:t>Accumulated deficit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(29,116)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(90,419)</w:t>
            </w:r>
          </w:p>
        </w:tc>
        <w:tc>
          <w:tcPr>
            <w:tcW w:w="0" w:type="dxa"/>
            <w:vAlign w:val="bottom"/>
          </w:tcPr>
          <w:p>
            <w:pPr>
              <w:spacing w:after="0"/>
              <w:rPr>
                <w:sz w:val="1"/>
                <w:szCs w:val="1"/>
                <w:color w:val="auto"/>
              </w:rPr>
            </w:pPr>
          </w:p>
        </w:tc>
      </w:tr>
      <w:tr>
        <w:trPr>
          <w:trHeight w:val="33"/>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Accumulated other comprehensive income (loss)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(41,589)</w:t>
            </w:r>
          </w:p>
        </w:tc>
        <w:tc>
          <w:tcPr>
            <w:tcW w:w="0" w:type="dxa"/>
            <w:vAlign w:val="bottom"/>
          </w:tcPr>
          <w:p>
            <w:pPr>
              <w:spacing w:after="0"/>
              <w:rPr>
                <w:sz w:val="1"/>
                <w:szCs w:val="1"/>
                <w:color w:val="auto"/>
              </w:rPr>
            </w:pPr>
          </w:p>
        </w:tc>
      </w:tr>
      <w:tr>
        <w:trPr>
          <w:trHeight w:val="217"/>
        </w:trPr>
        <w:tc>
          <w:tcPr>
            <w:tcW w:w="836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shareholders' equity</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1,566,334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1,457,554</w:t>
            </w:r>
          </w:p>
        </w:tc>
        <w:tc>
          <w:tcPr>
            <w:tcW w:w="0" w:type="dxa"/>
            <w:vAlign w:val="bottom"/>
          </w:tcPr>
          <w:p>
            <w:pPr>
              <w:spacing w:after="0"/>
              <w:rPr>
                <w:sz w:val="1"/>
                <w:szCs w:val="1"/>
                <w:color w:val="auto"/>
              </w:rPr>
            </w:pPr>
          </w:p>
        </w:tc>
      </w:tr>
      <w:tr>
        <w:trPr>
          <w:trHeight w:val="33"/>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b w:val="1"/>
                <w:bCs w:val="1"/>
                <w:color w:val="auto"/>
              </w:rPr>
              <w:t>Total liabilities and shareholders'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12,779,438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12,573,192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 (unaudited).</w:t>
      </w:r>
    </w:p>
    <w:p>
      <w:pPr>
        <w:sectPr>
          <w:pgSz w:w="11900" w:h="16838" w:orient="portrait"/>
          <w:cols w:equalWidth="0" w:num="1">
            <w:col w:w="11420"/>
          </w:cols>
          <w:pgMar w:left="240" w:top="769" w:right="239" w:bottom="144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769" w:right="239" w:bottom="1440" w:gutter="0" w:footer="0" w:header="0"/>
          <w:type w:val="continuous"/>
        </w:sectPr>
      </w:pPr>
    </w:p>
    <w:bookmarkStart w:id="7" w:name="page8"/>
    <w:bookmarkEnd w:id="7"/>
    <w:p>
      <w:pPr>
        <w:ind w:left="8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8"/>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720" w:type="dxa"/>
            <w:vAlign w:val="bottom"/>
            <w:tcBorders>
              <w:bottom w:val="single" w:sz="8" w:color="auto"/>
            </w:tcBorders>
          </w:tcPr>
          <w:p>
            <w:pPr>
              <w:spacing w:after="0"/>
              <w:rPr>
                <w:sz w:val="16"/>
                <w:szCs w:val="16"/>
                <w:color w:val="auto"/>
              </w:rPr>
            </w:pPr>
          </w:p>
        </w:tc>
      </w:tr>
      <w:tr>
        <w:trPr>
          <w:trHeight w:val="143"/>
        </w:trPr>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720" w:type="dxa"/>
            <w:vAlign w:val="bottom"/>
          </w:tcPr>
          <w:p>
            <w:pPr>
              <w:spacing w:after="0"/>
              <w:rPr>
                <w:sz w:val="12"/>
                <w:szCs w:val="12"/>
                <w:color w:val="auto"/>
              </w:rPr>
            </w:pPr>
          </w:p>
        </w:tc>
      </w:tr>
      <w:tr>
        <w:trPr>
          <w:trHeight w:val="135"/>
        </w:trPr>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Common</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Other</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Common</w:t>
            </w: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Other</w:t>
            </w:r>
          </w:p>
        </w:tc>
        <w:tc>
          <w:tcPr>
            <w:tcW w:w="720" w:type="dxa"/>
            <w:vAlign w:val="bottom"/>
          </w:tcPr>
          <w:p>
            <w:pPr>
              <w:spacing w:after="0"/>
              <w:rPr>
                <w:sz w:val="11"/>
                <w:szCs w:val="11"/>
                <w:color w:val="auto"/>
              </w:rPr>
            </w:pPr>
          </w:p>
        </w:tc>
      </w:tr>
      <w:tr>
        <w:trPr>
          <w:trHeight w:val="135"/>
        </w:trPr>
        <w:tc>
          <w:tcPr>
            <w:tcW w:w="1700" w:type="dxa"/>
            <w:vAlign w:val="bottom"/>
            <w:gridSpan w:val="2"/>
          </w:tcPr>
          <w:p>
            <w:pPr>
              <w:ind w:left="40"/>
              <w:spacing w:after="0" w:line="135" w:lineRule="exact"/>
              <w:rPr>
                <w:sz w:val="20"/>
                <w:szCs w:val="20"/>
                <w:color w:val="auto"/>
              </w:rPr>
            </w:pPr>
            <w:r>
              <w:rPr>
                <w:rFonts w:ascii="Arial" w:cs="Arial" w:eastAsia="Arial" w:hAnsi="Arial"/>
                <w:sz w:val="13"/>
                <w:szCs w:val="13"/>
                <w:i w:val="1"/>
                <w:iCs w:val="1"/>
                <w:color w:val="auto"/>
              </w:rPr>
              <w:t>(in thousands, except share</w:t>
            </w:r>
          </w:p>
        </w:tc>
        <w:tc>
          <w:tcPr>
            <w:tcW w:w="6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5"/>
              </w:rPr>
              <w:t>Common</w:t>
            </w:r>
          </w:p>
        </w:tc>
        <w:tc>
          <w:tcPr>
            <w:tcW w:w="100" w:type="dxa"/>
            <w:vAlign w:val="bottom"/>
          </w:tcPr>
          <w:p>
            <w:pPr>
              <w:spacing w:after="0"/>
              <w:rPr>
                <w:sz w:val="11"/>
                <w:szCs w:val="11"/>
                <w:color w:val="auto"/>
              </w:rPr>
            </w:pPr>
          </w:p>
        </w:tc>
        <w:tc>
          <w:tcPr>
            <w:tcW w:w="5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Stock</w:t>
            </w:r>
          </w:p>
        </w:tc>
        <w:tc>
          <w:tcPr>
            <w:tcW w:w="840" w:type="dxa"/>
            <w:vAlign w:val="bottom"/>
            <w:gridSpan w:val="2"/>
          </w:tcPr>
          <w:p>
            <w:pPr>
              <w:ind w:left="180"/>
              <w:spacing w:after="0" w:line="135" w:lineRule="exact"/>
              <w:rPr>
                <w:sz w:val="20"/>
                <w:szCs w:val="20"/>
                <w:color w:val="auto"/>
              </w:rPr>
            </w:pPr>
            <w:r>
              <w:rPr>
                <w:rFonts w:ascii="Arial" w:cs="Arial" w:eastAsia="Arial" w:hAnsi="Arial"/>
                <w:sz w:val="13"/>
                <w:szCs w:val="13"/>
                <w:b w:val="1"/>
                <w:bCs w:val="1"/>
                <w:color w:val="auto"/>
              </w:rPr>
              <w:t>Capital</w:t>
            </w:r>
          </w:p>
        </w:tc>
        <w:tc>
          <w:tcPr>
            <w:tcW w:w="90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Accumulated</w:t>
            </w:r>
          </w:p>
        </w:tc>
        <w:tc>
          <w:tcPr>
            <w:tcW w:w="10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1"/>
                <w:szCs w:val="11"/>
                <w:color w:val="auto"/>
              </w:rPr>
            </w:pPr>
          </w:p>
        </w:tc>
        <w:tc>
          <w:tcPr>
            <w:tcW w:w="5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Stock</w:t>
            </w:r>
          </w:p>
        </w:tc>
        <w:tc>
          <w:tcPr>
            <w:tcW w:w="840" w:type="dxa"/>
            <w:vAlign w:val="bottom"/>
            <w:gridSpan w:val="2"/>
          </w:tcPr>
          <w:p>
            <w:pPr>
              <w:ind w:left="160"/>
              <w:spacing w:after="0" w:line="135" w:lineRule="exact"/>
              <w:rPr>
                <w:sz w:val="20"/>
                <w:szCs w:val="20"/>
                <w:color w:val="auto"/>
              </w:rPr>
            </w:pPr>
            <w:r>
              <w:rPr>
                <w:rFonts w:ascii="Arial" w:cs="Arial" w:eastAsia="Arial" w:hAnsi="Arial"/>
                <w:sz w:val="13"/>
                <w:szCs w:val="13"/>
                <w:b w:val="1"/>
                <w:bCs w:val="1"/>
                <w:color w:val="auto"/>
              </w:rPr>
              <w:t>Capital</w:t>
            </w:r>
          </w:p>
        </w:tc>
        <w:tc>
          <w:tcPr>
            <w:tcW w:w="90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Accumulated</w:t>
            </w:r>
          </w:p>
        </w:tc>
        <w:tc>
          <w:tcPr>
            <w:tcW w:w="10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720" w:type="dxa"/>
            <w:vAlign w:val="bottom"/>
          </w:tcPr>
          <w:p>
            <w:pPr>
              <w:spacing w:after="0"/>
              <w:rPr>
                <w:sz w:val="11"/>
                <w:szCs w:val="11"/>
                <w:color w:val="auto"/>
              </w:rPr>
            </w:pPr>
          </w:p>
        </w:tc>
      </w:tr>
      <w:tr>
        <w:trPr>
          <w:trHeight w:val="174"/>
        </w:trPr>
        <w:tc>
          <w:tcPr>
            <w:tcW w:w="1700" w:type="dxa"/>
            <w:vAlign w:val="bottom"/>
            <w:gridSpan w:val="2"/>
          </w:tcPr>
          <w:p>
            <w:pPr>
              <w:ind w:left="40"/>
              <w:spacing w:after="0"/>
              <w:rPr>
                <w:sz w:val="20"/>
                <w:szCs w:val="20"/>
                <w:color w:val="auto"/>
              </w:rPr>
            </w:pPr>
            <w:r>
              <w:rPr>
                <w:rFonts w:ascii="Arial" w:cs="Arial" w:eastAsia="Arial" w:hAnsi="Arial"/>
                <w:sz w:val="13"/>
                <w:szCs w:val="13"/>
                <w:i w:val="1"/>
                <w:iCs w:val="1"/>
                <w:color w:val="auto"/>
              </w:rPr>
              <w:t>and per share data)</w:t>
            </w:r>
          </w:p>
        </w:tc>
        <w:tc>
          <w:tcPr>
            <w:tcW w:w="6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0"/>
              </w:rPr>
              <w:t>Stock</w:t>
            </w:r>
          </w:p>
        </w:tc>
        <w:tc>
          <w:tcPr>
            <w:tcW w:w="6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4"/>
              </w:rPr>
              <w:t>Issuable</w:t>
            </w:r>
          </w:p>
        </w:tc>
        <w:tc>
          <w:tcPr>
            <w:tcW w:w="840" w:type="dxa"/>
            <w:vAlign w:val="bottom"/>
            <w:gridSpan w:val="2"/>
          </w:tcPr>
          <w:p>
            <w:pPr>
              <w:ind w:left="160"/>
              <w:spacing w:after="0"/>
              <w:rPr>
                <w:sz w:val="20"/>
                <w:szCs w:val="20"/>
                <w:color w:val="auto"/>
              </w:rPr>
            </w:pPr>
            <w:r>
              <w:rPr>
                <w:rFonts w:ascii="Arial" w:cs="Arial" w:eastAsia="Arial" w:hAnsi="Arial"/>
                <w:sz w:val="13"/>
                <w:szCs w:val="13"/>
                <w:b w:val="1"/>
                <w:bCs w:val="1"/>
                <w:color w:val="auto"/>
              </w:rPr>
              <w:t>Surplus</w:t>
            </w:r>
          </w:p>
        </w:tc>
        <w:tc>
          <w:tcPr>
            <w:tcW w:w="16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10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Income (Loss)</w:t>
            </w:r>
          </w:p>
        </w:tc>
        <w:tc>
          <w:tcPr>
            <w:tcW w:w="84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w:t>
            </w:r>
          </w:p>
        </w:tc>
        <w:tc>
          <w:tcPr>
            <w:tcW w:w="6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Stock</w:t>
            </w:r>
          </w:p>
        </w:tc>
        <w:tc>
          <w:tcPr>
            <w:tcW w:w="6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4"/>
              </w:rPr>
              <w:t>Issuable</w:t>
            </w:r>
          </w:p>
        </w:tc>
        <w:tc>
          <w:tcPr>
            <w:tcW w:w="840" w:type="dxa"/>
            <w:vAlign w:val="bottom"/>
            <w:gridSpan w:val="2"/>
          </w:tcPr>
          <w:p>
            <w:pPr>
              <w:ind w:left="160"/>
              <w:spacing w:after="0"/>
              <w:rPr>
                <w:sz w:val="20"/>
                <w:szCs w:val="20"/>
                <w:color w:val="auto"/>
              </w:rPr>
            </w:pPr>
            <w:r>
              <w:rPr>
                <w:rFonts w:ascii="Arial" w:cs="Arial" w:eastAsia="Arial" w:hAnsi="Arial"/>
                <w:sz w:val="13"/>
                <w:szCs w:val="13"/>
                <w:b w:val="1"/>
                <w:bCs w:val="1"/>
                <w:color w:val="auto"/>
              </w:rPr>
              <w:t>Surplus</w:t>
            </w:r>
          </w:p>
        </w:tc>
        <w:tc>
          <w:tcPr>
            <w:tcW w:w="16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b w:val="1"/>
                <w:bCs w:val="1"/>
                <w:color w:val="auto"/>
              </w:rPr>
              <w:t>Deficit</w:t>
            </w:r>
          </w:p>
        </w:tc>
        <w:tc>
          <w:tcPr>
            <w:tcW w:w="10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Income (Loss)</w:t>
            </w:r>
          </w:p>
        </w:tc>
        <w:tc>
          <w:tcPr>
            <w:tcW w:w="720" w:type="dxa"/>
            <w:vAlign w:val="bottom"/>
          </w:tcPr>
          <w:p>
            <w:pPr>
              <w:jc w:val="right"/>
              <w:ind w:right="157"/>
              <w:spacing w:after="0"/>
              <w:rPr>
                <w:sz w:val="20"/>
                <w:szCs w:val="20"/>
                <w:color w:val="auto"/>
              </w:rPr>
            </w:pPr>
            <w:r>
              <w:rPr>
                <w:rFonts w:ascii="Arial" w:cs="Arial" w:eastAsia="Arial" w:hAnsi="Arial"/>
                <w:sz w:val="13"/>
                <w:szCs w:val="13"/>
                <w:b w:val="1"/>
                <w:bCs w:val="1"/>
                <w:color w:val="auto"/>
              </w:rPr>
              <w:t>Total</w:t>
            </w:r>
          </w:p>
        </w:tc>
      </w:tr>
      <w:tr>
        <w:trPr>
          <w:trHeight w:val="262"/>
        </w:trPr>
        <w:tc>
          <w:tcPr>
            <w:tcW w:w="1580" w:type="dxa"/>
            <w:vAlign w:val="bottom"/>
            <w:tcBorders>
              <w:top w:val="single" w:sz="8" w:color="auto"/>
            </w:tcBorders>
          </w:tcPr>
          <w:p>
            <w:pPr>
              <w:ind w:left="40"/>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r>
      <w:tr>
        <w:trPr>
          <w:trHeight w:val="156"/>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at beginning of</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76"/>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period</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6"/>
              </w:rPr>
              <w:t>$ 79,123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9,392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7"/>
              </w:rPr>
              <w:t>$ 1,496,307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(181,877)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(46,190)</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7"/>
              </w:rPr>
              <w:t>$ 1,356,755</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6"/>
              </w:rPr>
              <w:t>$ 77,580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9"/>
                <w:szCs w:val="9"/>
                <w:color w:val="auto"/>
                <w:w w:val="78"/>
              </w:rPr>
              <w:t>$</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9,083</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7"/>
              </w:rPr>
              <w:t>$ 1,451,814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(209,902)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(25,241)</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7"/>
              </w:rPr>
              <w:t>$ 1,303,334</w:t>
            </w:r>
          </w:p>
        </w:tc>
      </w:tr>
      <w:tr>
        <w:trPr>
          <w:trHeight w:val="262"/>
        </w:trPr>
        <w:tc>
          <w:tcPr>
            <w:tcW w:w="1700" w:type="dxa"/>
            <w:vAlign w:val="bottom"/>
            <w:gridSpan w:val="2"/>
          </w:tcPr>
          <w:p>
            <w:pPr>
              <w:ind w:left="40"/>
              <w:spacing w:after="0"/>
              <w:rPr>
                <w:sz w:val="20"/>
                <w:szCs w:val="20"/>
                <w:color w:val="auto"/>
              </w:rPr>
            </w:pPr>
            <w:r>
              <w:rPr>
                <w:rFonts w:ascii="Arial" w:cs="Arial" w:eastAsia="Arial" w:hAnsi="Arial"/>
                <w:sz w:val="13"/>
                <w:szCs w:val="13"/>
                <w:color w:val="auto"/>
              </w:rPr>
              <w:t>Net income</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39,634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39,634</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77,292</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77,292</w:t>
            </w:r>
          </w:p>
        </w:tc>
      </w:tr>
      <w:tr>
        <w:trPr>
          <w:trHeight w:val="278"/>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Other comprehensive loss</w:t>
            </w: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(6,575)</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(6,575)</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(27,524)</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(27,524)</w:t>
            </w:r>
          </w:p>
        </w:tc>
      </w:tr>
      <w:tr>
        <w:trPr>
          <w:trHeight w:val="148"/>
        </w:trPr>
        <w:tc>
          <w:tcPr>
            <w:tcW w:w="17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Exercise of stock options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35"/>
        </w:trPr>
        <w:tc>
          <w:tcPr>
            <w:tcW w:w="17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(5,000 and 12,000 shares,</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8"/>
        </w:trPr>
        <w:tc>
          <w:tcPr>
            <w:tcW w:w="1700" w:type="dxa"/>
            <w:vAlign w:val="bottom"/>
            <w:gridSpan w:val="2"/>
          </w:tcPr>
          <w:p>
            <w:pPr>
              <w:ind w:left="40"/>
              <w:spacing w:after="0"/>
              <w:rPr>
                <w:sz w:val="20"/>
                <w:szCs w:val="20"/>
                <w:color w:val="auto"/>
              </w:rPr>
            </w:pPr>
            <w:r>
              <w:rPr>
                <w:rFonts w:ascii="Arial" w:cs="Arial" w:eastAsia="Arial" w:hAnsi="Arial"/>
                <w:sz w:val="13"/>
                <w:szCs w:val="13"/>
                <w:color w:val="auto"/>
              </w:rPr>
              <w:t>respectively)</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142</w:t>
            </w:r>
          </w:p>
        </w:tc>
      </w:tr>
      <w:tr>
        <w:trPr>
          <w:trHeight w:val="156"/>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Common stock issued to</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dividend reinvestment plan</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and</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6"/>
              </w:rPr>
              <w:t>employee benefit plans 4,649</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and 9,853 shares,</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76"/>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respectively)</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136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141</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285</w:t>
            </w:r>
          </w:p>
        </w:tc>
      </w:tr>
      <w:tr>
        <w:trPr>
          <w:trHeight w:val="148"/>
        </w:trPr>
        <w:tc>
          <w:tcPr>
            <w:tcW w:w="17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Common stock issued for</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8"/>
        </w:trPr>
        <w:tc>
          <w:tcPr>
            <w:tcW w:w="1700" w:type="dxa"/>
            <w:vAlign w:val="bottom"/>
            <w:gridSpan w:val="2"/>
          </w:tcPr>
          <w:p>
            <w:pPr>
              <w:ind w:left="40"/>
              <w:spacing w:after="0"/>
              <w:rPr>
                <w:sz w:val="20"/>
                <w:szCs w:val="20"/>
                <w:color w:val="auto"/>
              </w:rPr>
            </w:pPr>
            <w:r>
              <w:rPr>
                <w:rFonts w:ascii="Arial" w:cs="Arial" w:eastAsia="Arial" w:hAnsi="Arial"/>
                <w:sz w:val="13"/>
                <w:szCs w:val="13"/>
                <w:color w:val="auto"/>
                <w:w w:val="94"/>
              </w:rPr>
              <w:t>acquisition (1,443,987 shares)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1,444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44,302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45,746</w:t>
            </w:r>
          </w:p>
        </w:tc>
      </w:tr>
      <w:tr>
        <w:trPr>
          <w:trHeight w:val="156"/>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Amortization of stock option</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76"/>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and restricted stock awards</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1,128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1,128</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2,276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2,276</w:t>
            </w:r>
          </w:p>
        </w:tc>
      </w:tr>
      <w:tr>
        <w:trPr>
          <w:trHeight w:val="148"/>
        </w:trPr>
        <w:tc>
          <w:tcPr>
            <w:tcW w:w="17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Vesting of restricted stock,</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35"/>
        </w:trPr>
        <w:tc>
          <w:tcPr>
            <w:tcW w:w="17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net of shares surrendered to</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17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cover payroll taxes (5,099</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17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and 46,409 shares issued,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17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respectively, 1,345 and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17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47,419 shares deferred,</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8"/>
        </w:trPr>
        <w:tc>
          <w:tcPr>
            <w:tcW w:w="1700" w:type="dxa"/>
            <w:vAlign w:val="bottom"/>
            <w:gridSpan w:val="2"/>
          </w:tcPr>
          <w:p>
            <w:pPr>
              <w:ind w:left="40"/>
              <w:spacing w:after="0"/>
              <w:rPr>
                <w:sz w:val="20"/>
                <w:szCs w:val="20"/>
                <w:color w:val="auto"/>
              </w:rPr>
            </w:pPr>
            <w:r>
              <w:rPr>
                <w:rFonts w:ascii="Arial" w:cs="Arial" w:eastAsia="Arial" w:hAnsi="Arial"/>
                <w:sz w:val="13"/>
                <w:szCs w:val="13"/>
                <w:color w:val="auto"/>
              </w:rPr>
              <w:t>respectively)</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884</w:t>
            </w:r>
          </w:p>
        </w:tc>
        <w:tc>
          <w:tcPr>
            <w:tcW w:w="10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(1,916)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(986)</w:t>
            </w:r>
          </w:p>
        </w:tc>
      </w:tr>
      <w:tr>
        <w:trPr>
          <w:trHeight w:val="156"/>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8"/>
              </w:rPr>
              <w:t>Deferred compensation plan,</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net, including dividend</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76"/>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equivalents</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234</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234</w:t>
            </w:r>
          </w:p>
        </w:tc>
      </w:tr>
      <w:tr>
        <w:trPr>
          <w:trHeight w:val="148"/>
        </w:trPr>
        <w:tc>
          <w:tcPr>
            <w:tcW w:w="170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9"/>
              </w:rPr>
              <w:t>Shares issued from deferred</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35"/>
        </w:trPr>
        <w:tc>
          <w:tcPr>
            <w:tcW w:w="17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compensation plan, net of</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17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shares surrendered to cover</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170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5"/>
              </w:rPr>
              <w:t>payroll taxes (442 and 46,000</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8"/>
        </w:trPr>
        <w:tc>
          <w:tcPr>
            <w:tcW w:w="1700" w:type="dxa"/>
            <w:vAlign w:val="bottom"/>
            <w:gridSpan w:val="2"/>
          </w:tcPr>
          <w:p>
            <w:pPr>
              <w:ind w:left="40"/>
              <w:spacing w:after="0"/>
              <w:rPr>
                <w:sz w:val="20"/>
                <w:szCs w:val="20"/>
                <w:color w:val="auto"/>
              </w:rPr>
            </w:pPr>
            <w:r>
              <w:rPr>
                <w:rFonts w:ascii="Arial" w:cs="Arial" w:eastAsia="Arial" w:hAnsi="Arial"/>
                <w:sz w:val="13"/>
                <w:szCs w:val="13"/>
                <w:color w:val="auto"/>
              </w:rPr>
              <w:t>shares, respectively)</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(692)</w:t>
            </w: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636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56"/>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Common stock dividends</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($0.15 and $0.27 per</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70"/>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share, respectively)</w:t>
            </w:r>
          </w:p>
        </w:tc>
        <w:tc>
          <w:tcPr>
            <w:tcW w:w="56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(12,047)</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(12,047)</w:t>
            </w:r>
          </w:p>
        </w:tc>
        <w:tc>
          <w:tcPr>
            <w:tcW w:w="12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(21,680)</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(21,680)</w:t>
            </w:r>
          </w:p>
        </w:tc>
      </w:tr>
      <w:tr>
        <w:trPr>
          <w:trHeight w:val="282"/>
        </w:trPr>
        <w:tc>
          <w:tcPr>
            <w:tcW w:w="170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b w:val="1"/>
                <w:bCs w:val="1"/>
                <w:color w:val="auto"/>
              </w:rPr>
              <w:t>Balance, June 30, 2018</w:t>
            </w: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6"/>
              </w:rPr>
              <w:t>$ 79,138</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9,509</w:t>
            </w:r>
          </w:p>
        </w:tc>
        <w:tc>
          <w:tcPr>
            <w:tcW w:w="10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w w:val="87"/>
              </w:rPr>
              <w:t>$ 1,497,517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(154,290)</w:t>
            </w: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w w:val="78"/>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(52,765)</w:t>
            </w:r>
          </w:p>
        </w:tc>
        <w:tc>
          <w:tcPr>
            <w:tcW w:w="12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7"/>
              </w:rPr>
              <w:t>$ 1,379,109</w:t>
            </w:r>
          </w:p>
        </w:tc>
        <w:tc>
          <w:tcPr>
            <w:tcW w:w="12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6"/>
              </w:rPr>
              <w:t>$ 79,138</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ind w:left="40"/>
              <w:spacing w:after="0"/>
              <w:rPr>
                <w:sz w:val="20"/>
                <w:szCs w:val="20"/>
                <w:color w:val="auto"/>
              </w:rPr>
            </w:pPr>
            <w:r>
              <w:rPr>
                <w:rFonts w:ascii="Arial" w:cs="Arial" w:eastAsia="Arial" w:hAnsi="Arial"/>
                <w:sz w:val="9"/>
                <w:szCs w:val="9"/>
                <w:color w:val="auto"/>
                <w:w w:val="78"/>
              </w:rPr>
              <w:t>$</w:t>
            </w:r>
          </w:p>
        </w:tc>
        <w:tc>
          <w:tcPr>
            <w:tcW w:w="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9,509</w:t>
            </w:r>
          </w:p>
        </w:tc>
        <w:tc>
          <w:tcPr>
            <w:tcW w:w="10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7"/>
              </w:rPr>
              <w:t>$ 1,497,517</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(154,290)</w:t>
            </w: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w w:val="78"/>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(52,765)</w:t>
            </w:r>
          </w:p>
        </w:tc>
        <w:tc>
          <w:tcPr>
            <w:tcW w:w="12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87"/>
              </w:rPr>
              <w:t>$ 1,379,109</w:t>
            </w:r>
          </w:p>
        </w:tc>
      </w:tr>
      <w:tr>
        <w:trPr>
          <w:trHeight w:val="211"/>
        </w:trPr>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62"/>
        </w:trPr>
        <w:tc>
          <w:tcPr>
            <w:tcW w:w="1580" w:type="dxa"/>
            <w:vAlign w:val="bottom"/>
          </w:tcPr>
          <w:p>
            <w:pPr>
              <w:ind w:left="40"/>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156"/>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Balance at beginning of</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76"/>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period</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6"/>
              </w:rPr>
              <w:t>$ 79,035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5"/>
              </w:rPr>
              <w:t>10,291</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7"/>
              </w:rPr>
              <w:t>$ 1,494,400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(59,573)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(15,995)</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7"/>
              </w:rPr>
              <w:t>$ 1,508,158</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6"/>
              </w:rPr>
              <w:t>$ 79,234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9"/>
                <w:szCs w:val="9"/>
                <w:color w:val="auto"/>
                <w:w w:val="78"/>
              </w:rPr>
              <w:t>$</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5"/>
              </w:rPr>
              <w:t>10,744</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7"/>
              </w:rPr>
              <w:t>$ 1,499,584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(90,419)</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(41,589)</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7"/>
              </w:rPr>
              <w:t>$ 1,457,554</w:t>
            </w:r>
          </w:p>
        </w:tc>
      </w:tr>
      <w:tr>
        <w:trPr>
          <w:trHeight w:val="262"/>
        </w:trPr>
        <w:tc>
          <w:tcPr>
            <w:tcW w:w="1700" w:type="dxa"/>
            <w:vAlign w:val="bottom"/>
            <w:gridSpan w:val="2"/>
          </w:tcPr>
          <w:p>
            <w:pPr>
              <w:ind w:left="40"/>
              <w:spacing w:after="0"/>
              <w:rPr>
                <w:sz w:val="20"/>
                <w:szCs w:val="20"/>
                <w:color w:val="auto"/>
              </w:rPr>
            </w:pPr>
            <w:r>
              <w:rPr>
                <w:rFonts w:ascii="Arial" w:cs="Arial" w:eastAsia="Arial" w:hAnsi="Arial"/>
                <w:sz w:val="13"/>
                <w:szCs w:val="13"/>
                <w:color w:val="auto"/>
              </w:rPr>
              <w:t>Net income</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44,085</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44,085</w:t>
            </w: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88,347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88,347</w:t>
            </w:r>
          </w:p>
        </w:tc>
      </w:tr>
      <w:tr>
        <w:trPr>
          <w:trHeight w:val="278"/>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6"/>
              </w:rPr>
              <w:t>Other comprehensive income</w:t>
            </w: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22,772</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22,772</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48,366</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48,366</w:t>
            </w:r>
          </w:p>
        </w:tc>
      </w:tr>
      <w:tr>
        <w:trPr>
          <w:trHeight w:val="148"/>
        </w:trPr>
        <w:tc>
          <w:tcPr>
            <w:tcW w:w="17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Exercise of stock options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8"/>
        </w:trPr>
        <w:tc>
          <w:tcPr>
            <w:tcW w:w="1700" w:type="dxa"/>
            <w:vAlign w:val="bottom"/>
            <w:gridSpan w:val="2"/>
          </w:tcPr>
          <w:p>
            <w:pPr>
              <w:ind w:left="40"/>
              <w:spacing w:after="0"/>
              <w:rPr>
                <w:sz w:val="20"/>
                <w:szCs w:val="20"/>
                <w:color w:val="auto"/>
              </w:rPr>
            </w:pPr>
            <w:r>
              <w:rPr>
                <w:rFonts w:ascii="Arial" w:cs="Arial" w:eastAsia="Arial" w:hAnsi="Arial"/>
                <w:sz w:val="13"/>
                <w:szCs w:val="13"/>
                <w:color w:val="auto"/>
              </w:rPr>
              <w:t>(12,000 shares)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197</w:t>
            </w:r>
          </w:p>
        </w:tc>
      </w:tr>
      <w:tr>
        <w:trPr>
          <w:trHeight w:val="156"/>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Common stock issued to</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dividend reinvestment plan</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and</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employee benefit plans</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(33,978 and 42,423</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76"/>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shares, respectively)</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871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905</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1,049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1,091</w:t>
            </w:r>
          </w:p>
        </w:tc>
      </w:tr>
      <w:tr>
        <w:trPr>
          <w:trHeight w:val="148"/>
        </w:trPr>
        <w:tc>
          <w:tcPr>
            <w:tcW w:w="17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Amortization of restricted</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8"/>
        </w:trPr>
        <w:tc>
          <w:tcPr>
            <w:tcW w:w="1700" w:type="dxa"/>
            <w:vAlign w:val="bottom"/>
            <w:gridSpan w:val="2"/>
          </w:tcPr>
          <w:p>
            <w:pPr>
              <w:ind w:left="40"/>
              <w:spacing w:after="0"/>
              <w:rPr>
                <w:sz w:val="20"/>
                <w:szCs w:val="20"/>
                <w:color w:val="auto"/>
              </w:rPr>
            </w:pPr>
            <w:r>
              <w:rPr>
                <w:rFonts w:ascii="Arial" w:cs="Arial" w:eastAsia="Arial" w:hAnsi="Arial"/>
                <w:sz w:val="13"/>
                <w:szCs w:val="13"/>
                <w:color w:val="auto"/>
              </w:rPr>
              <w:t>stock awards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4,017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4,017</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6,002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6,002</w:t>
            </w:r>
          </w:p>
        </w:tc>
      </w:tr>
      <w:tr>
        <w:trPr>
          <w:trHeight w:val="156"/>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Vesting of restricted stock,</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net of shares surrendered to</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cover payroll taxes (5,034</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and 20,979 shares issued,</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w w:val="98"/>
              </w:rPr>
              <w:t>respectively, and 17,211 and</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36,661 shares deferred,</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76"/>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respectively)</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1,009</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(1,422)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(392)</w:t>
            </w:r>
          </w:p>
        </w:tc>
      </w:tr>
      <w:tr>
        <w:trPr>
          <w:trHeight w:val="148"/>
        </w:trPr>
        <w:tc>
          <w:tcPr>
            <w:tcW w:w="17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Purchases of common stock</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68"/>
        </w:trPr>
        <w:tc>
          <w:tcPr>
            <w:tcW w:w="1700" w:type="dxa"/>
            <w:vAlign w:val="bottom"/>
            <w:gridSpan w:val="2"/>
          </w:tcPr>
          <w:p>
            <w:pPr>
              <w:ind w:left="40"/>
              <w:spacing w:after="0"/>
              <w:rPr>
                <w:sz w:val="20"/>
                <w:szCs w:val="20"/>
                <w:color w:val="auto"/>
              </w:rPr>
            </w:pPr>
            <w:r>
              <w:rPr>
                <w:rFonts w:ascii="Arial" w:cs="Arial" w:eastAsia="Arial" w:hAnsi="Arial"/>
                <w:sz w:val="13"/>
                <w:szCs w:val="13"/>
                <w:color w:val="auto"/>
              </w:rPr>
              <w:t>(305,052 shares)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7"/>
              <w:spacing w:after="0"/>
              <w:rPr>
                <w:sz w:val="20"/>
                <w:szCs w:val="20"/>
                <w:color w:val="auto"/>
              </w:rPr>
            </w:pPr>
            <w:r>
              <w:rPr>
                <w:rFonts w:ascii="Arial" w:cs="Arial" w:eastAsia="Arial" w:hAnsi="Arial"/>
                <w:sz w:val="13"/>
                <w:szCs w:val="13"/>
                <w:color w:val="auto"/>
              </w:rPr>
              <w:t>(7,535)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(7,840)</w:t>
            </w:r>
          </w:p>
        </w:tc>
      </w:tr>
      <w:tr>
        <w:trPr>
          <w:trHeight w:val="156"/>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98"/>
              </w:rPr>
              <w:t>Deferred compensation plan,</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net, including dividend</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76"/>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equivalents</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292</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292</w:t>
            </w:r>
          </w:p>
        </w:tc>
      </w:tr>
      <w:tr>
        <w:trPr>
          <w:trHeight w:val="148"/>
        </w:trPr>
        <w:tc>
          <w:tcPr>
            <w:tcW w:w="1700" w:type="dxa"/>
            <w:vAlign w:val="bottom"/>
            <w:gridSpan w:val="2"/>
          </w:tcPr>
          <w:p>
            <w:pPr>
              <w:ind w:left="40"/>
              <w:spacing w:after="0" w:line="148" w:lineRule="exact"/>
              <w:rPr>
                <w:sz w:val="20"/>
                <w:szCs w:val="20"/>
                <w:color w:val="auto"/>
              </w:rPr>
            </w:pPr>
            <w:r>
              <w:rPr>
                <w:rFonts w:ascii="Arial" w:cs="Arial" w:eastAsia="Arial" w:hAnsi="Arial"/>
                <w:sz w:val="13"/>
                <w:szCs w:val="13"/>
                <w:color w:val="auto"/>
                <w:w w:val="99"/>
              </w:rPr>
              <w:t>Shares issued from deferred</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35"/>
        </w:trPr>
        <w:tc>
          <w:tcPr>
            <w:tcW w:w="17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compensation plan, net of</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170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shares surrendered to cover</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35"/>
        </w:trPr>
        <w:tc>
          <w:tcPr>
            <w:tcW w:w="1700" w:type="dxa"/>
            <w:vAlign w:val="bottom"/>
            <w:gridSpan w:val="2"/>
          </w:tcPr>
          <w:p>
            <w:pPr>
              <w:ind w:left="40"/>
              <w:spacing w:after="0" w:line="135" w:lineRule="exact"/>
              <w:rPr>
                <w:sz w:val="20"/>
                <w:szCs w:val="20"/>
                <w:color w:val="auto"/>
              </w:rPr>
            </w:pPr>
            <w:r>
              <w:rPr>
                <w:rFonts w:ascii="Arial" w:cs="Arial" w:eastAsia="Arial" w:hAnsi="Arial"/>
                <w:sz w:val="13"/>
                <w:szCs w:val="13"/>
                <w:color w:val="auto"/>
                <w:w w:val="95"/>
              </w:rPr>
              <w:t>payroll taxes (748 and 70,792</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8"/>
        </w:trPr>
        <w:tc>
          <w:tcPr>
            <w:tcW w:w="1700" w:type="dxa"/>
            <w:vAlign w:val="bottom"/>
            <w:gridSpan w:val="2"/>
          </w:tcPr>
          <w:p>
            <w:pPr>
              <w:ind w:left="40"/>
              <w:spacing w:after="0"/>
              <w:rPr>
                <w:sz w:val="20"/>
                <w:szCs w:val="20"/>
                <w:color w:val="auto"/>
              </w:rPr>
            </w:pPr>
            <w:r>
              <w:rPr>
                <w:rFonts w:ascii="Arial" w:cs="Arial" w:eastAsia="Arial" w:hAnsi="Arial"/>
                <w:sz w:val="13"/>
                <w:szCs w:val="13"/>
                <w:color w:val="auto"/>
              </w:rPr>
              <w:t>shares, respectively)</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740" w:type="dxa"/>
            <w:vAlign w:val="bottom"/>
          </w:tcPr>
          <w:p>
            <w:pPr>
              <w:jc w:val="right"/>
              <w:ind w:right="56"/>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w w:val="92"/>
              </w:rPr>
              <w:t>(1,187)</w:t>
            </w: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Arial" w:cs="Arial" w:eastAsia="Arial" w:hAnsi="Arial"/>
                <w:sz w:val="13"/>
                <w:szCs w:val="13"/>
                <w:color w:val="auto"/>
              </w:rPr>
              <w:t>877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(239)</w:t>
            </w:r>
          </w:p>
        </w:tc>
      </w:tr>
      <w:tr>
        <w:trPr>
          <w:trHeight w:val="156"/>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Common stock dividends</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r>
      <w:tr>
        <w:trPr>
          <w:trHeight w:val="135"/>
        </w:trPr>
        <w:tc>
          <w:tcPr>
            <w:tcW w:w="1700" w:type="dxa"/>
            <w:vAlign w:val="bottom"/>
            <w:gridSpan w:val="2"/>
            <w:shd w:val="clear" w:color="auto" w:fill="CCEEFF"/>
          </w:tcPr>
          <w:p>
            <w:pPr>
              <w:ind w:left="40"/>
              <w:spacing w:after="0" w:line="135" w:lineRule="exact"/>
              <w:rPr>
                <w:sz w:val="20"/>
                <w:szCs w:val="20"/>
                <w:color w:val="auto"/>
              </w:rPr>
            </w:pPr>
            <w:r>
              <w:rPr>
                <w:rFonts w:ascii="Arial" w:cs="Arial" w:eastAsia="Arial" w:hAnsi="Arial"/>
                <w:sz w:val="13"/>
                <w:szCs w:val="13"/>
                <w:color w:val="auto"/>
              </w:rPr>
              <w:t>($0.17 and $0.33 per share,</w:t>
            </w: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76"/>
        </w:trPr>
        <w:tc>
          <w:tcPr>
            <w:tcW w:w="17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respectively)</w:t>
            </w: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(13,628)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(13,628)</w:t>
            </w: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(26,495)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(26,495)</w:t>
            </w:r>
          </w:p>
        </w:tc>
      </w:tr>
      <w:tr>
        <w:trPr>
          <w:trHeight w:val="148"/>
        </w:trPr>
        <w:tc>
          <w:tcPr>
            <w:tcW w:w="17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Adoption of new accounting</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0"/>
        </w:trPr>
        <w:tc>
          <w:tcPr>
            <w:tcW w:w="1700" w:type="dxa"/>
            <w:vAlign w:val="bottom"/>
            <w:gridSpan w:val="2"/>
          </w:tcPr>
          <w:p>
            <w:pPr>
              <w:ind w:left="40"/>
              <w:spacing w:after="0"/>
              <w:rPr>
                <w:sz w:val="20"/>
                <w:szCs w:val="20"/>
                <w:color w:val="auto"/>
              </w:rPr>
            </w:pPr>
            <w:r>
              <w:rPr>
                <w:rFonts w:ascii="Arial" w:cs="Arial" w:eastAsia="Arial" w:hAnsi="Arial"/>
                <w:sz w:val="13"/>
                <w:szCs w:val="13"/>
                <w:color w:val="auto"/>
              </w:rPr>
              <w:t>standard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(549)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(549)</w:t>
            </w:r>
          </w:p>
        </w:tc>
      </w:tr>
      <w:tr>
        <w:trPr>
          <w:trHeight w:val="242"/>
        </w:trPr>
        <w:tc>
          <w:tcPr>
            <w:tcW w:w="17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Balance, June 30, 2019</w:t>
            </w:r>
          </w:p>
        </w:tc>
        <w:tc>
          <w:tcPr>
            <w:tcW w:w="5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6"/>
              </w:rPr>
              <w:t>$ 79,075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5"/>
              </w:rPr>
              <w:t>10,858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w w:val="87"/>
              </w:rPr>
              <w:t>$ 1,498,740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6,777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7"/>
              </w:rPr>
              <w:t>$ 1,566,334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6"/>
              </w:rPr>
              <w:t>$ 79,075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5"/>
              </w:rPr>
              <w:t>10,858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7"/>
              </w:rPr>
              <w:t>$ 1,498,740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6,777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7"/>
              </w:rPr>
              <w:t>$ 1,566,334</w:t>
            </w: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6"/>
          <w:szCs w:val="16"/>
          <w:color w:val="auto"/>
        </w:rPr>
        <w:t>See accompanying notes to consolidated financial statements (unaudited).</w:t>
      </w:r>
    </w:p>
    <w:p>
      <w:pPr>
        <w:sectPr>
          <w:pgSz w:w="11900" w:h="16838" w:orient="portrait"/>
          <w:cols w:equalWidth="0" w:num="1">
            <w:col w:w="11420"/>
          </w:cols>
          <w:pgMar w:left="240" w:top="769" w:right="239" w:bottom="962"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69" w:right="239" w:bottom="962" w:gutter="0" w:footer="0" w:header="0"/>
          <w:type w:val="continuous"/>
        </w:sectPr>
      </w:pPr>
    </w:p>
    <w:bookmarkStart w:id="8" w:name="page9"/>
    <w:bookmarkEnd w:id="8"/>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 COMMUNITY BANKS,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Consolidated Statements of Cash Flows </w:t>
      </w:r>
      <w:r>
        <w:rPr>
          <w:rFonts w:ascii="Arial" w:cs="Arial" w:eastAsia="Arial" w:hAnsi="Arial"/>
          <w:sz w:val="16"/>
          <w:szCs w:val="16"/>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w w:val="99"/>
              </w:rPr>
              <w:t>Six Months Ended June 30,</w:t>
            </w:r>
          </w:p>
        </w:tc>
      </w:tr>
      <w:tr>
        <w:trPr>
          <w:trHeight w:val="264"/>
        </w:trPr>
        <w:tc>
          <w:tcPr>
            <w:tcW w:w="870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r>
      <w:tr>
        <w:trPr>
          <w:trHeight w:val="257"/>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88,347</w:t>
            </w:r>
          </w:p>
        </w:tc>
        <w:tc>
          <w:tcPr>
            <w:tcW w:w="120" w:type="dxa"/>
            <w:vAlign w:val="bottom"/>
          </w:tcPr>
          <w:p>
            <w:pPr>
              <w:spacing w:after="0"/>
              <w:rPr>
                <w:sz w:val="22"/>
                <w:szCs w:val="22"/>
                <w:color w:val="auto"/>
              </w:rPr>
            </w:pPr>
          </w:p>
        </w:tc>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77,292</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Depreciation, amortization and accretion</w:t>
            </w: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12,549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17,068</w:t>
            </w:r>
          </w:p>
        </w:tc>
      </w:tr>
      <w:tr>
        <w:trPr>
          <w:trHeight w:val="277"/>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Provision for credit losses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6,550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5,600</w:t>
            </w: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Stock based compensation</w:t>
            </w: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6,002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2,276</w:t>
            </w:r>
          </w:p>
        </w:tc>
      </w:tr>
      <w:tr>
        <w:trPr>
          <w:trHeight w:val="277"/>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Deferred income tax expense</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1,341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22,782</w:t>
            </w: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Securities losses, net</w:t>
            </w: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1,304</w:t>
            </w:r>
          </w:p>
        </w:tc>
      </w:tr>
      <w:tr>
        <w:trPr>
          <w:trHeight w:val="277"/>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Gains from sales of SBA/USDA loans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(4,179)</w:t>
            </w: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Net (gains) losses on sales and write downs of other real estate owned</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260</w:t>
            </w:r>
          </w:p>
        </w:tc>
      </w:tr>
      <w:tr>
        <w:trPr>
          <w:trHeight w:val="277"/>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Changes in assets and liabilities: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8820" w:type="dxa"/>
            <w:vAlign w:val="bottom"/>
            <w:gridSpan w:val="2"/>
          </w:tcPr>
          <w:p>
            <w:pPr>
              <w:ind w:left="380"/>
              <w:spacing w:after="0"/>
              <w:rPr>
                <w:sz w:val="20"/>
                <w:szCs w:val="20"/>
                <w:color w:val="auto"/>
              </w:rPr>
            </w:pPr>
            <w:r>
              <w:rPr>
                <w:rFonts w:ascii="Arial" w:cs="Arial" w:eastAsia="Arial" w:hAnsi="Arial"/>
                <w:sz w:val="14"/>
                <w:szCs w:val="14"/>
                <w:color w:val="auto"/>
              </w:rPr>
              <w:t>Other assets and accrued interest receivable</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(40,579)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(18,799)</w:t>
            </w:r>
          </w:p>
        </w:tc>
      </w:tr>
      <w:tr>
        <w:trPr>
          <w:trHeight w:val="277"/>
        </w:trPr>
        <w:tc>
          <w:tcPr>
            <w:tcW w:w="88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Accrued expenses and other liabilities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4,787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12,273</w:t>
            </w:r>
          </w:p>
        </w:tc>
      </w:tr>
      <w:tr>
        <w:trPr>
          <w:trHeight w:val="264"/>
        </w:trPr>
        <w:tc>
          <w:tcPr>
            <w:tcW w:w="882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Loans held for sale</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(27,350)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513</w:t>
            </w:r>
          </w:p>
        </w:tc>
      </w:tr>
      <w:tr>
        <w:trPr>
          <w:trHeight w:val="250"/>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48,695</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116,390</w:t>
            </w:r>
          </w:p>
        </w:tc>
      </w:tr>
      <w:tr>
        <w:trPr>
          <w:trHeight w:val="230"/>
        </w:trPr>
        <w:tc>
          <w:tcPr>
            <w:tcW w:w="8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0"/>
        </w:trPr>
        <w:tc>
          <w:tcPr>
            <w:tcW w:w="88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Debt securities held to maturity:</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Proceeds from maturities and calls of securities held to maturity</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29,453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35,531</w:t>
            </w: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Purchases of securities held to maturity</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(8,499)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(11,983)</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Debt securities available for sale and equity securities: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Proceeds from sales of securities available for sale</w:t>
            </w: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225,883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140,296</w:t>
            </w:r>
          </w:p>
        </w:tc>
      </w:tr>
      <w:tr>
        <w:trPr>
          <w:trHeight w:val="277"/>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Proceeds from maturities and calls of securities available for sale</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138,741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174,284</w:t>
            </w: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Purchases of securities available for sale and equity securities</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(45,629)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(280,241)</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increase in loans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(242,584)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(117,492)</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Proceeds from sales of premises and equipment</w:t>
            </w: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1,028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589</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Purchases of premises and equipment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(13,879)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(9,959)</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Net cash paid for acquisition</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(19,545)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(56,800)</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sale of other real estate</w:t>
            </w: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2,260</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1,986</w:t>
            </w:r>
          </w:p>
        </w:tc>
      </w:tr>
      <w:tr>
        <w:trPr>
          <w:trHeight w:val="244"/>
        </w:trPr>
        <w:tc>
          <w:tcPr>
            <w:tcW w:w="88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67,229</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(123,789)</w:t>
            </w:r>
          </w:p>
        </w:tc>
      </w:tr>
      <w:tr>
        <w:trPr>
          <w:trHeight w:val="230"/>
        </w:trPr>
        <w:tc>
          <w:tcPr>
            <w:tcW w:w="8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63"/>
        </w:trPr>
        <w:tc>
          <w:tcPr>
            <w:tcW w:w="8820" w:type="dxa"/>
            <w:vAlign w:val="bottom"/>
            <w:gridSpan w:val="2"/>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Net (decrease) increase in deposits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(154,876)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159,015</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Net increase (decrease) in short-term borrowings</w:t>
            </w: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40,000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(255,598)</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Repayment of long-term debt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(30,023)</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Proceeds from FHLB advances</w:t>
            </w: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1,365,000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1,375,000</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Repayment of FHLB advances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(1,365,000)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(1,319,003)</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Proceeds from issuance of subordinated debt, net of issuance costs</w:t>
            </w:r>
          </w:p>
        </w:tc>
        <w:tc>
          <w:tcPr>
            <w:tcW w:w="2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98,188</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issuance of common stock for dividend reinvestment and employee benefit plans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1,091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285</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142</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Cash paid for shares withheld to cover payroll taxes upon vesting of restricted stock</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w:t>
            </w:r>
          </w:p>
        </w:tc>
      </w:tr>
      <w:tr>
        <w:trPr>
          <w:trHeight w:val="263"/>
        </w:trPr>
        <w:tc>
          <w:tcPr>
            <w:tcW w:w="8820" w:type="dxa"/>
            <w:vAlign w:val="bottom"/>
            <w:gridSpan w:val="2"/>
          </w:tcPr>
          <w:p>
            <w:pPr>
              <w:ind w:left="180"/>
              <w:spacing w:after="0"/>
              <w:rPr>
                <w:sz w:val="20"/>
                <w:szCs w:val="20"/>
                <w:color w:val="auto"/>
              </w:rPr>
            </w:pPr>
            <w:r>
              <w:rPr>
                <w:rFonts w:ascii="Arial" w:cs="Arial" w:eastAsia="Arial" w:hAnsi="Arial"/>
                <w:sz w:val="14"/>
                <w:szCs w:val="14"/>
                <w:color w:val="auto"/>
              </w:rPr>
              <w:t>Repurchase of common stock</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(7,840)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Cash dividends on common stock</w:t>
            </w: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(25,743)</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(17,518)</w:t>
            </w:r>
          </w:p>
        </w:tc>
      </w:tr>
      <w:tr>
        <w:trPr>
          <w:trHeight w:val="244"/>
        </w:trPr>
        <w:tc>
          <w:tcPr>
            <w:tcW w:w="88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(167,410)</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9,492</w:t>
            </w:r>
          </w:p>
        </w:tc>
      </w:tr>
      <w:tr>
        <w:trPr>
          <w:trHeight w:val="230"/>
        </w:trPr>
        <w:tc>
          <w:tcPr>
            <w:tcW w:w="8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63"/>
        </w:trPr>
        <w:tc>
          <w:tcPr>
            <w:tcW w:w="882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change in cash and cash equivalents, including restricted cash</w:t>
            </w: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(51,486)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2,093</w:t>
            </w:r>
          </w:p>
        </w:tc>
      </w:tr>
      <w:tr>
        <w:trPr>
          <w:trHeight w:val="237"/>
        </w:trPr>
        <w:tc>
          <w:tcPr>
            <w:tcW w:w="8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64"/>
        </w:trPr>
        <w:tc>
          <w:tcPr>
            <w:tcW w:w="88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Cash and cash equivalents, including restricted cash, at beginning of period</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327,265</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314,275</w:t>
            </w:r>
          </w:p>
        </w:tc>
      </w:tr>
      <w:tr>
        <w:trPr>
          <w:trHeight w:val="230"/>
        </w:trPr>
        <w:tc>
          <w:tcPr>
            <w:tcW w:w="8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96"/>
        </w:trPr>
        <w:tc>
          <w:tcPr>
            <w:tcW w:w="88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b w:val="1"/>
                <w:bCs w:val="1"/>
                <w:color w:val="auto"/>
              </w:rPr>
              <w:t>Cash and cash equivalents, including restricted cash, at end of period</w:t>
            </w:r>
          </w:p>
        </w:tc>
        <w:tc>
          <w:tcPr>
            <w:tcW w:w="2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275,779</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316,368</w:t>
            </w:r>
          </w:p>
        </w:tc>
      </w:tr>
      <w:tr>
        <w:trPr>
          <w:trHeight w:val="210"/>
        </w:trPr>
        <w:tc>
          <w:tcPr>
            <w:tcW w:w="8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63"/>
        </w:trPr>
        <w:tc>
          <w:tcPr>
            <w:tcW w:w="8820" w:type="dxa"/>
            <w:vAlign w:val="bottom"/>
            <w:gridSpan w:val="2"/>
          </w:tcPr>
          <w:p>
            <w:pPr>
              <w:ind w:left="4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7"/>
        </w:trPr>
        <w:tc>
          <w:tcPr>
            <w:tcW w:w="88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Significant non-cash investing and financing transactions: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Unsettled government guaranteed loan sales</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15,331</w:t>
            </w:r>
          </w:p>
        </w:tc>
        <w:tc>
          <w:tcPr>
            <w:tcW w:w="120" w:type="dxa"/>
            <w:vAlign w:val="bottom"/>
          </w:tcPr>
          <w:p>
            <w:pPr>
              <w:spacing w:after="0"/>
              <w:rPr>
                <w:sz w:val="22"/>
                <w:szCs w:val="22"/>
                <w:color w:val="auto"/>
              </w:rPr>
            </w:pPr>
          </w:p>
        </w:tc>
        <w:tc>
          <w:tcPr>
            <w:tcW w:w="280" w:type="dxa"/>
            <w:vAlign w:val="bottom"/>
          </w:tcPr>
          <w:p>
            <w:pPr>
              <w:jc w:val="right"/>
              <w:ind w:right="112"/>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32"/>
              <w:spacing w:after="0"/>
              <w:rPr>
                <w:sz w:val="20"/>
                <w:szCs w:val="20"/>
                <w:color w:val="auto"/>
              </w:rPr>
            </w:pPr>
            <w:r>
              <w:rPr>
                <w:rFonts w:ascii="Arial" w:cs="Arial" w:eastAsia="Arial" w:hAnsi="Arial"/>
                <w:sz w:val="14"/>
                <w:szCs w:val="14"/>
                <w:color w:val="auto"/>
              </w:rPr>
              <w:t>18,800</w:t>
            </w:r>
          </w:p>
        </w:tc>
      </w:tr>
      <w:tr>
        <w:trPr>
          <w:trHeight w:val="277"/>
        </w:trPr>
        <w:tc>
          <w:tcPr>
            <w:tcW w:w="88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Transfers of loans to foreclosed properties</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751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1,609</w:t>
            </w:r>
          </w:p>
        </w:tc>
      </w:tr>
      <w:tr>
        <w:trPr>
          <w:trHeight w:val="263"/>
        </w:trPr>
        <w:tc>
          <w:tcPr>
            <w:tcW w:w="8820" w:type="dxa"/>
            <w:vAlign w:val="bottom"/>
            <w:gridSpan w:val="2"/>
          </w:tcPr>
          <w:p>
            <w:pPr>
              <w:ind w:left="280"/>
              <w:spacing w:after="0"/>
              <w:rPr>
                <w:sz w:val="20"/>
                <w:szCs w:val="20"/>
                <w:color w:val="auto"/>
              </w:rPr>
            </w:pPr>
            <w:r>
              <w:rPr>
                <w:rFonts w:ascii="Arial" w:cs="Arial" w:eastAsia="Arial" w:hAnsi="Arial"/>
                <w:sz w:val="14"/>
                <w:szCs w:val="14"/>
                <w:color w:val="auto"/>
              </w:rPr>
              <w:t>Acquisitions:</w:t>
            </w: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64"/>
        </w:trPr>
        <w:tc>
          <w:tcPr>
            <w:tcW w:w="8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r>
    </w:tbl>
    <w:p>
      <w:pPr>
        <w:sectPr>
          <w:pgSz w:w="11900" w:h="16900" w:orient="portrait"/>
          <w:cols w:equalWidth="0" w:num="1">
            <w:col w:w="11420"/>
          </w:cols>
          <w:pgMar w:left="240" w:top="720" w:right="2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Assets acquired</w:t>
            </w:r>
          </w:p>
        </w:tc>
        <w:tc>
          <w:tcPr>
            <w:tcW w:w="4460" w:type="dxa"/>
            <w:vAlign w:val="bottom"/>
            <w:tcBorders>
              <w:bottom w:val="single" w:sz="8" w:color="CCEEFF"/>
            </w:tcBorders>
            <w:shd w:val="clear" w:color="auto" w:fill="CCEEFF"/>
          </w:tcPr>
          <w:p>
            <w:pPr>
              <w:jc w:val="right"/>
              <w:ind w:right="392"/>
              <w:spacing w:after="0"/>
              <w:rPr>
                <w:sz w:val="20"/>
                <w:szCs w:val="20"/>
                <w:color w:val="auto"/>
              </w:rPr>
            </w:pPr>
            <w:r>
              <w:rPr>
                <w:rFonts w:ascii="Arial" w:cs="Arial" w:eastAsia="Arial" w:hAnsi="Arial"/>
                <w:sz w:val="14"/>
                <w:szCs w:val="14"/>
                <w:color w:val="auto"/>
              </w:rPr>
              <w:t>264,937</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480,679</w:t>
            </w:r>
          </w:p>
        </w:tc>
      </w:tr>
      <w:tr>
        <w:trPr>
          <w:trHeight w:val="263"/>
        </w:trPr>
        <w:tc>
          <w:tcPr>
            <w:tcW w:w="5960" w:type="dxa"/>
            <w:vAlign w:val="bottom"/>
          </w:tcPr>
          <w:p>
            <w:pPr>
              <w:ind w:left="380"/>
              <w:spacing w:after="0"/>
              <w:rPr>
                <w:sz w:val="20"/>
                <w:szCs w:val="20"/>
                <w:color w:val="auto"/>
              </w:rPr>
            </w:pPr>
            <w:r>
              <w:rPr>
                <w:rFonts w:ascii="Arial" w:cs="Arial" w:eastAsia="Arial" w:hAnsi="Arial"/>
                <w:sz w:val="14"/>
                <w:szCs w:val="14"/>
                <w:color w:val="auto"/>
              </w:rPr>
              <w:t>Liabilities assumed</w:t>
            </w:r>
          </w:p>
        </w:tc>
        <w:tc>
          <w:tcPr>
            <w:tcW w:w="4460" w:type="dxa"/>
            <w:vAlign w:val="bottom"/>
          </w:tcPr>
          <w:p>
            <w:pPr>
              <w:jc w:val="right"/>
              <w:ind w:right="392"/>
              <w:spacing w:after="0"/>
              <w:rPr>
                <w:sz w:val="20"/>
                <w:szCs w:val="20"/>
                <w:color w:val="auto"/>
              </w:rPr>
            </w:pPr>
            <w:r>
              <w:rPr>
                <w:rFonts w:ascii="Arial" w:cs="Arial" w:eastAsia="Arial" w:hAnsi="Arial"/>
                <w:sz w:val="14"/>
                <w:szCs w:val="14"/>
                <w:color w:val="auto"/>
              </w:rPr>
              <w:t>212,844</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350,433</w:t>
            </w:r>
          </w:p>
        </w:tc>
      </w:tr>
      <w:tr>
        <w:trPr>
          <w:trHeight w:val="277"/>
        </w:trPr>
        <w:tc>
          <w:tcPr>
            <w:tcW w:w="5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assets acquired</w:t>
            </w:r>
          </w:p>
        </w:tc>
        <w:tc>
          <w:tcPr>
            <w:tcW w:w="4460" w:type="dxa"/>
            <w:vAlign w:val="bottom"/>
            <w:shd w:val="clear" w:color="auto" w:fill="CCEEFF"/>
          </w:tcPr>
          <w:p>
            <w:pPr>
              <w:jc w:val="right"/>
              <w:ind w:right="392"/>
              <w:spacing w:after="0"/>
              <w:rPr>
                <w:sz w:val="20"/>
                <w:szCs w:val="20"/>
                <w:color w:val="auto"/>
              </w:rPr>
            </w:pPr>
            <w:r>
              <w:rPr>
                <w:rFonts w:ascii="Arial" w:cs="Arial" w:eastAsia="Arial" w:hAnsi="Arial"/>
                <w:sz w:val="14"/>
                <w:szCs w:val="14"/>
                <w:color w:val="auto"/>
              </w:rPr>
              <w:t>52,093</w:t>
            </w:r>
          </w:p>
        </w:tc>
        <w:tc>
          <w:tcPr>
            <w:tcW w:w="10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130,246</w:t>
            </w:r>
          </w:p>
        </w:tc>
      </w:tr>
      <w:tr>
        <w:trPr>
          <w:trHeight w:val="256"/>
        </w:trPr>
        <w:tc>
          <w:tcPr>
            <w:tcW w:w="5960" w:type="dxa"/>
            <w:vAlign w:val="bottom"/>
          </w:tcPr>
          <w:p>
            <w:pPr>
              <w:ind w:left="380"/>
              <w:spacing w:after="0"/>
              <w:rPr>
                <w:sz w:val="20"/>
                <w:szCs w:val="20"/>
                <w:color w:val="auto"/>
              </w:rPr>
            </w:pPr>
            <w:r>
              <w:rPr>
                <w:rFonts w:ascii="Arial" w:cs="Arial" w:eastAsia="Arial" w:hAnsi="Arial"/>
                <w:sz w:val="14"/>
                <w:szCs w:val="14"/>
                <w:color w:val="auto"/>
              </w:rPr>
              <w:t>Common stock issued in acquisitions</w:t>
            </w:r>
          </w:p>
        </w:tc>
        <w:tc>
          <w:tcPr>
            <w:tcW w:w="4460" w:type="dxa"/>
            <w:vAlign w:val="bottom"/>
          </w:tcPr>
          <w:p>
            <w:pPr>
              <w:jc w:val="right"/>
              <w:ind w:right="392"/>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45,746</w:t>
            </w:r>
          </w:p>
        </w:tc>
      </w:tr>
    </w:tbl>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accounting and financial reporting policies of United Community Banks, Inc. and its subsidiaries (collectively referred to herein as “United”) conform to accounting principles generally accepted in the United States (“GAAP”) and reporting guidelines of banking regulatory authorities and regulators. The accompanying interim consolidated financial statements have not been audited. All material intercompany balances and transactions have been eliminated. A more detailed description of United’s accounting policies is included in its Annual Report on Form 10-K for the year ended December 31, 2018 (the “2018 10-K”).</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 The accompanying unaudited consolidated financial statements should be read in conjunction with the consolidated financial statements and related notes appearing in United’s 2018 10-K.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Standards Updates and Recently Adopted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Standards Updates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No. 2016-13, </w:t>
      </w:r>
      <w:r>
        <w:rPr>
          <w:rFonts w:ascii="Arial" w:cs="Arial" w:eastAsia="Arial" w:hAnsi="Arial"/>
          <w:sz w:val="16"/>
          <w:szCs w:val="16"/>
          <w:i w:val="1"/>
          <w:iCs w:val="1"/>
          <w:color w:val="auto"/>
        </w:rPr>
        <w:t>Financial Instruments –</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(Topic 326): Measurement of Credit Losses on Financial Instruments</w:t>
      </w:r>
      <w:r>
        <w:rPr>
          <w:rFonts w:ascii="Arial" w:cs="Arial" w:eastAsia="Arial" w:hAnsi="Arial"/>
          <w:sz w:val="16"/>
          <w:szCs w:val="16"/>
          <w:color w:val="auto"/>
        </w:rPr>
        <w:t>. This guidance was further modified in November 2018 by ASU No.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2018-19, </w:t>
      </w:r>
      <w:r>
        <w:rPr>
          <w:rFonts w:ascii="Arial" w:cs="Arial" w:eastAsia="Arial" w:hAnsi="Arial"/>
          <w:sz w:val="16"/>
          <w:szCs w:val="16"/>
          <w:i w:val="1"/>
          <w:iCs w:val="1"/>
          <w:color w:val="auto"/>
        </w:rPr>
        <w:t>Codification Improvements to Topic 326, Financial Instruments - Credit Losses,</w:t>
      </w:r>
      <w:r>
        <w:rPr>
          <w:rFonts w:ascii="Arial" w:cs="Arial" w:eastAsia="Arial" w:hAnsi="Arial"/>
          <w:sz w:val="16"/>
          <w:szCs w:val="16"/>
          <w:color w:val="auto"/>
        </w:rPr>
        <w:t xml:space="preserve"> in April 2019 by ASU No. 2019-04, </w:t>
      </w:r>
      <w:r>
        <w:rPr>
          <w:rFonts w:ascii="Arial" w:cs="Arial" w:eastAsia="Arial" w:hAnsi="Arial"/>
          <w:sz w:val="16"/>
          <w:szCs w:val="16"/>
          <w:i w:val="1"/>
          <w:iCs w:val="1"/>
          <w:color w:val="auto"/>
        </w:rPr>
        <w:t>Codification Improvements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326, Financial Instruments - Credit Losses, Topic 815, Derivatives and Hedging, and Topic 825 Financial Instruments </w:t>
      </w:r>
      <w:r>
        <w:rPr>
          <w:rFonts w:ascii="Arial" w:cs="Arial" w:eastAsia="Arial" w:hAnsi="Arial"/>
          <w:sz w:val="16"/>
          <w:szCs w:val="16"/>
          <w:color w:val="auto"/>
        </w:rPr>
        <w:t>and in May 2019 by ASU No.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2019-05, </w:t>
      </w:r>
      <w:r>
        <w:rPr>
          <w:rFonts w:ascii="Arial" w:cs="Arial" w:eastAsia="Arial" w:hAnsi="Arial"/>
          <w:sz w:val="16"/>
          <w:szCs w:val="16"/>
          <w:i w:val="1"/>
          <w:iCs w:val="1"/>
          <w:color w:val="auto"/>
        </w:rPr>
        <w:t>Financial Instruments - Credit Losses (Topic 326): Targeted Transition Relief.</w:t>
      </w:r>
      <w:r>
        <w:rPr>
          <w:rFonts w:ascii="Arial" w:cs="Arial" w:eastAsia="Arial" w:hAnsi="Arial"/>
          <w:sz w:val="16"/>
          <w:szCs w:val="16"/>
          <w:color w:val="auto"/>
        </w:rPr>
        <w:t xml:space="preserve"> The new guidance replaces the incurred loss impairment methodology in current GAAP with a current expected credit loss (“CECL”) methodology, requires consideration of a broader range of information to determine credit loss estimates and generally applies to financial assets measured at amortized cost and some off-balance sheet credit exposures. Financial assets measured at amortized cost will be presented at the net amount expected to be collected by using an allowance for credit losses. Purchased credit deteriorated loans will receive an allowance account at the acquisition date that represents a component of the purchase price allocation. Credit losses relating to available-for-sale debt securities will be recorded through an allowance for credit losses, with such allowance limited to the amount by which fair value is below amortized cost. Application of this update will primarily be on a modified retrospective approach, although the guidance for debt securities for which an other-than-temporary impairment has been recognized before the effective date and for loans previously covered by Accounting Standards Codification 310-30 (“ASC 310-30”), </w:t>
      </w:r>
      <w:r>
        <w:rPr>
          <w:rFonts w:ascii="Arial" w:cs="Arial" w:eastAsia="Arial" w:hAnsi="Arial"/>
          <w:sz w:val="16"/>
          <w:szCs w:val="16"/>
          <w:i w:val="1"/>
          <w:iCs w:val="1"/>
          <w:color w:val="auto"/>
        </w:rPr>
        <w:t>Receivables – Loans and Debt Securities Acquired with Deteriorated Credit Quality</w:t>
      </w:r>
      <w:r>
        <w:rPr>
          <w:rFonts w:ascii="Arial" w:cs="Arial" w:eastAsia="Arial" w:hAnsi="Arial"/>
          <w:sz w:val="16"/>
          <w:szCs w:val="16"/>
          <w:color w:val="auto"/>
        </w:rPr>
        <w:t xml:space="preserve"> will be applied on a prospective basis. For public entities, this update is effective for fiscal years beginning after December 15, 2019. Upon adoption, United expects that the allowance for credit losses will be higher given the change to estimated losses for the estimated life of the financial asset; however, management is still in the process of determining the impact. During the second quarter of 2019, management’s CECL steering committee continued the process of populating relevant data, monitoring the impact of various model assumptions, and documenting processes and controls in preparation for adoption of Topic 326. The committee also completed a loan-focused parallel run using first quarter data. During the remainder of 2019, management plans to run additional parallel runs of the allowance model under the expected credit loss methodology. Management will incrementally widen the scope of model runs until a full CECL run is completed. During monthly steering committee meetings, management regularly reviews project status, gap remediation efforts and project priorities.</w:t>
      </w:r>
    </w:p>
    <w:p>
      <w:pPr>
        <w:spacing w:after="0" w:line="16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As referenced above, in April 2019, the FASB issued ASU No. 2019-04, </w:t>
      </w:r>
      <w:r>
        <w:rPr>
          <w:rFonts w:ascii="Arial" w:cs="Arial" w:eastAsia="Arial" w:hAnsi="Arial"/>
          <w:sz w:val="16"/>
          <w:szCs w:val="16"/>
          <w:i w:val="1"/>
          <w:iCs w:val="1"/>
          <w:color w:val="auto"/>
        </w:rPr>
        <w:t>Codification Improvements to Topic 326, Financial Instruments - Credit Losses,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815, Derivatives and Hedging, and Topic 825 Financial Instruments</w:t>
      </w:r>
      <w:r>
        <w:rPr>
          <w:rFonts w:ascii="Arial" w:cs="Arial" w:eastAsia="Arial" w:hAnsi="Arial"/>
          <w:sz w:val="16"/>
          <w:szCs w:val="16"/>
          <w:color w:val="auto"/>
        </w:rPr>
        <w:t>. In addition to amending guidance related to the new CECL standard, this update</w:t>
      </w:r>
      <w:r>
        <w:rPr>
          <w:rFonts w:ascii="Arial" w:cs="Arial" w:eastAsia="Arial" w:hAnsi="Arial"/>
          <w:sz w:val="16"/>
          <w:szCs w:val="16"/>
          <w:i w:val="1"/>
          <w:iCs w:val="1"/>
          <w:color w:val="auto"/>
        </w:rPr>
        <w:t xml:space="preserve"> </w:t>
      </w:r>
      <w:r>
        <w:rPr>
          <w:rFonts w:ascii="Arial" w:cs="Arial" w:eastAsia="Arial" w:hAnsi="Arial"/>
          <w:sz w:val="16"/>
          <w:szCs w:val="16"/>
          <w:color w:val="auto"/>
        </w:rPr>
        <w:t>clarifies certain aspects of hedge accounting and recognition and measurement of financial instruments. The non-CECL provisions of this update are effective for United as of January 1, 2020. United does not expect the new guidance to have a material impact on the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Standards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This guidance was further modified by ASU No. 2018-10, </w:t>
      </w:r>
      <w:r>
        <w:rPr>
          <w:rFonts w:ascii="Arial" w:cs="Arial" w:eastAsia="Arial" w:hAnsi="Arial"/>
          <w:sz w:val="16"/>
          <w:szCs w:val="16"/>
          <w:i w:val="1"/>
          <w:iCs w:val="1"/>
          <w:color w:val="auto"/>
        </w:rPr>
        <w:t>Codification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 to Topic 842 Leases</w:t>
      </w:r>
      <w:r>
        <w:rPr>
          <w:rFonts w:ascii="Arial" w:cs="Arial" w:eastAsia="Arial" w:hAnsi="Arial"/>
          <w:sz w:val="16"/>
          <w:szCs w:val="16"/>
          <w:color w:val="auto"/>
        </w:rPr>
        <w:t>, ASU No. 2018-11,</w:t>
      </w:r>
      <w:r>
        <w:rPr>
          <w:rFonts w:ascii="Arial" w:cs="Arial" w:eastAsia="Arial" w:hAnsi="Arial"/>
          <w:sz w:val="16"/>
          <w:szCs w:val="16"/>
          <w:i w:val="1"/>
          <w:iCs w:val="1"/>
          <w:color w:val="auto"/>
        </w:rPr>
        <w:t xml:space="preserve"> Leases (Topic 842): Targeted Improvements</w:t>
      </w:r>
      <w:r>
        <w:rPr>
          <w:rFonts w:ascii="Arial" w:cs="Arial" w:eastAsia="Arial" w:hAnsi="Arial"/>
          <w:sz w:val="16"/>
          <w:szCs w:val="16"/>
          <w:color w:val="auto"/>
        </w:rPr>
        <w:t>, ASU No. 2018-20,</w:t>
      </w:r>
      <w:r>
        <w:rPr>
          <w:rFonts w:ascii="Arial" w:cs="Arial" w:eastAsia="Arial" w:hAnsi="Arial"/>
          <w:sz w:val="16"/>
          <w:szCs w:val="16"/>
          <w:i w:val="1"/>
          <w:iCs w:val="1"/>
          <w:color w:val="auto"/>
        </w:rPr>
        <w:t xml:space="preserve"> Leases (Topic 842): Narrow-Scope Improvements for Lessors </w:t>
      </w:r>
      <w:r>
        <w:rPr>
          <w:rFonts w:ascii="Arial" w:cs="Arial" w:eastAsia="Arial" w:hAnsi="Arial"/>
          <w:sz w:val="16"/>
          <w:szCs w:val="16"/>
          <w:color w:val="auto"/>
        </w:rPr>
        <w:t>and ASU No. 2019-01,</w:t>
      </w:r>
      <w:r>
        <w:rPr>
          <w:rFonts w:ascii="Arial" w:cs="Arial" w:eastAsia="Arial" w:hAnsi="Arial"/>
          <w:sz w:val="16"/>
          <w:szCs w:val="16"/>
          <w:i w:val="1"/>
          <w:iCs w:val="1"/>
          <w:color w:val="auto"/>
        </w:rPr>
        <w:t xml:space="preserve"> Leases (Topic 842): Codification Improvements</w:t>
      </w:r>
      <w:r>
        <w:rPr>
          <w:rFonts w:ascii="Arial" w:cs="Arial" w:eastAsia="Arial" w:hAnsi="Arial"/>
          <w:sz w:val="16"/>
          <w:szCs w:val="16"/>
          <w:color w:val="auto"/>
        </w:rPr>
        <w:t>. These standards require a lessee to recognize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balance sheet a liability to make lease payments (the lease liability) and a right-of-use asset representing its right to use the underlying asset for the lease term. United adopted the standard on January 1, 2019 using the optional transition method, which allowed for a modified retrospective method of adoption with a cumulative effect adjustment to shareholders’ equity without restating comparable periods. United also elected the relief package of practical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expedients for which there is no requirement to reassess existence of leases, their classification, and initial direct costs as well as an exemption for short-term leases with a term of less than one year, whereby United does not recognize a lease liability or right-of-use asset on the consolidated balance sheet but instead recognizes lease payments as an expense over the lease term as appropriate. The adoption of this guidance resulted in recognition of a right-of-use asset of $23.8 million, a lease liability of $26.8 million and a reduction of shareholders’ equity of $549,000, net of tax, related to its operating leases. In addition, United has equipment financing leases for which it is the lessor, which were previously accounted for as capital leases. Upon adoption of Topic 842, these leases were classified as sales-type or direct financing leases, which required no significant change in accounting policy or treatment. These lease agreements may include options to renew and for the lessee to purchase the leased equipment at the end of the lease term. As a lessor, United elected to exclude sales taxes from consideration in lease contracts. In the opinion of management, the changes described above resulting from the adoption of the standard did not have a material impact on the consolidated financial statements. See Notes 6 and 16 for additional information on equipment financing leases and operating leases,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 of First Madison Bank and Trust</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May 1, 2019, United completed the acquisition of First Madison Bank &amp; Trust (“FMBT”). FMBT operated four banking offices in Athens-Clarke County, Georgia. In connection with the acquisition, United acquired $245 million of assets and assumed $213 million of liabilities. Under the terms of the merger agreement, FMBT shareholders received $52.1 million in cash. The fair value of consideration paid exceeded the fair value of the identifiable assets and liabilities acquired and resulted in the establishment of goodwill in the amount of $20.3 million, representing the intangible value of FMBT’s business and reputation within the markets it served. None of the goodwill is expected to be deductible for income tax purposes. United will amortize the related core deposit intangible of $2.80 million using the sum-of-the-years-digits method over 9.25 years, which represents the expected useful life of the asset.</w:t>
      </w:r>
    </w:p>
    <w:p>
      <w:pPr>
        <w:spacing w:after="0" w:line="1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United’s operating results for the three and six months ended June 30, 2019 include the operating results of the acquired business for the period subsequent to the acquisition date of May 1, 2019.</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purchased assets and assumed liabilities were recorded at their acquisition date fair values and are summarized in the table below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As Recorded by</w:t>
            </w:r>
          </w:p>
        </w:tc>
        <w:tc>
          <w:tcPr>
            <w:tcW w:w="180" w:type="dxa"/>
            <w:vAlign w:val="bottom"/>
          </w:tcPr>
          <w:p>
            <w:pPr>
              <w:spacing w:after="0"/>
              <w:rPr>
                <w:sz w:val="17"/>
                <w:szCs w:val="17"/>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Fair Value</w:t>
            </w:r>
          </w:p>
        </w:tc>
        <w:tc>
          <w:tcPr>
            <w:tcW w:w="180" w:type="dxa"/>
            <w:vAlign w:val="bottom"/>
          </w:tcPr>
          <w:p>
            <w:pPr>
              <w:spacing w:after="0"/>
              <w:rPr>
                <w:sz w:val="17"/>
                <w:szCs w:val="17"/>
                <w:color w:val="auto"/>
              </w:rPr>
            </w:pPr>
          </w:p>
        </w:tc>
        <w:tc>
          <w:tcPr>
            <w:tcW w:w="1400" w:type="dxa"/>
            <w:vAlign w:val="bottom"/>
          </w:tcPr>
          <w:p>
            <w:pPr>
              <w:jc w:val="right"/>
              <w:ind w:right="159"/>
              <w:spacing w:after="0"/>
              <w:rPr>
                <w:sz w:val="20"/>
                <w:szCs w:val="20"/>
                <w:color w:val="auto"/>
              </w:rPr>
            </w:pPr>
            <w:r>
              <w:rPr>
                <w:rFonts w:ascii="Arial" w:cs="Arial" w:eastAsia="Arial" w:hAnsi="Arial"/>
                <w:sz w:val="16"/>
                <w:szCs w:val="16"/>
                <w:b w:val="1"/>
                <w:bCs w:val="1"/>
                <w:color w:val="auto"/>
                <w:w w:val="93"/>
              </w:rPr>
              <w:t>As Recorded by</w:t>
            </w:r>
          </w:p>
        </w:tc>
        <w:tc>
          <w:tcPr>
            <w:tcW w:w="0" w:type="dxa"/>
            <w:vAlign w:val="bottom"/>
          </w:tcPr>
          <w:p>
            <w:pPr>
              <w:spacing w:after="0"/>
              <w:rPr>
                <w:sz w:val="1"/>
                <w:szCs w:val="1"/>
                <w:color w:val="auto"/>
              </w:rPr>
            </w:pPr>
          </w:p>
        </w:tc>
      </w:tr>
      <w:tr>
        <w:trPr>
          <w:trHeight w:val="243"/>
        </w:trPr>
        <w:tc>
          <w:tcPr>
            <w:tcW w:w="6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FMBT</w:t>
            </w:r>
          </w:p>
        </w:tc>
        <w:tc>
          <w:tcPr>
            <w:tcW w:w="180" w:type="dxa"/>
            <w:vAlign w:val="bottom"/>
          </w:tcPr>
          <w:p>
            <w:pPr>
              <w:spacing w:after="0"/>
              <w:rPr>
                <w:sz w:val="21"/>
                <w:szCs w:val="21"/>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 xml:space="preserve">Adjustments </w:t>
            </w:r>
            <w:r>
              <w:rPr>
                <w:rFonts w:ascii="Arial" w:cs="Arial" w:eastAsia="Arial" w:hAnsi="Arial"/>
                <w:sz w:val="21"/>
                <w:szCs w:val="21"/>
                <w:b w:val="1"/>
                <w:bCs w:val="1"/>
                <w:color w:val="auto"/>
                <w:w w:val="87"/>
                <w:vertAlign w:val="superscript"/>
              </w:rPr>
              <w:t>(1)</w:t>
            </w:r>
          </w:p>
        </w:tc>
        <w:tc>
          <w:tcPr>
            <w:tcW w:w="180" w:type="dxa"/>
            <w:vAlign w:val="bottom"/>
          </w:tcPr>
          <w:p>
            <w:pPr>
              <w:spacing w:after="0"/>
              <w:rPr>
                <w:sz w:val="21"/>
                <w:szCs w:val="21"/>
                <w:color w:val="auto"/>
              </w:rPr>
            </w:pPr>
          </w:p>
        </w:tc>
        <w:tc>
          <w:tcPr>
            <w:tcW w:w="1400" w:type="dxa"/>
            <w:vAlign w:val="bottom"/>
          </w:tcPr>
          <w:p>
            <w:pPr>
              <w:jc w:val="right"/>
              <w:ind w:right="479"/>
              <w:spacing w:after="0"/>
              <w:rPr>
                <w:sz w:val="20"/>
                <w:szCs w:val="20"/>
                <w:color w:val="auto"/>
              </w:rPr>
            </w:pPr>
            <w:r>
              <w:rPr>
                <w:rFonts w:ascii="Arial" w:cs="Arial" w:eastAsia="Arial" w:hAnsi="Arial"/>
                <w:sz w:val="16"/>
                <w:szCs w:val="16"/>
                <w:b w:val="1"/>
                <w:bCs w:val="1"/>
                <w:color w:val="auto"/>
              </w:rPr>
              <w:t>United</w:t>
            </w:r>
          </w:p>
        </w:tc>
        <w:tc>
          <w:tcPr>
            <w:tcW w:w="0" w:type="dxa"/>
            <w:vAlign w:val="bottom"/>
          </w:tcPr>
          <w:p>
            <w:pPr>
              <w:spacing w:after="0"/>
              <w:rPr>
                <w:sz w:val="1"/>
                <w:szCs w:val="1"/>
                <w:color w:val="auto"/>
              </w:rPr>
            </w:pPr>
          </w:p>
        </w:tc>
      </w:tr>
      <w:tr>
        <w:trPr>
          <w:trHeight w:val="244"/>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32,548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32,548</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197,682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192,494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Allowance for loan losses</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(6,338)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6,338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Premises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8,524</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Bank owned life insurance</w:t>
            </w:r>
          </w:p>
        </w:tc>
        <w:tc>
          <w:tcPr>
            <w:tcW w:w="200" w:type="dxa"/>
            <w:vAlign w:val="bottom"/>
          </w:tcPr>
          <w:p>
            <w:pPr>
              <w:spacing w:after="0"/>
              <w:rPr>
                <w:sz w:val="20"/>
                <w:szCs w:val="20"/>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6,823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6,823</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deferred tax asset</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Core deposit intangible</w:t>
            </w:r>
          </w:p>
        </w:tc>
        <w:tc>
          <w:tcPr>
            <w:tcW w:w="200" w:type="dxa"/>
            <w:vAlign w:val="bottom"/>
          </w:tcPr>
          <w:p>
            <w:pPr>
              <w:spacing w:after="0"/>
              <w:rPr>
                <w:sz w:val="20"/>
                <w:szCs w:val="20"/>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2,800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2,800</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1,032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1,278</w:t>
            </w:r>
          </w:p>
        </w:tc>
        <w:tc>
          <w:tcPr>
            <w:tcW w:w="0" w:type="dxa"/>
            <w:vAlign w:val="bottom"/>
          </w:tcPr>
          <w:p>
            <w:pPr>
              <w:spacing w:after="0"/>
              <w:rPr>
                <w:sz w:val="1"/>
                <w:szCs w:val="1"/>
                <w:color w:val="auto"/>
              </w:rPr>
            </w:pPr>
          </w:p>
        </w:tc>
      </w:tr>
      <w:tr>
        <w:trPr>
          <w:trHeight w:val="284"/>
        </w:trPr>
        <w:tc>
          <w:tcPr>
            <w:tcW w:w="6400" w:type="dxa"/>
            <w:vAlign w:val="bottom"/>
            <w:tcBorders>
              <w:bottom w:val="single" w:sz="8" w:color="CCEEFF"/>
            </w:tcBorders>
          </w:tcPr>
          <w:p>
            <w:pPr>
              <w:ind w:left="280"/>
              <w:spacing w:after="0"/>
              <w:rPr>
                <w:sz w:val="20"/>
                <w:szCs w:val="20"/>
                <w:color w:val="auto"/>
              </w:rPr>
            </w:pPr>
            <w:r>
              <w:rPr>
                <w:rFonts w:ascii="Arial" w:cs="Arial" w:eastAsia="Arial" w:hAnsi="Arial"/>
                <w:sz w:val="16"/>
                <w:szCs w:val="16"/>
                <w:b w:val="1"/>
                <w:bCs w:val="1"/>
                <w:color w:val="auto"/>
              </w:rPr>
              <w:t>Total assets acquired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240,257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4,367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244,624</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Deposits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211,884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243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212,127</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217"/>
        </w:trPr>
        <w:tc>
          <w:tcPr>
            <w:tcW w:w="6400" w:type="dxa"/>
            <w:vAlign w:val="bottom"/>
          </w:tcPr>
          <w:p>
            <w:pPr>
              <w:ind w:left="280"/>
              <w:spacing w:after="0"/>
              <w:rPr>
                <w:sz w:val="20"/>
                <w:szCs w:val="20"/>
                <w:color w:val="auto"/>
              </w:rPr>
            </w:pPr>
            <w:r>
              <w:rPr>
                <w:rFonts w:ascii="Arial" w:cs="Arial" w:eastAsia="Arial" w:hAnsi="Arial"/>
                <w:sz w:val="16"/>
                <w:szCs w:val="16"/>
                <w:b w:val="1"/>
                <w:bCs w:val="1"/>
                <w:color w:val="auto"/>
              </w:rPr>
              <w:t>Total liabilities assumed</w:t>
            </w: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212,808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212,844</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Excess of assets acquired over liabilities assumed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27,449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Arial" w:cs="Arial" w:eastAsia="Arial" w:hAnsi="Arial"/>
                <w:sz w:val="16"/>
                <w:szCs w:val="16"/>
                <w:color w:val="auto"/>
              </w:rPr>
              <w:t>Aggregate fair value adjustments</w:t>
            </w: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vMerge w:val="restart"/>
          </w:tcPr>
          <w:p>
            <w:pPr>
              <w:jc w:val="right"/>
              <w:ind w:right="39"/>
              <w:spacing w:after="0"/>
              <w:rPr>
                <w:sz w:val="20"/>
                <w:szCs w:val="20"/>
                <w:color w:val="auto"/>
              </w:rPr>
            </w:pPr>
            <w:r>
              <w:rPr>
                <w:rFonts w:ascii="Arial" w:cs="Arial" w:eastAsia="Arial" w:hAnsi="Arial"/>
                <w:sz w:val="16"/>
                <w:szCs w:val="16"/>
                <w:color w:val="auto"/>
              </w:rPr>
              <w:t>4,331</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00" w:type="dxa"/>
            <w:vAlign w:val="bottom"/>
            <w:tcBorders>
              <w:bottom w:val="single" w:sz="8" w:color="CCEEFF"/>
            </w:tcBorders>
            <w:vMerge w:val="continue"/>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identifiable net assets</w:t>
            </w: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31,780</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b w:val="1"/>
                <w:bCs w:val="1"/>
                <w:color w:val="auto"/>
              </w:rPr>
              <w:t>Cash consideration transferred</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52,093</w:t>
            </w:r>
          </w:p>
        </w:tc>
        <w:tc>
          <w:tcPr>
            <w:tcW w:w="0" w:type="dxa"/>
            <w:vAlign w:val="bottom"/>
          </w:tcPr>
          <w:p>
            <w:pPr>
              <w:spacing w:after="0"/>
              <w:rPr>
                <w:sz w:val="1"/>
                <w:szCs w:val="1"/>
                <w:color w:val="auto"/>
              </w:rPr>
            </w:pPr>
          </w:p>
        </w:tc>
      </w:tr>
      <w:tr>
        <w:trPr>
          <w:trHeight w:val="33"/>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20,313</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firstLine="8"/>
        <w:spacing w:after="0" w:line="321" w:lineRule="auto"/>
        <w:tabs>
          <w:tab w:leader="none" w:pos="153" w:val="left"/>
        </w:tabs>
        <w:numPr>
          <w:ilvl w:val="0"/>
          <w:numId w:val="4"/>
        </w:numPr>
        <w:rPr>
          <w:rFonts w:ascii="Arial" w:cs="Arial" w:eastAsia="Arial" w:hAnsi="Arial"/>
          <w:sz w:val="17"/>
          <w:szCs w:val="17"/>
          <w:color w:val="auto"/>
          <w:vertAlign w:val="superscript"/>
        </w:rPr>
      </w:pPr>
      <w:r>
        <w:rPr>
          <w:rFonts w:ascii="Arial" w:cs="Arial" w:eastAsia="Arial" w:hAnsi="Arial"/>
          <w:sz w:val="13"/>
          <w:szCs w:val="13"/>
          <w:color w:val="auto"/>
        </w:rPr>
        <w:t>Fair values are preliminary and are subject to refinement for a period not to exceed one year after the closing date of an acquisition as information relative to closing date fair values becomes available.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additional information related to the acquired loan portfolio at the acquisition date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2"/>
          </w:tcPr>
          <w:p>
            <w:pPr>
              <w:ind w:left="80"/>
              <w:spacing w:after="0"/>
              <w:rPr>
                <w:sz w:val="20"/>
                <w:szCs w:val="20"/>
                <w:color w:val="auto"/>
              </w:rPr>
            </w:pPr>
            <w:r>
              <w:rPr>
                <w:rFonts w:ascii="Arial" w:cs="Arial" w:eastAsia="Arial" w:hAnsi="Arial"/>
                <w:sz w:val="16"/>
                <w:szCs w:val="16"/>
                <w:b w:val="1"/>
                <w:bCs w:val="1"/>
                <w:color w:val="auto"/>
              </w:rPr>
              <w:t>May 1, 2019</w:t>
            </w:r>
          </w:p>
        </w:tc>
      </w:tr>
      <w:tr>
        <w:trPr>
          <w:trHeight w:val="33"/>
        </w:trPr>
        <w:tc>
          <w:tcPr>
            <w:tcW w:w="8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6"/>
                <w:szCs w:val="16"/>
                <w:b w:val="1"/>
                <w:bCs w:val="1"/>
                <w:color w:val="auto"/>
              </w:rPr>
              <w:t>Accounted for pursuant to ASC 310-30:</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tcPr>
          <w:p>
            <w:pPr>
              <w:ind w:left="1760"/>
              <w:spacing w:after="0"/>
              <w:rPr>
                <w:sz w:val="20"/>
                <w:szCs w:val="20"/>
                <w:color w:val="auto"/>
              </w:rPr>
            </w:pPr>
            <w:r>
              <w:rPr>
                <w:rFonts w:ascii="Arial" w:cs="Arial" w:eastAsia="Arial" w:hAnsi="Arial"/>
                <w:sz w:val="16"/>
                <w:szCs w:val="16"/>
                <w:color w:val="auto"/>
              </w:rPr>
              <w:t>Contractually required principal and interest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13,145</w:t>
            </w:r>
          </w:p>
        </w:tc>
        <w:tc>
          <w:tcPr>
            <w:tcW w:w="1700" w:type="dxa"/>
            <w:vAlign w:val="bottom"/>
          </w:tcPr>
          <w:p>
            <w:pPr>
              <w:spacing w:after="0"/>
              <w:rPr>
                <w:sz w:val="20"/>
                <w:szCs w:val="20"/>
                <w:color w:val="auto"/>
              </w:rPr>
            </w:pPr>
          </w:p>
        </w:tc>
      </w:tr>
      <w:tr>
        <w:trPr>
          <w:trHeight w:val="33"/>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6"/>
                <w:szCs w:val="16"/>
                <w:color w:val="auto"/>
              </w:rPr>
              <w:t>Non-accretable difference</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2,517</w:t>
            </w:r>
          </w:p>
        </w:tc>
        <w:tc>
          <w:tcPr>
            <w:tcW w:w="1700" w:type="dxa"/>
            <w:vAlign w:val="bottom"/>
            <w:tcBorders>
              <w:bottom w:val="single" w:sz="8" w:color="CCEEFF"/>
            </w:tcBorders>
            <w:shd w:val="clear" w:color="auto" w:fill="CCEEFF"/>
          </w:tcPr>
          <w:p>
            <w:pPr>
              <w:spacing w:after="0"/>
              <w:rPr>
                <w:sz w:val="23"/>
                <w:szCs w:val="23"/>
                <w:color w:val="auto"/>
              </w:rPr>
            </w:pPr>
          </w:p>
        </w:tc>
      </w:tr>
      <w:tr>
        <w:trPr>
          <w:trHeight w:val="217"/>
        </w:trPr>
        <w:tc>
          <w:tcPr>
            <w:tcW w:w="8360" w:type="dxa"/>
            <w:vAlign w:val="bottom"/>
          </w:tcPr>
          <w:p>
            <w:pPr>
              <w:ind w:left="1760"/>
              <w:spacing w:after="0"/>
              <w:rPr>
                <w:sz w:val="20"/>
                <w:szCs w:val="20"/>
                <w:color w:val="auto"/>
              </w:rPr>
            </w:pPr>
            <w:r>
              <w:rPr>
                <w:rFonts w:ascii="Arial" w:cs="Arial" w:eastAsia="Arial" w:hAnsi="Arial"/>
                <w:sz w:val="16"/>
                <w:szCs w:val="16"/>
                <w:color w:val="auto"/>
              </w:rPr>
              <w:t>Cash flows expected to be collected</w:t>
            </w: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10,628</w:t>
            </w:r>
          </w:p>
        </w:tc>
        <w:tc>
          <w:tcPr>
            <w:tcW w:w="1700" w:type="dxa"/>
            <w:vAlign w:val="bottom"/>
          </w:tcPr>
          <w:p>
            <w:pPr>
              <w:spacing w:after="0"/>
              <w:rPr>
                <w:sz w:val="18"/>
                <w:szCs w:val="18"/>
                <w:color w:val="auto"/>
              </w:rPr>
            </w:pPr>
          </w:p>
        </w:tc>
      </w:tr>
      <w:tr>
        <w:trPr>
          <w:trHeight w:val="33"/>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6"/>
                <w:szCs w:val="16"/>
                <w:color w:val="auto"/>
              </w:rPr>
              <w:t>Accretable yield</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1,300</w:t>
            </w:r>
          </w:p>
        </w:tc>
        <w:tc>
          <w:tcPr>
            <w:tcW w:w="1700" w:type="dxa"/>
            <w:vAlign w:val="bottom"/>
            <w:tcBorders>
              <w:bottom w:val="single" w:sz="8" w:color="CCEEFF"/>
            </w:tcBorders>
            <w:shd w:val="clear" w:color="auto" w:fill="CCEEFF"/>
          </w:tcPr>
          <w:p>
            <w:pPr>
              <w:spacing w:after="0"/>
              <w:rPr>
                <w:sz w:val="23"/>
                <w:szCs w:val="23"/>
                <w:color w:val="auto"/>
              </w:rPr>
            </w:pPr>
          </w:p>
        </w:tc>
      </w:tr>
      <w:tr>
        <w:trPr>
          <w:trHeight w:val="284"/>
        </w:trPr>
        <w:tc>
          <w:tcPr>
            <w:tcW w:w="8360" w:type="dxa"/>
            <w:vAlign w:val="bottom"/>
            <w:tcBorders>
              <w:bottom w:val="single" w:sz="8" w:color="CCEEFF"/>
            </w:tcBorders>
          </w:tcPr>
          <w:p>
            <w:pPr>
              <w:ind w:left="1760"/>
              <w:spacing w:after="0"/>
              <w:rPr>
                <w:sz w:val="20"/>
                <w:szCs w:val="20"/>
                <w:color w:val="auto"/>
              </w:rPr>
            </w:pPr>
            <w:r>
              <w:rPr>
                <w:rFonts w:ascii="Arial" w:cs="Arial" w:eastAsia="Arial" w:hAnsi="Arial"/>
                <w:sz w:val="16"/>
                <w:szCs w:val="16"/>
                <w:color w:val="auto"/>
              </w:rPr>
              <w:t>Fair value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9,328</w:t>
            </w:r>
          </w:p>
        </w:tc>
        <w:tc>
          <w:tcPr>
            <w:tcW w:w="1700" w:type="dxa"/>
            <w:vAlign w:val="bottom"/>
            <w:tcBorders>
              <w:bottom w:val="single" w:sz="8" w:color="CCEEFF"/>
            </w:tcBorders>
          </w:tcPr>
          <w:p>
            <w:pPr>
              <w:spacing w:after="0"/>
              <w:rPr>
                <w:sz w:val="24"/>
                <w:szCs w:val="24"/>
                <w:color w:val="auto"/>
              </w:rPr>
            </w:pPr>
          </w:p>
        </w:tc>
      </w:tr>
      <w:tr>
        <w:trPr>
          <w:trHeight w:val="284"/>
        </w:trPr>
        <w:tc>
          <w:tcPr>
            <w:tcW w:w="8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37"/>
        </w:trPr>
        <w:tc>
          <w:tcPr>
            <w:tcW w:w="8360" w:type="dxa"/>
            <w:vAlign w:val="bottom"/>
          </w:tcPr>
          <w:p>
            <w:pPr>
              <w:ind w:left="1760"/>
              <w:spacing w:after="0"/>
              <w:rPr>
                <w:sz w:val="20"/>
                <w:szCs w:val="20"/>
                <w:color w:val="auto"/>
              </w:rPr>
            </w:pPr>
            <w:r>
              <w:rPr>
                <w:rFonts w:ascii="Arial" w:cs="Arial" w:eastAsia="Arial" w:hAnsi="Arial"/>
                <w:sz w:val="16"/>
                <w:szCs w:val="16"/>
                <w:b w:val="1"/>
                <w:bCs w:val="1"/>
                <w:color w:val="auto"/>
              </w:rPr>
              <w:t>Excluded from ASC 310-30:</w:t>
            </w: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6"/>
                <w:szCs w:val="16"/>
                <w:color w:val="auto"/>
              </w:rPr>
              <w:t>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183,166</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37"/>
        </w:trPr>
        <w:tc>
          <w:tcPr>
            <w:tcW w:w="8360" w:type="dxa"/>
            <w:vAlign w:val="bottom"/>
          </w:tcPr>
          <w:p>
            <w:pPr>
              <w:ind w:left="1760"/>
              <w:spacing w:after="0"/>
              <w:rPr>
                <w:sz w:val="20"/>
                <w:szCs w:val="20"/>
                <w:color w:val="auto"/>
              </w:rPr>
            </w:pPr>
            <w:r>
              <w:rPr>
                <w:rFonts w:ascii="Arial" w:cs="Arial" w:eastAsia="Arial" w:hAnsi="Arial"/>
                <w:sz w:val="16"/>
                <w:szCs w:val="16"/>
                <w:color w:val="auto"/>
              </w:rPr>
              <w:t>Gross contractual amounts receivable</w:t>
            </w:r>
          </w:p>
        </w:tc>
        <w:tc>
          <w:tcPr>
            <w:tcW w:w="1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218,855</w:t>
            </w:r>
          </w:p>
        </w:tc>
        <w:tc>
          <w:tcPr>
            <w:tcW w:w="1700" w:type="dxa"/>
            <w:vAlign w:val="bottom"/>
          </w:tcPr>
          <w:p>
            <w:pPr>
              <w:spacing w:after="0"/>
              <w:rPr>
                <w:sz w:val="20"/>
                <w:szCs w:val="20"/>
                <w:color w:val="auto"/>
              </w:rPr>
            </w:pPr>
          </w:p>
        </w:tc>
      </w:tr>
      <w:tr>
        <w:trPr>
          <w:trHeight w:val="33"/>
        </w:trPr>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7"/>
        </w:trPr>
        <w:tc>
          <w:tcPr>
            <w:tcW w:w="8360" w:type="dxa"/>
            <w:vAlign w:val="bottom"/>
            <w:shd w:val="clear" w:color="auto" w:fill="CCEEFF"/>
          </w:tcPr>
          <w:p>
            <w:pPr>
              <w:ind w:left="1760"/>
              <w:spacing w:after="0"/>
              <w:rPr>
                <w:sz w:val="20"/>
                <w:szCs w:val="20"/>
                <w:color w:val="auto"/>
              </w:rPr>
            </w:pPr>
            <w:r>
              <w:rPr>
                <w:rFonts w:ascii="Arial" w:cs="Arial" w:eastAsia="Arial" w:hAnsi="Arial"/>
                <w:sz w:val="16"/>
                <w:szCs w:val="16"/>
                <w:color w:val="auto"/>
              </w:rPr>
              <w:t>Estimate of contractual cash flows not expected to be collected</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8,826</w:t>
            </w:r>
          </w:p>
        </w:tc>
        <w:tc>
          <w:tcPr>
            <w:tcW w:w="1700" w:type="dxa"/>
            <w:vAlign w:val="bottom"/>
            <w:shd w:val="clear" w:color="auto" w:fill="CCEEFF"/>
          </w:tcPr>
          <w:p>
            <w:pPr>
              <w:spacing w:after="0"/>
              <w:rPr>
                <w:sz w:val="20"/>
                <w:szCs w:val="20"/>
                <w:color w:val="auto"/>
              </w:rPr>
            </w:pPr>
          </w:p>
        </w:tc>
      </w:tr>
      <w:tr>
        <w:trPr>
          <w:trHeight w:val="33"/>
        </w:trPr>
        <w:tc>
          <w:tcPr>
            <w:tcW w:w="8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information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acquired NLFC Holdings Corp. and its subsidiaries, collectively known as “Navitas,” on February 1, 2018, as described in United’s 2018 10-K. The following table discloses the impact of the acquisitions of FMBT and Navitas since the acquisition dates through June 30 in the year of acquisition. The table also presents certain pro forma information as if FMBT had been acquired on January 1, 2018 and Navitas had been acquired on January 1, 2017. These results combine the historical results of the acquired entities with United’s consolidated statement of income and, while adjustments were made for the estimated impact of certain fair value adjustments and other acquisition-related activity, they are not necessarily indicative of what would have occurred had the acquisitions taken place in earlier years.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Merger-related costs from the FMBT acquisition of $924,000 and $1.02 million, respectively, have been excluded from the three and six months 2019 pro forma information presented below and included in the three and six months 2018 pro forma information below. Merger-related costs from the Navitas acquisition of $118,000 and $4.83 million, respectively, have been excluded from the three and six months 2018 pro forma information presented below. The actual results and pro forma information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7"/>
                <w:szCs w:val="17"/>
                <w:color w:val="auto"/>
              </w:rPr>
            </w:pPr>
          </w:p>
        </w:tc>
        <w:tc>
          <w:tcPr>
            <w:tcW w:w="238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20"/>
                <w:szCs w:val="20"/>
                <w:color w:val="auto"/>
              </w:rPr>
            </w:pP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w:t>
            </w:r>
          </w:p>
        </w:tc>
        <w:tc>
          <w:tcPr>
            <w:tcW w:w="160" w:type="dxa"/>
            <w:vAlign w:val="bottom"/>
          </w:tcPr>
          <w:p>
            <w:pPr>
              <w:spacing w:after="0"/>
              <w:rPr>
                <w:sz w:val="20"/>
                <w:szCs w:val="20"/>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w w:val="97"/>
              </w:rPr>
              <w:t>Net Income</w:t>
            </w:r>
          </w:p>
        </w:tc>
        <w:tc>
          <w:tcPr>
            <w:tcW w:w="0" w:type="dxa"/>
            <w:vAlign w:val="bottom"/>
          </w:tcPr>
          <w:p>
            <w:pPr>
              <w:spacing w:after="0"/>
              <w:rPr>
                <w:sz w:val="1"/>
                <w:szCs w:val="1"/>
                <w:color w:val="auto"/>
              </w:rPr>
            </w:pPr>
          </w:p>
        </w:tc>
      </w:tr>
      <w:tr>
        <w:trPr>
          <w:trHeight w:val="33"/>
        </w:trPr>
        <w:tc>
          <w:tcPr>
            <w:tcW w:w="59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Actual FMBT results included in statement of income since acquisition date</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1,187</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color w:val="auto"/>
                <w:w w:val="97"/>
              </w:rPr>
              <w:t>Supplemental consolidated pro forma as if FMBT had been acquired January 1, 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139,489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43,913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275,991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89,504</w:t>
            </w: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Actual Navitas results included in statement of income since acquisition date</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6,624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3,496</w:t>
            </w:r>
          </w:p>
        </w:tc>
        <w:tc>
          <w:tcPr>
            <w:tcW w:w="0" w:type="dxa"/>
            <w:vAlign w:val="bottom"/>
          </w:tcPr>
          <w:p>
            <w:pPr>
              <w:spacing w:after="0"/>
              <w:rPr>
                <w:sz w:val="1"/>
                <w:szCs w:val="1"/>
                <w:color w:val="auto"/>
              </w:rPr>
            </w:pPr>
          </w:p>
        </w:tc>
      </w:tr>
      <w:tr>
        <w:trPr>
          <w:trHeight w:val="220"/>
        </w:trPr>
        <w:tc>
          <w:tcPr>
            <w:tcW w:w="5960" w:type="dxa"/>
            <w:vAlign w:val="bottom"/>
          </w:tcPr>
          <w:p>
            <w:pPr>
              <w:ind w:left="40"/>
              <w:spacing w:after="0"/>
              <w:rPr>
                <w:sz w:val="20"/>
                <w:szCs w:val="20"/>
                <w:color w:val="auto"/>
              </w:rPr>
            </w:pPr>
            <w:r>
              <w:rPr>
                <w:rFonts w:ascii="Arial" w:cs="Arial" w:eastAsia="Arial" w:hAnsi="Arial"/>
                <w:sz w:val="16"/>
                <w:szCs w:val="16"/>
                <w:color w:val="auto"/>
                <w:w w:val="93"/>
              </w:rPr>
              <w:t>Supplemental consolidated pro forma as if FMBT had been acquired January 1, 2018 and</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960" w:type="dxa"/>
            <w:vAlign w:val="bottom"/>
          </w:tcPr>
          <w:p>
            <w:pPr>
              <w:ind w:left="40"/>
              <w:spacing w:after="0"/>
              <w:rPr>
                <w:sz w:val="20"/>
                <w:szCs w:val="20"/>
                <w:color w:val="auto"/>
              </w:rPr>
            </w:pPr>
            <w:r>
              <w:rPr>
                <w:rFonts w:ascii="Arial" w:cs="Arial" w:eastAsia="Arial" w:hAnsi="Arial"/>
                <w:sz w:val="16"/>
                <w:szCs w:val="16"/>
                <w:color w:val="auto"/>
              </w:rPr>
              <w:t>Navitas had been acquired January 1, 2017</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133,440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39,195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261,656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79,753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Balance Sheet Offsetting and Repurchase Agreements Accounted for as Secured Borrowings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United enters into reverse repurchase agreements in order to invest short-term funds. In addition, United enters into repurchase agreements and reverse repurchase agreements with the same counterparty in transactions commonly referred to as collateral swaps that are subject to master netting agreements under which the balances are netted in the balance sheet in accordance with ASC 210-20, </w:t>
      </w:r>
      <w:r>
        <w:rPr>
          <w:rFonts w:ascii="Arial" w:cs="Arial" w:eastAsia="Arial" w:hAnsi="Arial"/>
          <w:sz w:val="18"/>
          <w:szCs w:val="18"/>
          <w:i w:val="1"/>
          <w:iCs w:val="1"/>
          <w:color w:val="auto"/>
        </w:rPr>
        <w:t>Offsetting.</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following table presents a summary of amounts outstanding under reverse repurchase agreements, of which there were none as of June 30, 2019, and derivative financial instruments including those entered into in connection with the same counterparty under master netting agreements as of the dates indicated </w:t>
      </w:r>
      <w:r>
        <w:rPr>
          <w:rFonts w:ascii="Arial" w:cs="Arial" w:eastAsia="Arial" w:hAnsi="Arial"/>
          <w:sz w:val="18"/>
          <w:szCs w:val="18"/>
          <w:i w:val="1"/>
          <w:iCs w:val="1"/>
          <w:color w:val="auto"/>
        </w:rPr>
        <w:t>(in thousands).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90"/>
              </w:rPr>
              <w:t>Gross Amounts not Offset in the</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Gross Amounts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7"/>
              </w:rPr>
              <w:t>Balance Sheet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Gross Amounts of</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Offset on the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Financial</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Collateral</w:t>
            </w:r>
          </w:p>
        </w:tc>
        <w:tc>
          <w:tcPr>
            <w:tcW w:w="260" w:type="dxa"/>
            <w:vAlign w:val="bottom"/>
          </w:tcPr>
          <w:p>
            <w:pPr>
              <w:spacing w:after="0"/>
              <w:rPr>
                <w:sz w:val="18"/>
                <w:szCs w:val="18"/>
                <w:color w:val="auto"/>
              </w:rPr>
            </w:pPr>
          </w:p>
        </w:tc>
        <w:tc>
          <w:tcPr>
            <w:tcW w:w="110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Net</w:t>
            </w:r>
          </w:p>
        </w:tc>
        <w:tc>
          <w:tcPr>
            <w:tcW w:w="0" w:type="dxa"/>
            <w:vAlign w:val="bottom"/>
          </w:tcPr>
          <w:p>
            <w:pPr>
              <w:spacing w:after="0"/>
              <w:rPr>
                <w:sz w:val="1"/>
                <w:szCs w:val="1"/>
                <w:color w:val="auto"/>
              </w:rPr>
            </w:pPr>
          </w:p>
        </w:tc>
      </w:tr>
      <w:tr>
        <w:trPr>
          <w:trHeight w:val="210"/>
        </w:trPr>
        <w:tc>
          <w:tcPr>
            <w:tcW w:w="264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 2019</w:t>
            </w:r>
          </w:p>
        </w:tc>
        <w:tc>
          <w:tcPr>
            <w:tcW w:w="15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5"/>
              </w:rPr>
              <w:t>Recognized Assets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Balance Sheet</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Net Asset Balance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Received</w:t>
            </w:r>
          </w:p>
        </w:tc>
        <w:tc>
          <w:tcPr>
            <w:tcW w:w="260" w:type="dxa"/>
            <w:vAlign w:val="bottom"/>
          </w:tcPr>
          <w:p>
            <w:pPr>
              <w:spacing w:after="0"/>
              <w:rPr>
                <w:sz w:val="18"/>
                <w:szCs w:val="18"/>
                <w:color w:val="auto"/>
              </w:rPr>
            </w:pPr>
          </w:p>
        </w:tc>
        <w:tc>
          <w:tcPr>
            <w:tcW w:w="110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33"/>
        </w:trPr>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35,209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34,535</w:t>
            </w:r>
          </w:p>
        </w:tc>
        <w:tc>
          <w:tcPr>
            <w:tcW w:w="0" w:type="dxa"/>
            <w:vAlign w:val="bottom"/>
          </w:tcPr>
          <w:p>
            <w:pPr>
              <w:spacing w:after="0"/>
              <w:rPr>
                <w:sz w:val="1"/>
                <w:szCs w:val="1"/>
                <w:color w:val="auto"/>
              </w:rPr>
            </w:pPr>
          </w:p>
        </w:tc>
      </w:tr>
      <w:tr>
        <w:trPr>
          <w:trHeight w:val="284"/>
        </w:trPr>
        <w:tc>
          <w:tcPr>
            <w:tcW w:w="26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35,209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35,209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34,535</w:t>
            </w:r>
          </w:p>
        </w:tc>
        <w:tc>
          <w:tcPr>
            <w:tcW w:w="0" w:type="dxa"/>
            <w:vAlign w:val="bottom"/>
          </w:tcPr>
          <w:p>
            <w:pPr>
              <w:spacing w:after="0"/>
              <w:rPr>
                <w:sz w:val="1"/>
                <w:szCs w:val="1"/>
                <w:color w:val="auto"/>
              </w:rPr>
            </w:pPr>
          </w:p>
        </w:tc>
      </w:tr>
      <w:tr>
        <w:trPr>
          <w:trHeight w:val="271"/>
        </w:trPr>
        <w:tc>
          <w:tcPr>
            <w:tcW w:w="2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Gross Amounts not Offset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8"/>
              </w:rPr>
              <w:t>Gross Amounts of</w:t>
            </w:r>
          </w:p>
        </w:tc>
        <w:tc>
          <w:tcPr>
            <w:tcW w:w="140" w:type="dxa"/>
            <w:vAlign w:val="bottom"/>
          </w:tcPr>
          <w:p>
            <w:pPr>
              <w:spacing w:after="0"/>
              <w:rPr>
                <w:sz w:val="18"/>
                <w:szCs w:val="18"/>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Gross Amounts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in the Balance Sheet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Recognized</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Offset on the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Net Liability</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Financial</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Collateral</w:t>
            </w:r>
          </w:p>
        </w:tc>
        <w:tc>
          <w:tcPr>
            <w:tcW w:w="260" w:type="dxa"/>
            <w:vAlign w:val="bottom"/>
          </w:tcPr>
          <w:p>
            <w:pPr>
              <w:spacing w:after="0"/>
              <w:rPr>
                <w:sz w:val="18"/>
                <w:szCs w:val="18"/>
                <w:color w:val="auto"/>
              </w:rPr>
            </w:pPr>
          </w:p>
        </w:tc>
        <w:tc>
          <w:tcPr>
            <w:tcW w:w="110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Net</w:t>
            </w: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Liabilities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Balance Sheet</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Balance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Pledged</w:t>
            </w:r>
          </w:p>
        </w:tc>
        <w:tc>
          <w:tcPr>
            <w:tcW w:w="260" w:type="dxa"/>
            <w:vAlign w:val="bottom"/>
          </w:tcPr>
          <w:p>
            <w:pPr>
              <w:spacing w:after="0"/>
              <w:rPr>
                <w:sz w:val="18"/>
                <w:szCs w:val="18"/>
                <w:color w:val="auto"/>
              </w:rPr>
            </w:pPr>
          </w:p>
        </w:tc>
        <w:tc>
          <w:tcPr>
            <w:tcW w:w="110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16,769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1,273</w:t>
            </w:r>
          </w:p>
        </w:tc>
        <w:tc>
          <w:tcPr>
            <w:tcW w:w="0" w:type="dxa"/>
            <w:vAlign w:val="bottom"/>
          </w:tcPr>
          <w:p>
            <w:pPr>
              <w:spacing w:after="0"/>
              <w:rPr>
                <w:sz w:val="1"/>
                <w:szCs w:val="1"/>
                <w:color w:val="auto"/>
              </w:rPr>
            </w:pPr>
          </w:p>
        </w:tc>
      </w:tr>
      <w:tr>
        <w:trPr>
          <w:trHeight w:val="284"/>
        </w:trPr>
        <w:tc>
          <w:tcPr>
            <w:tcW w:w="26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16,769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16,769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(14,822)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1,273</w:t>
            </w:r>
          </w:p>
        </w:tc>
        <w:tc>
          <w:tcPr>
            <w:tcW w:w="0" w:type="dxa"/>
            <w:vAlign w:val="bottom"/>
          </w:tcPr>
          <w:p>
            <w:pPr>
              <w:spacing w:after="0"/>
              <w:rPr>
                <w:sz w:val="1"/>
                <w:szCs w:val="1"/>
                <w:color w:val="auto"/>
              </w:rPr>
            </w:pPr>
          </w:p>
        </w:tc>
      </w:tr>
      <w:tr>
        <w:trPr>
          <w:trHeight w:val="271"/>
        </w:trPr>
        <w:tc>
          <w:tcPr>
            <w:tcW w:w="2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Gross Amounts not Offset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Gross Amounts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in the Balance Sheet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Gross Amounts of</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Offset on the</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Financial</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Collateral</w:t>
            </w:r>
          </w:p>
        </w:tc>
        <w:tc>
          <w:tcPr>
            <w:tcW w:w="260" w:type="dxa"/>
            <w:vAlign w:val="bottom"/>
          </w:tcPr>
          <w:p>
            <w:pPr>
              <w:spacing w:after="0"/>
              <w:rPr>
                <w:sz w:val="18"/>
                <w:szCs w:val="18"/>
                <w:color w:val="auto"/>
              </w:rPr>
            </w:pPr>
          </w:p>
        </w:tc>
        <w:tc>
          <w:tcPr>
            <w:tcW w:w="110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Net</w:t>
            </w:r>
          </w:p>
        </w:tc>
        <w:tc>
          <w:tcPr>
            <w:tcW w:w="0" w:type="dxa"/>
            <w:vAlign w:val="bottom"/>
          </w:tcPr>
          <w:p>
            <w:pPr>
              <w:spacing w:after="0"/>
              <w:rPr>
                <w:sz w:val="1"/>
                <w:szCs w:val="1"/>
                <w:color w:val="auto"/>
              </w:rPr>
            </w:pPr>
          </w:p>
        </w:tc>
      </w:tr>
      <w:tr>
        <w:trPr>
          <w:trHeight w:val="210"/>
        </w:trPr>
        <w:tc>
          <w:tcPr>
            <w:tcW w:w="26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2018</w:t>
            </w:r>
          </w:p>
        </w:tc>
        <w:tc>
          <w:tcPr>
            <w:tcW w:w="15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5"/>
              </w:rPr>
              <w:t>Recognized Assets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Balance Sheet</w:t>
            </w: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Net Asset Balance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2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Received</w:t>
            </w:r>
          </w:p>
        </w:tc>
        <w:tc>
          <w:tcPr>
            <w:tcW w:w="260" w:type="dxa"/>
            <w:vAlign w:val="bottom"/>
          </w:tcPr>
          <w:p>
            <w:pPr>
              <w:spacing w:after="0"/>
              <w:rPr>
                <w:sz w:val="18"/>
                <w:szCs w:val="18"/>
                <w:color w:val="auto"/>
              </w:rPr>
            </w:pPr>
          </w:p>
        </w:tc>
        <w:tc>
          <w:tcPr>
            <w:tcW w:w="110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33"/>
        </w:trPr>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Repurchase agreements / reverse</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repurchase agreements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24,705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24,705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15,703</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74,705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24,705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15,703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interest rate of</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reverse repurchase agreements</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99"/>
        </w:trPr>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Gross Amounts not Offset</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88"/>
              </w:rPr>
              <w:t>Gross Amounts of</w:t>
            </w:r>
          </w:p>
        </w:tc>
        <w:tc>
          <w:tcPr>
            <w:tcW w:w="140" w:type="dxa"/>
            <w:vAlign w:val="bottom"/>
          </w:tcPr>
          <w:p>
            <w:pPr>
              <w:spacing w:after="0"/>
              <w:rPr>
                <w:sz w:val="18"/>
                <w:szCs w:val="18"/>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Gross Amounts</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w w:val="89"/>
              </w:rPr>
              <w:t>in the Balance Sheet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Recognized</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Offset on the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Net Liability</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Financial</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Collateral</w:t>
            </w:r>
          </w:p>
        </w:tc>
        <w:tc>
          <w:tcPr>
            <w:tcW w:w="260" w:type="dxa"/>
            <w:vAlign w:val="bottom"/>
          </w:tcPr>
          <w:p>
            <w:pPr>
              <w:spacing w:after="0"/>
              <w:rPr>
                <w:sz w:val="18"/>
                <w:szCs w:val="18"/>
                <w:color w:val="auto"/>
              </w:rPr>
            </w:pPr>
          </w:p>
        </w:tc>
        <w:tc>
          <w:tcPr>
            <w:tcW w:w="110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Net</w:t>
            </w:r>
          </w:p>
        </w:tc>
        <w:tc>
          <w:tcPr>
            <w:tcW w:w="0" w:type="dxa"/>
            <w:vAlign w:val="bottom"/>
          </w:tcPr>
          <w:p>
            <w:pPr>
              <w:spacing w:after="0"/>
              <w:rPr>
                <w:sz w:val="1"/>
                <w:szCs w:val="1"/>
                <w:color w:val="auto"/>
              </w:rPr>
            </w:pPr>
          </w:p>
        </w:tc>
      </w:tr>
      <w:tr>
        <w:trPr>
          <w:trHeight w:val="210"/>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Liabilities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Balance Sheet</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Balance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Instruments</w:t>
            </w:r>
          </w:p>
        </w:tc>
        <w:tc>
          <w:tcPr>
            <w:tcW w:w="2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Pledged</w:t>
            </w:r>
          </w:p>
        </w:tc>
        <w:tc>
          <w:tcPr>
            <w:tcW w:w="260" w:type="dxa"/>
            <w:vAlign w:val="bottom"/>
          </w:tcPr>
          <w:p>
            <w:pPr>
              <w:spacing w:after="0"/>
              <w:rPr>
                <w:sz w:val="18"/>
                <w:szCs w:val="18"/>
                <w:color w:val="auto"/>
              </w:rPr>
            </w:pPr>
          </w:p>
        </w:tc>
        <w:tc>
          <w:tcPr>
            <w:tcW w:w="1100" w:type="dxa"/>
            <w:vAlign w:val="bottom"/>
          </w:tcPr>
          <w:p>
            <w:pPr>
              <w:jc w:val="center"/>
              <w:ind w:right="179"/>
              <w:spacing w:after="0"/>
              <w:rPr>
                <w:sz w:val="20"/>
                <w:szCs w:val="20"/>
                <w:color w:val="auto"/>
              </w:rPr>
            </w:pPr>
            <w:r>
              <w:rPr>
                <w:rFonts w:ascii="Arial" w:cs="Arial" w:eastAsia="Arial" w:hAnsi="Arial"/>
                <w:sz w:val="16"/>
                <w:szCs w:val="16"/>
                <w:b w:val="1"/>
                <w:bCs w:val="1"/>
                <w:color w:val="auto"/>
                <w:w w:val="92"/>
              </w:rPr>
              <w:t>Amount</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Repurchase agreements / reverse</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repurchase agreements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Derivatives</w:t>
            </w:r>
          </w:p>
        </w:tc>
        <w:tc>
          <w:tcPr>
            <w:tcW w:w="220" w:type="dxa"/>
            <w:vAlign w:val="bottom"/>
          </w:tcPr>
          <w:p>
            <w:pPr>
              <w:spacing w:after="0"/>
              <w:rPr>
                <w:sz w:val="20"/>
                <w:szCs w:val="20"/>
                <w:color w:val="auto"/>
              </w:rPr>
            </w:pP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26,433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26,433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(16,126)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9,334</w:t>
            </w:r>
          </w:p>
        </w:tc>
        <w:tc>
          <w:tcPr>
            <w:tcW w:w="0" w:type="dxa"/>
            <w:vAlign w:val="bottom"/>
          </w:tcPr>
          <w:p>
            <w:pPr>
              <w:spacing w:after="0"/>
              <w:rPr>
                <w:sz w:val="1"/>
                <w:szCs w:val="1"/>
                <w:color w:val="auto"/>
              </w:rPr>
            </w:pPr>
          </w:p>
        </w:tc>
      </w:tr>
      <w:tr>
        <w:trPr>
          <w:trHeight w:val="33"/>
        </w:trPr>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76,433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26,433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9,334</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interest rate of</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repurchase agreements</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June 30, 2019, United recognized the right to reclaim cash collateral of $14.8 million. At June 30, 2019 there was no cash collateral held for derivatives. At December 31, 2018, United recognized the right to reclaim cash collateral of $16.1 million and the obligation to return cash collateral of $8.03 million. The right to reclaim cash collateral and the obligation to return cash collateral were included in the consolidated balance sheets in other assets and other liabilities, respectively. Derivatives include customer derivatives, which as discussed further in Note 9, are cross-collateralized with the collateral used to support the credit risk for the underlying lending relationship. Such collateral is not included in the tables above.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The following table presents additional detail regarding repurchase agreements accounted for as secured borrowings and the securities underlying these agreements as of December 31,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0" w:type="dxa"/>
            <w:vAlign w:val="bottom"/>
            <w:gridSpan w:val="8"/>
          </w:tcPr>
          <w:p>
            <w:pPr>
              <w:ind w:left="340"/>
              <w:spacing w:after="0"/>
              <w:rPr>
                <w:sz w:val="20"/>
                <w:szCs w:val="20"/>
                <w:color w:val="auto"/>
              </w:rPr>
            </w:pPr>
            <w:r>
              <w:rPr>
                <w:rFonts w:ascii="Arial" w:cs="Arial" w:eastAsia="Arial" w:hAnsi="Arial"/>
                <w:sz w:val="16"/>
                <w:szCs w:val="16"/>
                <w:b w:val="1"/>
                <w:bCs w:val="1"/>
                <w:color w:val="auto"/>
              </w:rPr>
              <w:t>Remaining Contractual Maturity of the Agreements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Overnight and</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Continuous</w:t>
            </w:r>
          </w:p>
        </w:tc>
        <w:tc>
          <w:tcPr>
            <w:tcW w:w="18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Up to 30 Days</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30 to 90 Days</w:t>
            </w:r>
          </w:p>
        </w:tc>
        <w:tc>
          <w:tcPr>
            <w:tcW w:w="18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91 to 110 days</w:t>
            </w:r>
          </w:p>
        </w:tc>
        <w:tc>
          <w:tcPr>
            <w:tcW w:w="340" w:type="dxa"/>
            <w:vAlign w:val="bottom"/>
          </w:tcPr>
          <w:p>
            <w:pPr>
              <w:spacing w:after="0"/>
              <w:rPr>
                <w:sz w:val="18"/>
                <w:szCs w:val="18"/>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Total</w:t>
            </w: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Mortgage-backed securities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50,000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50,000</w:t>
            </w:r>
          </w:p>
        </w:tc>
      </w:tr>
      <w:tr>
        <w:trPr>
          <w:trHeight w:val="33"/>
        </w:trPr>
        <w:tc>
          <w:tcPr>
            <w:tcW w:w="3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w:t>
            </w:r>
          </w:p>
        </w:tc>
      </w:tr>
      <w:tr>
        <w:trPr>
          <w:trHeight w:val="20"/>
        </w:trPr>
        <w:tc>
          <w:tcPr>
            <w:tcW w:w="344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97"/>
        </w:trPr>
        <w:tc>
          <w:tcPr>
            <w:tcW w:w="34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320" w:type="dxa"/>
            <w:vAlign w:val="bottom"/>
            <w:tcBorders>
              <w:top w:val="single" w:sz="8" w:color="auto"/>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320" w:type="dxa"/>
            <w:vAlign w:val="bottom"/>
            <w:tcBorders>
              <w:top w:val="single" w:sz="8" w:color="auto"/>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CCEEFF"/>
            </w:tcBorders>
          </w:tcPr>
          <w:p>
            <w:pPr>
              <w:spacing w:after="0"/>
              <w:rPr>
                <w:sz w:val="24"/>
                <w:szCs w:val="24"/>
                <w:color w:val="auto"/>
              </w:rPr>
            </w:pPr>
          </w:p>
        </w:tc>
        <w:tc>
          <w:tcPr>
            <w:tcW w:w="1280" w:type="dxa"/>
            <w:vAlign w:val="bottom"/>
            <w:tcBorders>
              <w:top w:val="single" w:sz="8" w:color="auto"/>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CCEEFF"/>
            </w:tcBorders>
          </w:tcPr>
          <w:p>
            <w:pPr>
              <w:spacing w:after="0"/>
              <w:rPr>
                <w:sz w:val="24"/>
                <w:szCs w:val="24"/>
                <w:color w:val="auto"/>
              </w:rPr>
            </w:pPr>
          </w:p>
        </w:tc>
        <w:tc>
          <w:tcPr>
            <w:tcW w:w="1280" w:type="dxa"/>
            <w:vAlign w:val="bottom"/>
            <w:tcBorders>
              <w:top w:val="single" w:sz="8" w:color="auto"/>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r>
      <w:tr>
        <w:trPr>
          <w:trHeight w:val="231"/>
        </w:trPr>
        <w:tc>
          <w:tcPr>
            <w:tcW w:w="6800" w:type="dxa"/>
            <w:vAlign w:val="bottom"/>
            <w:tcBorders>
              <w:bottom w:val="single" w:sz="8" w:color="CCEEFF"/>
            </w:tcBorders>
            <w:gridSpan w:val="8"/>
            <w:shd w:val="clear" w:color="auto" w:fill="CCEEFF"/>
          </w:tcPr>
          <w:p>
            <w:pPr>
              <w:ind w:left="40"/>
              <w:spacing w:after="0"/>
              <w:rPr>
                <w:sz w:val="20"/>
                <w:szCs w:val="20"/>
                <w:color w:val="auto"/>
              </w:rPr>
            </w:pPr>
            <w:r>
              <w:rPr>
                <w:rFonts w:ascii="Arial" w:cs="Arial" w:eastAsia="Arial" w:hAnsi="Arial"/>
                <w:sz w:val="16"/>
                <w:szCs w:val="16"/>
                <w:color w:val="auto"/>
              </w:rPr>
              <w:t>Gross amount of recognized liabilities for repurchase agreements in offsetting disclosure</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w:t>
            </w:r>
          </w:p>
        </w:tc>
      </w:tr>
      <w:tr>
        <w:trPr>
          <w:trHeight w:val="20"/>
        </w:trPr>
        <w:tc>
          <w:tcPr>
            <w:tcW w:w="344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5180" w:type="dxa"/>
            <w:vAlign w:val="bottom"/>
            <w:gridSpan w:val="5"/>
          </w:tcPr>
          <w:p>
            <w:pPr>
              <w:ind w:left="40"/>
              <w:spacing w:after="0"/>
              <w:rPr>
                <w:sz w:val="20"/>
                <w:szCs w:val="20"/>
                <w:color w:val="auto"/>
              </w:rPr>
            </w:pPr>
            <w:r>
              <w:rPr>
                <w:rFonts w:ascii="Arial" w:cs="Arial" w:eastAsia="Arial" w:hAnsi="Arial"/>
                <w:sz w:val="16"/>
                <w:szCs w:val="16"/>
                <w:color w:val="auto"/>
              </w:rPr>
              <w:t>Amounts related to agreements not included in offsetting disclosure</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is obligated to promptly transfer additional securities if the market value of the securities falls below the repurchase agreement price. United manages this risk by maintaining an unpledged securities portfolio that it believes is sufficient to cover a decline in the market value of the securities sold under agreements to repurchase.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amortized cost basis, unrealized gains and losses and fair value of debt securities held-to-maturity as of the dates indicated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Amortized</w:t>
            </w:r>
          </w:p>
        </w:tc>
        <w:tc>
          <w:tcPr>
            <w:tcW w:w="16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Gross Unrealized</w:t>
            </w:r>
          </w:p>
        </w:tc>
        <w:tc>
          <w:tcPr>
            <w:tcW w:w="14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Gross Unrealized</w:t>
            </w: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Fair</w:t>
            </w:r>
          </w:p>
        </w:tc>
      </w:t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Cost</w:t>
            </w:r>
          </w:p>
        </w:tc>
        <w:tc>
          <w:tcPr>
            <w:tcW w:w="16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Gains</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36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June 30, 2019</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17"/>
        </w:trPr>
        <w:tc>
          <w:tcPr>
            <w:tcW w:w="470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State and political subdivisions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63,057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2,229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65,286</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171,722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172,782</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Commercial mortgage-backed securities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18,619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18,907</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253,398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4,616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256,975</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71"/>
        </w:trPr>
        <w:tc>
          <w:tcPr>
            <w:tcW w:w="4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2018</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17"/>
        </w:trPr>
        <w:tc>
          <w:tcPr>
            <w:tcW w:w="470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State and political subdivisions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68,551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952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2,191</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67,312</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Residential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176,488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172,046</w:t>
            </w:r>
          </w:p>
        </w:tc>
      </w:tr>
      <w:tr>
        <w:trPr>
          <w:trHeight w:val="237"/>
        </w:trPr>
        <w:tc>
          <w:tcPr>
            <w:tcW w:w="4700" w:type="dxa"/>
            <w:vAlign w:val="bottom"/>
          </w:tcPr>
          <w:p>
            <w:pPr>
              <w:ind w:left="180"/>
              <w:spacing w:after="0"/>
              <w:rPr>
                <w:sz w:val="20"/>
                <w:szCs w:val="20"/>
                <w:color w:val="auto"/>
              </w:rPr>
            </w:pPr>
            <w:r>
              <w:rPr>
                <w:rFonts w:ascii="Arial" w:cs="Arial" w:eastAsia="Arial" w:hAnsi="Arial"/>
                <w:sz w:val="16"/>
                <w:szCs w:val="16"/>
                <w:color w:val="auto"/>
              </w:rPr>
              <w:t>Commercial mortgage-backed securities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29,368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29,445</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274,407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268,803</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cost basis, unrealized gains and losses, and fair value of debt securities available-for-sale as of the dates indicated are presented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Amortized</w:t>
            </w:r>
          </w:p>
        </w:tc>
        <w:tc>
          <w:tcPr>
            <w:tcW w:w="160" w:type="dxa"/>
            <w:vAlign w:val="bottom"/>
          </w:tcPr>
          <w:p>
            <w:pPr>
              <w:spacing w:after="0"/>
              <w:rPr>
                <w:sz w:val="17"/>
                <w:szCs w:val="17"/>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Gross Unrealized</w:t>
            </w:r>
          </w:p>
        </w:tc>
        <w:tc>
          <w:tcPr>
            <w:tcW w:w="140" w:type="dxa"/>
            <w:vAlign w:val="bottom"/>
          </w:tcPr>
          <w:p>
            <w:pPr>
              <w:spacing w:after="0"/>
              <w:rPr>
                <w:sz w:val="17"/>
                <w:szCs w:val="17"/>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Gross Unrealized</w:t>
            </w: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Fair</w:t>
            </w:r>
          </w:p>
        </w:tc>
      </w:tr>
      <w:tr>
        <w:trPr>
          <w:trHeight w:val="210"/>
        </w:trPr>
        <w:tc>
          <w:tcPr>
            <w:tcW w:w="4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Cost</w:t>
            </w:r>
          </w:p>
        </w:tc>
        <w:tc>
          <w:tcPr>
            <w:tcW w:w="16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Gains</w:t>
            </w:r>
          </w:p>
        </w:tc>
        <w:tc>
          <w:tcPr>
            <w:tcW w:w="14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36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June 30, 2019</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17"/>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U.S. Treasuries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152,530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1,409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153,939</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agencies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3,711</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State and political subdivisions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216,140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9,385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225,525</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1,316,762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1,333,231</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Commercial mortgage-backed securities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337,138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2,964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339,717</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200,359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201,169</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108,867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819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109,210</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2,335,251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34,557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2,366,502</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71"/>
        </w:trPr>
        <w:tc>
          <w:tcPr>
            <w:tcW w:w="4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December 31, 2018</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r>
      <w:tr>
        <w:trPr>
          <w:trHeight w:val="217"/>
        </w:trPr>
        <w:tc>
          <w:tcPr>
            <w:tcW w:w="47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U.S. Treasuries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150,712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767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2,172</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149,307</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Government agencies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25,553</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State and political subdivisions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234,750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1,716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233,941</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 mortgage-backed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1,464,380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1,445,910</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Commercial mortgage-backed securities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399,663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187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7,933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391,917</w:t>
            </w:r>
          </w:p>
        </w:tc>
      </w:tr>
      <w:tr>
        <w:trPr>
          <w:trHeight w:val="33"/>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200,582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199,163</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Asset-backed securities</w:t>
            </w:r>
          </w:p>
        </w:tc>
        <w:tc>
          <w:tcPr>
            <w:tcW w:w="26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184,683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2,335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182,676</w:t>
            </w:r>
          </w:p>
        </w:tc>
      </w:tr>
      <w:tr>
        <w:trPr>
          <w:trHeight w:val="33"/>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2,660,263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38,250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2,628,467</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Securities with a carrying value of $695 million and $925 million were pledged to secure public deposits, derivatives and other secured borrowings at June 30, 2019 and December 31, 2018, respectively.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summarizes debt securities held-to-maturity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5"/>
          </w:tcPr>
          <w:p>
            <w:pPr>
              <w:ind w:left="440"/>
              <w:spacing w:after="0"/>
              <w:rPr>
                <w:sz w:val="20"/>
                <w:szCs w:val="20"/>
                <w:color w:val="auto"/>
              </w:rPr>
            </w:pPr>
            <w:r>
              <w:rPr>
                <w:rFonts w:ascii="Arial" w:cs="Arial" w:eastAsia="Arial" w:hAnsi="Arial"/>
                <w:sz w:val="16"/>
                <w:szCs w:val="16"/>
                <w:b w:val="1"/>
                <w:bCs w:val="1"/>
                <w:color w:val="auto"/>
              </w:rPr>
              <w:t>Less than 12 Months</w:t>
            </w:r>
          </w:p>
        </w:tc>
        <w:tc>
          <w:tcPr>
            <w:tcW w:w="180" w:type="dxa"/>
            <w:vAlign w:val="bottom"/>
          </w:tcPr>
          <w:p>
            <w:pPr>
              <w:spacing w:after="0"/>
              <w:rPr>
                <w:sz w:val="18"/>
                <w:szCs w:val="18"/>
                <w:color w:val="auto"/>
              </w:rPr>
            </w:pPr>
          </w:p>
        </w:tc>
        <w:tc>
          <w:tcPr>
            <w:tcW w:w="2520" w:type="dxa"/>
            <w:vAlign w:val="bottom"/>
            <w:gridSpan w:val="5"/>
          </w:tcPr>
          <w:p>
            <w:pPr>
              <w:ind w:left="460"/>
              <w:spacing w:after="0"/>
              <w:rPr>
                <w:sz w:val="20"/>
                <w:szCs w:val="20"/>
                <w:color w:val="auto"/>
              </w:rPr>
            </w:pPr>
            <w:r>
              <w:rPr>
                <w:rFonts w:ascii="Arial" w:cs="Arial" w:eastAsia="Arial" w:hAnsi="Arial"/>
                <w:sz w:val="16"/>
                <w:szCs w:val="16"/>
                <w:b w:val="1"/>
                <w:bCs w:val="1"/>
                <w:color w:val="auto"/>
              </w:rPr>
              <w:t>12 Months or More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Total</w:t>
            </w:r>
          </w:p>
        </w:tc>
        <w:tc>
          <w:tcPr>
            <w:tcW w:w="10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Unrealized</w:t>
            </w:r>
          </w:p>
        </w:tc>
      </w:tr>
      <w:tr>
        <w:trPr>
          <w:trHeight w:val="210"/>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Loss</w:t>
            </w:r>
          </w:p>
        </w:tc>
      </w:tr>
      <w:tr>
        <w:trPr>
          <w:trHeight w:val="33"/>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June 30, 2019</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17"/>
        </w:trPr>
        <w:tc>
          <w:tcPr>
            <w:tcW w:w="33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Residential mortgage-backed securities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68,012</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68,012</w:t>
            </w:r>
          </w:p>
        </w:tc>
        <w:tc>
          <w:tcPr>
            <w:tcW w:w="4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982</w:t>
            </w: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mortgage-backed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w:t>
            </w:r>
          </w:p>
        </w:tc>
      </w:tr>
      <w:tr>
        <w:trPr>
          <w:trHeight w:val="284"/>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unrealized loss position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70,125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1,039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70,125</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1,039</w:t>
            </w:r>
          </w:p>
        </w:tc>
      </w:tr>
      <w:tr>
        <w:trPr>
          <w:trHeight w:val="271"/>
        </w:trPr>
        <w:tc>
          <w:tcPr>
            <w:tcW w:w="3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2018</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and political subdivisions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34,146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41,208</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2,191</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Residential mortgage-backed securities</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6,579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136,376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5,033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142,955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5,094</w:t>
            </w: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mortgage-backed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4,290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r>
      <w:tr>
        <w:trPr>
          <w:trHeight w:val="244"/>
        </w:trPr>
        <w:tc>
          <w:tcPr>
            <w:tcW w:w="3340" w:type="dxa"/>
            <w:vAlign w:val="bottom"/>
          </w:tcPr>
          <w:p>
            <w:pPr>
              <w:ind w:left="180"/>
              <w:spacing w:after="0"/>
              <w:rPr>
                <w:sz w:val="20"/>
                <w:szCs w:val="20"/>
                <w:color w:val="auto"/>
              </w:rPr>
            </w:pPr>
            <w:r>
              <w:rPr>
                <w:rFonts w:ascii="Arial" w:cs="Arial" w:eastAsia="Arial" w:hAnsi="Arial"/>
                <w:sz w:val="16"/>
                <w:szCs w:val="16"/>
                <w:color w:val="auto"/>
              </w:rPr>
              <w:t>Total unrealized loss position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13,641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174,812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7,274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188,453</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7,381</w:t>
            </w: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debt securities available-for-sale in an unrealized loss position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5"/>
          </w:tcPr>
          <w:p>
            <w:pPr>
              <w:ind w:left="440"/>
              <w:spacing w:after="0"/>
              <w:rPr>
                <w:sz w:val="20"/>
                <w:szCs w:val="20"/>
                <w:color w:val="auto"/>
              </w:rPr>
            </w:pPr>
            <w:r>
              <w:rPr>
                <w:rFonts w:ascii="Arial" w:cs="Arial" w:eastAsia="Arial" w:hAnsi="Arial"/>
                <w:sz w:val="16"/>
                <w:szCs w:val="16"/>
                <w:b w:val="1"/>
                <w:bCs w:val="1"/>
                <w:color w:val="auto"/>
              </w:rPr>
              <w:t>Less than 12 Months</w:t>
            </w:r>
          </w:p>
        </w:tc>
        <w:tc>
          <w:tcPr>
            <w:tcW w:w="180" w:type="dxa"/>
            <w:vAlign w:val="bottom"/>
          </w:tcPr>
          <w:p>
            <w:pPr>
              <w:spacing w:after="0"/>
              <w:rPr>
                <w:sz w:val="18"/>
                <w:szCs w:val="18"/>
                <w:color w:val="auto"/>
              </w:rPr>
            </w:pPr>
          </w:p>
        </w:tc>
        <w:tc>
          <w:tcPr>
            <w:tcW w:w="2520" w:type="dxa"/>
            <w:vAlign w:val="bottom"/>
            <w:gridSpan w:val="5"/>
          </w:tcPr>
          <w:p>
            <w:pPr>
              <w:ind w:left="460"/>
              <w:spacing w:after="0"/>
              <w:rPr>
                <w:sz w:val="20"/>
                <w:szCs w:val="20"/>
                <w:color w:val="auto"/>
              </w:rPr>
            </w:pPr>
            <w:r>
              <w:rPr>
                <w:rFonts w:ascii="Arial" w:cs="Arial" w:eastAsia="Arial" w:hAnsi="Arial"/>
                <w:sz w:val="16"/>
                <w:szCs w:val="16"/>
                <w:b w:val="1"/>
                <w:bCs w:val="1"/>
                <w:color w:val="auto"/>
              </w:rPr>
              <w:t>12 Months or More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6"/>
                <w:szCs w:val="16"/>
                <w:b w:val="1"/>
                <w:bCs w:val="1"/>
                <w:color w:val="auto"/>
                <w:w w:val="88"/>
              </w:rPr>
              <w:t>Total</w:t>
            </w:r>
          </w:p>
        </w:tc>
        <w:tc>
          <w:tcPr>
            <w:tcW w:w="10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auto"/>
                <w:w w:val="98"/>
              </w:rPr>
              <w:t>Unrealized</w:t>
            </w:r>
          </w:p>
        </w:tc>
      </w:tr>
      <w:tr>
        <w:trPr>
          <w:trHeight w:val="210"/>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Pr>
          <w:p>
            <w:pPr>
              <w:spacing w:after="0"/>
              <w:rPr>
                <w:sz w:val="18"/>
                <w:szCs w:val="18"/>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Loss</w:t>
            </w:r>
          </w:p>
        </w:tc>
      </w:tr>
      <w:tr>
        <w:trPr>
          <w:trHeight w:val="33"/>
        </w:trPr>
        <w:tc>
          <w:tcPr>
            <w:tcW w:w="3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 of June 30, 2019</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17"/>
        </w:trPr>
        <w:tc>
          <w:tcPr>
            <w:tcW w:w="33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Residential mortgage-backed securities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18,893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191,899</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1,798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210,792</w:t>
            </w:r>
          </w:p>
        </w:tc>
        <w:tc>
          <w:tcPr>
            <w:tcW w:w="4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2,145</w:t>
            </w: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mortgage-backed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19,860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15,751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35,611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300</w:t>
            </w: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57,553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58,798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w:t>
            </w:r>
          </w:p>
        </w:tc>
      </w:tr>
      <w:tr>
        <w:trPr>
          <w:trHeight w:val="284"/>
        </w:trPr>
        <w:tc>
          <w:tcPr>
            <w:tcW w:w="3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unrealized loss position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96,306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871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273,393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2,435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369,699</w:t>
            </w: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3,306</w:t>
            </w:r>
          </w:p>
        </w:tc>
      </w:tr>
      <w:tr>
        <w:trPr>
          <w:trHeight w:val="271"/>
        </w:trPr>
        <w:tc>
          <w:tcPr>
            <w:tcW w:w="33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2018</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3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Treasuries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120,391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120,391</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2,172</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21,519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21,519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275</w:t>
            </w: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and political subdivisions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148,660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1,716</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Residential mortgage-backed securities</w:t>
            </w: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234,583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775,360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21,090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1,009,943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21,898</w:t>
            </w: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mortgage-backed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355,292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359,844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7,933</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117,296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117,296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1,921</w:t>
            </w:r>
          </w:p>
        </w:tc>
      </w:tr>
      <w:tr>
        <w:trPr>
          <w:trHeight w:val="33"/>
        </w:trPr>
        <w:tc>
          <w:tcPr>
            <w:tcW w:w="3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74,492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106,460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2,335</w:t>
            </w:r>
          </w:p>
        </w:tc>
      </w:tr>
      <w:tr>
        <w:trPr>
          <w:trHeight w:val="244"/>
        </w:trPr>
        <w:tc>
          <w:tcPr>
            <w:tcW w:w="3340" w:type="dxa"/>
            <w:vAlign w:val="bottom"/>
          </w:tcPr>
          <w:p>
            <w:pPr>
              <w:ind w:left="180"/>
              <w:spacing w:after="0"/>
              <w:rPr>
                <w:sz w:val="20"/>
                <w:szCs w:val="20"/>
                <w:color w:val="auto"/>
              </w:rPr>
            </w:pPr>
            <w:r>
              <w:rPr>
                <w:rFonts w:ascii="Arial" w:cs="Arial" w:eastAsia="Arial" w:hAnsi="Arial"/>
                <w:sz w:val="16"/>
                <w:szCs w:val="16"/>
                <w:color w:val="auto"/>
              </w:rPr>
              <w:t>Total unrealized loss position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328,787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3,309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1,555,326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34,941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1,884,113</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38,250</w:t>
            </w:r>
          </w:p>
        </w:tc>
      </w:tr>
      <w:tr>
        <w:trPr>
          <w:trHeight w:val="20"/>
        </w:trPr>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2019, there were 65 debt securities available-for-sale and 34 debt securities held-to-maturity that were in an unrealized loss position. United does not intend to sell nor believes it will be required to sell securities in an unrealized loss position prior to the recovery of their amortized cost basis. Unrealized losses at June 30, 2019 were primarily attributable to changes in interest rates.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evaluates securities for other-than-temporary impairment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the three and six months ended June 30, 2019 or 2018.</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available-for-sale securities sales activity for the three and six months ended June 30, 2019 and 2018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7"/>
                <w:szCs w:val="17"/>
                <w:color w:val="auto"/>
              </w:rPr>
            </w:pPr>
          </w:p>
        </w:tc>
        <w:tc>
          <w:tcPr>
            <w:tcW w:w="3340" w:type="dxa"/>
            <w:vAlign w:val="bottom"/>
            <w:gridSpan w:val="5"/>
          </w:tcPr>
          <w:p>
            <w:pPr>
              <w:ind w:left="40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r>
      <w:tr>
        <w:trPr>
          <w:trHeight w:val="231"/>
        </w:trPr>
        <w:tc>
          <w:tcPr>
            <w:tcW w:w="5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20" w:type="dxa"/>
            <w:vAlign w:val="bottom"/>
          </w:tcPr>
          <w:p>
            <w:pPr>
              <w:spacing w:after="0"/>
              <w:rPr>
                <w:sz w:val="20"/>
                <w:szCs w:val="20"/>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r>
      <w:tr>
        <w:trPr>
          <w:trHeight w:val="277"/>
        </w:trPr>
        <w:tc>
          <w:tcPr>
            <w:tcW w:w="50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90"/>
        </w:trPr>
        <w:tc>
          <w:tcPr>
            <w:tcW w:w="504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Proceeds from sales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47,279</w:t>
            </w:r>
          </w:p>
        </w:tc>
        <w:tc>
          <w:tcPr>
            <w:tcW w:w="1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26,335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225,883</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140,296</w:t>
            </w:r>
          </w:p>
        </w:tc>
        <w:tc>
          <w:tcPr>
            <w:tcW w:w="1020" w:type="dxa"/>
            <w:vAlign w:val="bottom"/>
            <w:tcBorders>
              <w:bottom w:val="single" w:sz="8" w:color="CCEEFF"/>
            </w:tcBorders>
          </w:tcPr>
          <w:p>
            <w:pPr>
              <w:spacing w:after="0"/>
              <w:rPr>
                <w:sz w:val="24"/>
                <w:szCs w:val="24"/>
                <w:color w:val="auto"/>
              </w:rPr>
            </w:pPr>
          </w:p>
        </w:tc>
      </w:tr>
      <w:tr>
        <w:trPr>
          <w:trHeight w:val="271"/>
        </w:trPr>
        <w:tc>
          <w:tcPr>
            <w:tcW w:w="5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7"/>
        </w:trPr>
        <w:tc>
          <w:tcPr>
            <w:tcW w:w="5040" w:type="dxa"/>
            <w:vAlign w:val="bottom"/>
          </w:tcPr>
          <w:p>
            <w:pPr>
              <w:ind w:left="720"/>
              <w:spacing w:after="0"/>
              <w:rPr>
                <w:sz w:val="20"/>
                <w:szCs w:val="20"/>
                <w:color w:val="auto"/>
              </w:rPr>
            </w:pPr>
            <w:r>
              <w:rPr>
                <w:rFonts w:ascii="Arial" w:cs="Arial" w:eastAsia="Arial" w:hAnsi="Arial"/>
                <w:sz w:val="16"/>
                <w:szCs w:val="16"/>
                <w:color w:val="auto"/>
              </w:rPr>
              <w:t>Gross gains on sales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489</w:t>
            </w:r>
          </w:p>
        </w:tc>
        <w:tc>
          <w:tcPr>
            <w:tcW w:w="14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1,776</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649</w:t>
            </w:r>
          </w:p>
        </w:tc>
        <w:tc>
          <w:tcPr>
            <w:tcW w:w="1020" w:type="dxa"/>
            <w:vAlign w:val="bottom"/>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Gross losses on sales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(1,953)</w:t>
            </w:r>
          </w:p>
        </w:tc>
        <w:tc>
          <w:tcPr>
            <w:tcW w:w="1020" w:type="dxa"/>
            <w:vAlign w:val="bottom"/>
            <w:tcBorders>
              <w:bottom w:val="single" w:sz="8" w:color="CCEEFF"/>
            </w:tcBorders>
            <w:shd w:val="clear" w:color="auto" w:fill="CCEEFF"/>
          </w:tcPr>
          <w:p>
            <w:pPr>
              <w:spacing w:after="0"/>
              <w:rPr>
                <w:sz w:val="23"/>
                <w:szCs w:val="23"/>
                <w:color w:val="auto"/>
              </w:rPr>
            </w:pPr>
          </w:p>
        </w:tc>
      </w:tr>
      <w:tr>
        <w:trPr>
          <w:trHeight w:val="284"/>
        </w:trPr>
        <w:tc>
          <w:tcPr>
            <w:tcW w:w="5040" w:type="dxa"/>
            <w:vAlign w:val="bottom"/>
            <w:tcBorders>
              <w:bottom w:val="single" w:sz="8" w:color="CCEEFF"/>
            </w:tcBorders>
          </w:tcPr>
          <w:p>
            <w:pPr>
              <w:ind w:left="860"/>
              <w:spacing w:after="0"/>
              <w:rPr>
                <w:sz w:val="20"/>
                <w:szCs w:val="20"/>
                <w:color w:val="auto"/>
              </w:rPr>
            </w:pPr>
            <w:r>
              <w:rPr>
                <w:rFonts w:ascii="Arial" w:cs="Arial" w:eastAsia="Arial" w:hAnsi="Arial"/>
                <w:sz w:val="16"/>
                <w:szCs w:val="16"/>
                <w:color w:val="auto"/>
              </w:rPr>
              <w:t>Net gains (losses) on sales of securities</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149</w:t>
            </w:r>
          </w:p>
        </w:tc>
        <w:tc>
          <w:tcPr>
            <w:tcW w:w="14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(1,304)</w:t>
            </w:r>
          </w:p>
        </w:tc>
        <w:tc>
          <w:tcPr>
            <w:tcW w:w="1020" w:type="dxa"/>
            <w:vAlign w:val="bottom"/>
            <w:tcBorders>
              <w:bottom w:val="single" w:sz="8" w:color="CCEEFF"/>
            </w:tcBorders>
          </w:tcPr>
          <w:p>
            <w:pPr>
              <w:spacing w:after="0"/>
              <w:rPr>
                <w:sz w:val="24"/>
                <w:szCs w:val="24"/>
                <w:color w:val="auto"/>
              </w:rPr>
            </w:pPr>
          </w:p>
        </w:tc>
      </w:tr>
      <w:tr>
        <w:trPr>
          <w:trHeight w:val="271"/>
        </w:trPr>
        <w:tc>
          <w:tcPr>
            <w:tcW w:w="5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50"/>
        </w:trPr>
        <w:tc>
          <w:tcPr>
            <w:tcW w:w="5040" w:type="dxa"/>
            <w:vAlign w:val="bottom"/>
          </w:tcPr>
          <w:p>
            <w:pPr>
              <w:ind w:left="720"/>
              <w:spacing w:after="0"/>
              <w:rPr>
                <w:sz w:val="20"/>
                <w:szCs w:val="20"/>
                <w:color w:val="auto"/>
              </w:rPr>
            </w:pPr>
            <w:r>
              <w:rPr>
                <w:rFonts w:ascii="Arial" w:cs="Arial" w:eastAsia="Arial" w:hAnsi="Arial"/>
                <w:sz w:val="16"/>
                <w:szCs w:val="16"/>
                <w:color w:val="auto"/>
              </w:rPr>
              <w:t>Income tax expense (benefit) attributable to sales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21"/>
                <w:szCs w:val="21"/>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1020" w:type="dxa"/>
            <w:vAlign w:val="bottom"/>
          </w:tcPr>
          <w:p>
            <w:pPr>
              <w:spacing w:after="0"/>
              <w:rPr>
                <w:sz w:val="21"/>
                <w:szCs w:val="21"/>
                <w:color w:val="auto"/>
              </w:rPr>
            </w:pPr>
          </w:p>
        </w:tc>
      </w:tr>
      <w:tr>
        <w:trPr>
          <w:trHeight w:val="20"/>
        </w:trPr>
        <w:tc>
          <w:tcPr>
            <w:tcW w:w="5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amortized cost and fair value of debt securities available-for-sale and held-to-maturity at June 30, 2019,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00" w:type="dxa"/>
            <w:vAlign w:val="bottom"/>
            <w:gridSpan w:val="5"/>
          </w:tcPr>
          <w:p>
            <w:pPr>
              <w:ind w:left="980"/>
              <w:spacing w:after="0"/>
              <w:rPr>
                <w:sz w:val="20"/>
                <w:szCs w:val="20"/>
                <w:color w:val="auto"/>
              </w:rPr>
            </w:pPr>
            <w:r>
              <w:rPr>
                <w:rFonts w:ascii="Arial" w:cs="Arial" w:eastAsia="Arial" w:hAnsi="Arial"/>
                <w:sz w:val="16"/>
                <w:szCs w:val="16"/>
                <w:b w:val="1"/>
                <w:bCs w:val="1"/>
                <w:color w:val="auto"/>
              </w:rPr>
              <w:t>Available-for-Sale</w:t>
            </w:r>
          </w:p>
        </w:tc>
        <w:tc>
          <w:tcPr>
            <w:tcW w:w="200" w:type="dxa"/>
            <w:vAlign w:val="bottom"/>
          </w:tcPr>
          <w:p>
            <w:pPr>
              <w:spacing w:after="0"/>
              <w:rPr>
                <w:sz w:val="18"/>
                <w:szCs w:val="18"/>
                <w:color w:val="auto"/>
              </w:rPr>
            </w:pPr>
          </w:p>
        </w:tc>
        <w:tc>
          <w:tcPr>
            <w:tcW w:w="3280" w:type="dxa"/>
            <w:vAlign w:val="bottom"/>
            <w:gridSpan w:val="4"/>
          </w:tcPr>
          <w:p>
            <w:pPr>
              <w:jc w:val="right"/>
              <w:ind w:right="1039"/>
              <w:spacing w:after="0"/>
              <w:rPr>
                <w:sz w:val="20"/>
                <w:szCs w:val="20"/>
                <w:color w:val="auto"/>
              </w:rPr>
            </w:pPr>
            <w:r>
              <w:rPr>
                <w:rFonts w:ascii="Arial" w:cs="Arial" w:eastAsia="Arial" w:hAnsi="Arial"/>
                <w:sz w:val="16"/>
                <w:szCs w:val="16"/>
                <w:b w:val="1"/>
                <w:bCs w:val="1"/>
                <w:color w:val="auto"/>
              </w:rPr>
              <w:t>Held-to-Maturity</w:t>
            </w:r>
          </w:p>
        </w:tc>
      </w:tr>
      <w:tr>
        <w:trPr>
          <w:trHeight w:val="33"/>
        </w:trPr>
        <w:tc>
          <w:tcPr>
            <w:tcW w:w="4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gridSpan w:val="2"/>
          </w:tcPr>
          <w:p>
            <w:pPr>
              <w:ind w:left="120"/>
              <w:spacing w:after="0"/>
              <w:rPr>
                <w:sz w:val="20"/>
                <w:szCs w:val="20"/>
                <w:color w:val="auto"/>
              </w:rPr>
            </w:pPr>
            <w:r>
              <w:rPr>
                <w:rFonts w:ascii="Arial" w:cs="Arial" w:eastAsia="Arial" w:hAnsi="Arial"/>
                <w:sz w:val="16"/>
                <w:szCs w:val="16"/>
                <w:b w:val="1"/>
                <w:bCs w:val="1"/>
                <w:color w:val="auto"/>
              </w:rPr>
              <w:t>Amortized Cost</w:t>
            </w:r>
          </w:p>
        </w:tc>
        <w:tc>
          <w:tcPr>
            <w:tcW w:w="300" w:type="dxa"/>
            <w:vAlign w:val="bottom"/>
          </w:tcPr>
          <w:p>
            <w:pPr>
              <w:spacing w:after="0"/>
              <w:rPr>
                <w:sz w:val="20"/>
                <w:szCs w:val="20"/>
                <w:color w:val="auto"/>
              </w:rPr>
            </w:pPr>
          </w:p>
        </w:tc>
        <w:tc>
          <w:tcPr>
            <w:tcW w:w="1560" w:type="dxa"/>
            <w:vAlign w:val="bottom"/>
            <w:gridSpan w:val="2"/>
          </w:tcPr>
          <w:p>
            <w:pPr>
              <w:ind w:left="20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Amortized Cost</w:t>
            </w:r>
          </w:p>
        </w:tc>
        <w:tc>
          <w:tcPr>
            <w:tcW w:w="280" w:type="dxa"/>
            <w:vAlign w:val="bottom"/>
          </w:tcPr>
          <w:p>
            <w:pPr>
              <w:spacing w:after="0"/>
              <w:rPr>
                <w:sz w:val="20"/>
                <w:szCs w:val="20"/>
                <w:color w:val="auto"/>
              </w:rPr>
            </w:pPr>
          </w:p>
        </w:tc>
        <w:tc>
          <w:tcPr>
            <w:tcW w:w="1400" w:type="dxa"/>
            <w:vAlign w:val="bottom"/>
          </w:tcPr>
          <w:p>
            <w:pPr>
              <w:jc w:val="right"/>
              <w:ind w:right="399"/>
              <w:spacing w:after="0"/>
              <w:rPr>
                <w:sz w:val="20"/>
                <w:szCs w:val="20"/>
                <w:color w:val="auto"/>
              </w:rPr>
            </w:pPr>
            <w:r>
              <w:rPr>
                <w:rFonts w:ascii="Arial" w:cs="Arial" w:eastAsia="Arial" w:hAnsi="Arial"/>
                <w:sz w:val="16"/>
                <w:szCs w:val="16"/>
                <w:b w:val="1"/>
                <w:bCs w:val="1"/>
                <w:color w:val="auto"/>
              </w:rPr>
              <w:t>Fair Value</w:t>
            </w:r>
          </w:p>
        </w:tc>
      </w:tr>
      <w:tr>
        <w:trPr>
          <w:trHeight w:val="33"/>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 Treasuries:</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Within 1 year</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29,696</w:t>
            </w:r>
          </w:p>
        </w:tc>
        <w:tc>
          <w:tcPr>
            <w:tcW w:w="12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29,806</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 to 5 years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122,834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124,133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152,530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153,939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77"/>
        </w:trPr>
        <w:tc>
          <w:tcPr>
            <w:tcW w:w="4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 to 5 years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More than 10 years</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2,981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3,232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7"/>
        </w:trPr>
        <w:tc>
          <w:tcPr>
            <w:tcW w:w="4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State and political subdivisions: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Within 1 year</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935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1,250</w:t>
            </w:r>
          </w:p>
        </w:tc>
      </w:tr>
      <w:tr>
        <w:trPr>
          <w:trHeight w:val="33"/>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 to 5 years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35,599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12,127</w:t>
            </w: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5 to 10 years</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35,378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36,893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7,753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8,564</w:t>
            </w:r>
          </w:p>
        </w:tc>
      </w:tr>
      <w:tr>
        <w:trPr>
          <w:trHeight w:val="33"/>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More than 10 years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144,228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151,810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42,489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43,345</w:t>
            </w:r>
          </w:p>
        </w:tc>
      </w:tr>
      <w:tr>
        <w:trPr>
          <w:trHeight w:val="217"/>
        </w:trPr>
        <w:tc>
          <w:tcPr>
            <w:tcW w:w="4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216,140</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225,525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63,057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65,286</w:t>
            </w:r>
          </w:p>
        </w:tc>
      </w:tr>
      <w:tr>
        <w:trPr>
          <w:trHeight w:val="33"/>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77"/>
        </w:trPr>
        <w:tc>
          <w:tcPr>
            <w:tcW w:w="4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Corporate bonds:</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Within 1 year</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30,035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1 to 5 years</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167,781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168,603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5 to 10 years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More than 10 years</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995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200,359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201,169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7"/>
        </w:trPr>
        <w:tc>
          <w:tcPr>
            <w:tcW w:w="4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1 to 5 years</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1,925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1,921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More than 10 years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106,942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107,289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108,867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109,210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77"/>
        </w:trPr>
        <w:tc>
          <w:tcPr>
            <w:tcW w:w="4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Total securities other than mortgage-backed securities:</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3"/>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Within 1 year</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60,709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60,784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w:t>
            </w: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1 to 5 years</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328,613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331,015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11,565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12,127</w:t>
            </w:r>
          </w:p>
        </w:tc>
      </w:tr>
      <w:tr>
        <w:trPr>
          <w:trHeight w:val="33"/>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5 to 10 years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38,429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8,564</w:t>
            </w:r>
          </w:p>
        </w:tc>
      </w:tr>
      <w:tr>
        <w:trPr>
          <w:trHeight w:val="237"/>
        </w:trPr>
        <w:tc>
          <w:tcPr>
            <w:tcW w:w="4240" w:type="dxa"/>
            <w:vAlign w:val="bottom"/>
          </w:tcPr>
          <w:p>
            <w:pPr>
              <w:ind w:left="180"/>
              <w:spacing w:after="0"/>
              <w:rPr>
                <w:sz w:val="20"/>
                <w:szCs w:val="20"/>
                <w:color w:val="auto"/>
              </w:rPr>
            </w:pPr>
            <w:r>
              <w:rPr>
                <w:rFonts w:ascii="Arial" w:cs="Arial" w:eastAsia="Arial" w:hAnsi="Arial"/>
                <w:sz w:val="16"/>
                <w:szCs w:val="16"/>
                <w:color w:val="auto"/>
              </w:rPr>
              <w:t>More than 10 years</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255,151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263,326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42,489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43,345</w:t>
            </w:r>
          </w:p>
        </w:tc>
      </w:tr>
      <w:tr>
        <w:trPr>
          <w:trHeight w:val="33"/>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 mortgage-backed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1,316,762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1,333,231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171,722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172,782</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Commercial mortgage-backed securities</w:t>
            </w:r>
          </w:p>
        </w:tc>
        <w:tc>
          <w:tcPr>
            <w:tcW w:w="200" w:type="dxa"/>
            <w:vAlign w:val="bottom"/>
          </w:tcPr>
          <w:p>
            <w:pPr>
              <w:spacing w:after="0"/>
              <w:rPr>
                <w:sz w:val="20"/>
                <w:szCs w:val="20"/>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337,138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339,717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18,619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18,907</w:t>
            </w:r>
          </w:p>
        </w:tc>
      </w:tr>
      <w:tr>
        <w:trPr>
          <w:trHeight w:val="33"/>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5"/>
        </w:trPr>
        <w:tc>
          <w:tcPr>
            <w:tcW w:w="42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2,335,251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2,366,502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253,398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256,975</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Loans and Leases and Allowance for Credit Losses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Major classifications of the loan and lease portfolio (collectively referred to as the “loan portfolio” or “loans”) are summarized as of the dates indicated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 2019</w:t>
            </w:r>
          </w:p>
        </w:tc>
        <w:tc>
          <w:tcPr>
            <w:tcW w:w="2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2018</w:t>
            </w:r>
          </w:p>
        </w:tc>
      </w:tr>
      <w:tr>
        <w:trPr>
          <w:trHeight w:val="33"/>
        </w:trPr>
        <w:tc>
          <w:tcPr>
            <w:tcW w:w="7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Owner occupied commercial real estate</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1,658,514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1,647,904</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Income producing commercial real estate</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1,939,569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1,812,420</w:t>
            </w: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&amp; industrial</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1,298,794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1,278,347</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Commercial construction</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982,739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796,158</w:t>
            </w: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Equipment financing</w:t>
            </w:r>
          </w:p>
        </w:tc>
        <w:tc>
          <w:tcPr>
            <w:tcW w:w="3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673,858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564,614</w:t>
            </w:r>
          </w:p>
        </w:tc>
      </w:tr>
      <w:tr>
        <w:trPr>
          <w:trHeight w:val="217"/>
        </w:trPr>
        <w:tc>
          <w:tcPr>
            <w:tcW w:w="7200" w:type="dxa"/>
            <w:vAlign w:val="bottom"/>
          </w:tcPr>
          <w:p>
            <w:pPr>
              <w:ind w:left="280"/>
              <w:spacing w:after="0"/>
              <w:rPr>
                <w:sz w:val="20"/>
                <w:szCs w:val="20"/>
                <w:color w:val="auto"/>
              </w:rPr>
            </w:pPr>
            <w:r>
              <w:rPr>
                <w:rFonts w:ascii="Arial" w:cs="Arial" w:eastAsia="Arial" w:hAnsi="Arial"/>
                <w:sz w:val="16"/>
                <w:szCs w:val="16"/>
                <w:color w:val="auto"/>
              </w:rPr>
              <w:t>Total commercial</w:t>
            </w:r>
          </w:p>
        </w:tc>
        <w:tc>
          <w:tcPr>
            <w:tcW w:w="3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6,553,474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6,099,443</w:t>
            </w: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 mortgage</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1,108,242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1,049,232</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Home equity lines of credit</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675,184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694,010</w:t>
            </w: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 construction</w:t>
            </w:r>
          </w:p>
        </w:tc>
        <w:tc>
          <w:tcPr>
            <w:tcW w:w="3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218,607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211,011</w:t>
            </w: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Consumer direct</w:t>
            </w:r>
          </w:p>
        </w:tc>
        <w:tc>
          <w:tcPr>
            <w:tcW w:w="34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127,966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122,013</w:t>
            </w: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Indirect auto</w:t>
            </w:r>
          </w:p>
        </w:tc>
        <w:tc>
          <w:tcPr>
            <w:tcW w:w="3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154,745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207,692</w:t>
            </w:r>
          </w:p>
        </w:tc>
      </w:tr>
      <w:tr>
        <w:trPr>
          <w:trHeight w:val="217"/>
        </w:trPr>
        <w:tc>
          <w:tcPr>
            <w:tcW w:w="7200" w:type="dxa"/>
            <w:vAlign w:val="bottom"/>
          </w:tcPr>
          <w:p>
            <w:pPr>
              <w:ind w:left="280"/>
              <w:spacing w:after="0"/>
              <w:rPr>
                <w:sz w:val="20"/>
                <w:szCs w:val="20"/>
                <w:color w:val="auto"/>
              </w:rPr>
            </w:pPr>
            <w:r>
              <w:rPr>
                <w:rFonts w:ascii="Arial" w:cs="Arial" w:eastAsia="Arial" w:hAnsi="Arial"/>
                <w:sz w:val="16"/>
                <w:szCs w:val="16"/>
                <w:color w:val="auto"/>
              </w:rPr>
              <w:t>Total loans</w:t>
            </w:r>
          </w:p>
        </w:tc>
        <w:tc>
          <w:tcPr>
            <w:tcW w:w="3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8,838,218</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8,383,401</w:t>
            </w: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allowance for loan losses</w:t>
            </w:r>
          </w:p>
        </w:tc>
        <w:tc>
          <w:tcPr>
            <w:tcW w:w="3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(61,203)</w:t>
            </w:r>
          </w:p>
        </w:tc>
      </w:tr>
      <w:tr>
        <w:trPr>
          <w:trHeight w:val="244"/>
        </w:trPr>
        <w:tc>
          <w:tcPr>
            <w:tcW w:w="7200" w:type="dxa"/>
            <w:vAlign w:val="bottom"/>
          </w:tcPr>
          <w:p>
            <w:pPr>
              <w:ind w:left="280"/>
              <w:spacing w:after="0"/>
              <w:rPr>
                <w:sz w:val="20"/>
                <w:szCs w:val="20"/>
                <w:color w:val="auto"/>
              </w:rPr>
            </w:pPr>
            <w:r>
              <w:rPr>
                <w:rFonts w:ascii="Arial" w:cs="Arial" w:eastAsia="Arial" w:hAnsi="Arial"/>
                <w:sz w:val="16"/>
                <w:szCs w:val="16"/>
                <w:color w:val="auto"/>
              </w:rPr>
              <w:t>Loans, net</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8,776,014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8,322,198</w:t>
            </w:r>
          </w:p>
        </w:tc>
      </w:tr>
      <w:tr>
        <w:trPr>
          <w:trHeight w:val="20"/>
        </w:trPr>
        <w:tc>
          <w:tcPr>
            <w:tcW w:w="7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2019 and December 31, 2018, loans totaling $4.05 billion and $3.98 billion, respectively, were pledged as collateral to secure Federal Home Loan Bank advances, securitized notes payable and other contingent funding sources.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At June 30, 2019, the carrying value and outstanding balance of purchased credit impaired (“PCI”) loans accounted for under ASC 310-30 were $73.2 million and $104 million, respectively. At December 31, 2018, the carrying value and outstanding balance of PCI loans were $74.4 million and $109 million, respectively. The following table presents changes in the balance of the accretable yield for PCI loans for the periods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0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210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r>
      <w:tr>
        <w:trPr>
          <w:trHeight w:val="33"/>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26,624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18,036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26,868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17,686</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Additions due to acquisitions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1,977</w:t>
            </w: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Accretion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(5,511)</w:t>
            </w:r>
          </w:p>
        </w:tc>
      </w:tr>
      <w:tr>
        <w:trPr>
          <w:trHeight w:val="237"/>
        </w:trPr>
        <w:tc>
          <w:tcPr>
            <w:tcW w:w="6520" w:type="dxa"/>
            <w:vAlign w:val="bottom"/>
          </w:tcPr>
          <w:p>
            <w:pPr>
              <w:ind w:left="40"/>
              <w:spacing w:after="0"/>
              <w:rPr>
                <w:sz w:val="20"/>
                <w:szCs w:val="20"/>
                <w:color w:val="auto"/>
              </w:rPr>
            </w:pPr>
            <w:r>
              <w:rPr>
                <w:rFonts w:ascii="Arial" w:cs="Arial" w:eastAsia="Arial" w:hAnsi="Arial"/>
                <w:sz w:val="16"/>
                <w:szCs w:val="16"/>
                <w:color w:val="auto"/>
              </w:rPr>
              <w:t>Reclassification from nonaccretable difference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1,762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6,527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4,468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7,118</w:t>
            </w:r>
          </w:p>
        </w:tc>
      </w:tr>
      <w:tr>
        <w:trPr>
          <w:trHeight w:val="33"/>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expected cash flows that do not affect nonaccretable difference</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1,661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2,136</w:t>
            </w:r>
          </w:p>
        </w:tc>
      </w:tr>
      <w:tr>
        <w:trPr>
          <w:trHeight w:val="244"/>
        </w:trPr>
        <w:tc>
          <w:tcPr>
            <w:tcW w:w="6520" w:type="dxa"/>
            <w:vAlign w:val="bottom"/>
          </w:tcPr>
          <w:p>
            <w:pPr>
              <w:ind w:left="40"/>
              <w:spacing w:after="0"/>
              <w:rPr>
                <w:sz w:val="20"/>
                <w:szCs w:val="20"/>
                <w:color w:val="auto"/>
              </w:rPr>
            </w:pPr>
            <w:r>
              <w:rPr>
                <w:rFonts w:ascii="Arial" w:cs="Arial" w:eastAsia="Arial" w:hAnsi="Arial"/>
                <w:sz w:val="16"/>
                <w:szCs w:val="16"/>
                <w:color w:val="auto"/>
              </w:rPr>
              <w:t>Balance at end of period</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26,308</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23,406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26,308</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23,406</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the accretable yield on PCI loans, the fair value adjustments on purchased loans outside the scope of ASC 310-30 are also accreted to interest revenue over the life of the loans. At June 30, 2019 and December 31, 2018, the remaining accretable net fair value discount on loans acquired through a business combination and not accounted for under ASC 310-30 was $6.55 million and $4.31 million, respectively, which included a net premium on acquired equipment financing loans. In addition, indirect auto loans purchased at a premium outside of a business combination had a remaining premium of $2.42 million and $3.72 million, respectively, as of June 30, 2019 and December 31, 2018.</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At June 30, 2019 and December 31, 2018, equipment financing assets included leases of $38.0 million and $30.4 million, respectively. The components of the net investment in leases, which included both sales-type and direct financing,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Pr>
          <w:p>
            <w:pPr>
              <w:spacing w:after="0"/>
              <w:rPr>
                <w:sz w:val="18"/>
                <w:szCs w:val="18"/>
                <w:color w:val="auto"/>
              </w:rPr>
            </w:pPr>
          </w:p>
        </w:tc>
        <w:tc>
          <w:tcPr>
            <w:tcW w:w="330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5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30"/>
        </w:trPr>
        <w:tc>
          <w:tcPr>
            <w:tcW w:w="584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Minimum future lease payments receivable</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40,532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31,915</w:t>
            </w:r>
          </w:p>
        </w:tc>
        <w:tc>
          <w:tcPr>
            <w:tcW w:w="1600" w:type="dxa"/>
            <w:vAlign w:val="bottom"/>
            <w:tcBorders>
              <w:bottom w:val="single" w:sz="8" w:color="CCEEFF"/>
            </w:tcBorders>
            <w:shd w:val="clear" w:color="auto" w:fill="CCEEFF"/>
          </w:tcPr>
          <w:p>
            <w:pPr>
              <w:spacing w:after="0"/>
              <w:rPr>
                <w:sz w:val="20"/>
                <w:szCs w:val="20"/>
                <w:color w:val="auto"/>
              </w:rPr>
            </w:pPr>
          </w:p>
        </w:tc>
      </w:tr>
      <w:tr>
        <w:trPr>
          <w:trHeight w:val="237"/>
        </w:trPr>
        <w:tc>
          <w:tcPr>
            <w:tcW w:w="5840" w:type="dxa"/>
            <w:vAlign w:val="bottom"/>
          </w:tcPr>
          <w:p>
            <w:pPr>
              <w:ind w:left="1640"/>
              <w:spacing w:after="0"/>
              <w:rPr>
                <w:sz w:val="20"/>
                <w:szCs w:val="20"/>
                <w:color w:val="auto"/>
              </w:rPr>
            </w:pPr>
            <w:r>
              <w:rPr>
                <w:rFonts w:ascii="Arial" w:cs="Arial" w:eastAsia="Arial" w:hAnsi="Arial"/>
                <w:sz w:val="16"/>
                <w:szCs w:val="16"/>
                <w:color w:val="auto"/>
              </w:rPr>
              <w:t>Estimated residual value of leased equipment</w:t>
            </w:r>
          </w:p>
        </w:tc>
        <w:tc>
          <w:tcPr>
            <w:tcW w:w="32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3,753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3,593</w:t>
            </w:r>
          </w:p>
        </w:tc>
        <w:tc>
          <w:tcPr>
            <w:tcW w:w="1600" w:type="dxa"/>
            <w:vAlign w:val="bottom"/>
          </w:tcPr>
          <w:p>
            <w:pPr>
              <w:spacing w:after="0"/>
              <w:rPr>
                <w:sz w:val="20"/>
                <w:szCs w:val="20"/>
                <w:color w:val="auto"/>
              </w:rPr>
            </w:pPr>
          </w:p>
        </w:tc>
      </w:tr>
      <w:tr>
        <w:trPr>
          <w:trHeight w:val="33"/>
        </w:trPr>
        <w:tc>
          <w:tcPr>
            <w:tcW w:w="5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Initial direct costs</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827</w:t>
            </w:r>
          </w:p>
        </w:tc>
        <w:tc>
          <w:tcPr>
            <w:tcW w:w="1600" w:type="dxa"/>
            <w:vAlign w:val="bottom"/>
            <w:tcBorders>
              <w:bottom w:val="single" w:sz="8" w:color="CCEEFF"/>
            </w:tcBorders>
            <w:shd w:val="clear" w:color="auto" w:fill="CCEEFF"/>
          </w:tcPr>
          <w:p>
            <w:pPr>
              <w:spacing w:after="0"/>
              <w:rPr>
                <w:sz w:val="21"/>
                <w:szCs w:val="21"/>
                <w:color w:val="auto"/>
              </w:rPr>
            </w:pPr>
          </w:p>
        </w:tc>
      </w:tr>
      <w:tr>
        <w:trPr>
          <w:trHeight w:val="237"/>
        </w:trPr>
        <w:tc>
          <w:tcPr>
            <w:tcW w:w="5840" w:type="dxa"/>
            <w:vAlign w:val="bottom"/>
          </w:tcPr>
          <w:p>
            <w:pPr>
              <w:ind w:left="1640"/>
              <w:spacing w:after="0"/>
              <w:rPr>
                <w:sz w:val="20"/>
                <w:szCs w:val="20"/>
                <w:color w:val="auto"/>
              </w:rPr>
            </w:pPr>
            <w:r>
              <w:rPr>
                <w:rFonts w:ascii="Arial" w:cs="Arial" w:eastAsia="Arial" w:hAnsi="Arial"/>
                <w:sz w:val="16"/>
                <w:szCs w:val="16"/>
                <w:color w:val="auto"/>
              </w:rPr>
              <w:t>Security deposits</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(1,189)</w:t>
            </w:r>
          </w:p>
        </w:tc>
        <w:tc>
          <w:tcPr>
            <w:tcW w:w="1600" w:type="dxa"/>
            <w:vAlign w:val="bottom"/>
          </w:tcPr>
          <w:p>
            <w:pPr>
              <w:spacing w:after="0"/>
              <w:rPr>
                <w:sz w:val="20"/>
                <w:szCs w:val="20"/>
                <w:color w:val="auto"/>
              </w:rPr>
            </w:pPr>
          </w:p>
        </w:tc>
      </w:tr>
      <w:tr>
        <w:trPr>
          <w:trHeight w:val="33"/>
        </w:trPr>
        <w:tc>
          <w:tcPr>
            <w:tcW w:w="5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Purchase accounting premium</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806</w:t>
            </w:r>
          </w:p>
        </w:tc>
        <w:tc>
          <w:tcPr>
            <w:tcW w:w="1600" w:type="dxa"/>
            <w:vAlign w:val="bottom"/>
            <w:tcBorders>
              <w:bottom w:val="single" w:sz="8" w:color="CCEEFF"/>
            </w:tcBorders>
            <w:shd w:val="clear" w:color="auto" w:fill="CCEEFF"/>
          </w:tcPr>
          <w:p>
            <w:pPr>
              <w:spacing w:after="0"/>
              <w:rPr>
                <w:sz w:val="21"/>
                <w:szCs w:val="21"/>
                <w:color w:val="auto"/>
              </w:rPr>
            </w:pPr>
          </w:p>
        </w:tc>
      </w:tr>
      <w:tr>
        <w:trPr>
          <w:trHeight w:val="237"/>
        </w:trPr>
        <w:tc>
          <w:tcPr>
            <w:tcW w:w="5840" w:type="dxa"/>
            <w:vAlign w:val="bottom"/>
          </w:tcPr>
          <w:p>
            <w:pPr>
              <w:ind w:left="1640"/>
              <w:spacing w:after="0"/>
              <w:rPr>
                <w:sz w:val="20"/>
                <w:szCs w:val="20"/>
                <w:color w:val="auto"/>
              </w:rPr>
            </w:pPr>
            <w:r>
              <w:rPr>
                <w:rFonts w:ascii="Arial" w:cs="Arial" w:eastAsia="Arial" w:hAnsi="Arial"/>
                <w:sz w:val="16"/>
                <w:szCs w:val="16"/>
                <w:color w:val="auto"/>
              </w:rPr>
              <w:t>Unearned income</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(6,603)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(5,568)</w:t>
            </w:r>
          </w:p>
        </w:tc>
        <w:tc>
          <w:tcPr>
            <w:tcW w:w="1600" w:type="dxa"/>
            <w:vAlign w:val="bottom"/>
          </w:tcPr>
          <w:p>
            <w:pPr>
              <w:spacing w:after="0"/>
              <w:rPr>
                <w:sz w:val="20"/>
                <w:szCs w:val="20"/>
                <w:color w:val="auto"/>
              </w:rPr>
            </w:pPr>
          </w:p>
        </w:tc>
      </w:tr>
      <w:tr>
        <w:trPr>
          <w:trHeight w:val="33"/>
        </w:trPr>
        <w:tc>
          <w:tcPr>
            <w:tcW w:w="58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1880"/>
              <w:spacing w:after="0"/>
              <w:rPr>
                <w:sz w:val="20"/>
                <w:szCs w:val="20"/>
                <w:color w:val="auto"/>
              </w:rPr>
            </w:pPr>
            <w:r>
              <w:rPr>
                <w:rFonts w:ascii="Arial" w:cs="Arial" w:eastAsia="Arial" w:hAnsi="Arial"/>
                <w:sz w:val="16"/>
                <w:szCs w:val="16"/>
                <w:color w:val="auto"/>
              </w:rPr>
              <w:t>Net investment in leases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38,038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30,384</w:t>
            </w:r>
          </w:p>
        </w:tc>
        <w:tc>
          <w:tcPr>
            <w:tcW w:w="1600" w:type="dxa"/>
            <w:vAlign w:val="bottom"/>
            <w:tcBorders>
              <w:bottom w:val="single" w:sz="8" w:color="CCEEFF"/>
            </w:tcBorders>
            <w:shd w:val="clear" w:color="auto" w:fill="CCEEFF"/>
          </w:tcPr>
          <w:p>
            <w:pPr>
              <w:spacing w:after="0"/>
              <w:rPr>
                <w:sz w:val="21"/>
                <w:szCs w:val="21"/>
                <w:color w:val="auto"/>
              </w:rPr>
            </w:pPr>
          </w:p>
        </w:tc>
      </w:tr>
      <w:tr>
        <w:trPr>
          <w:trHeight w:val="20"/>
        </w:trPr>
        <w:tc>
          <w:tcPr>
            <w:tcW w:w="5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Minimum future lease payments expected to be received from equipment financing lease contracts as of June 30, 2019 are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97"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Year</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740" w:type="dxa"/>
            <w:vAlign w:val="bottom"/>
            <w:tcBorders>
              <w:top w:val="single" w:sz="8" w:color="CCEEFF"/>
              <w:bottom w:val="single" w:sz="8" w:color="CCEEFF"/>
            </w:tcBorders>
            <w:shd w:val="clear" w:color="auto" w:fill="CCEEFF"/>
          </w:tcPr>
          <w:p>
            <w:pPr>
              <w:spacing w:after="0"/>
              <w:rPr>
                <w:sz w:val="21"/>
                <w:szCs w:val="21"/>
                <w:color w:val="auto"/>
              </w:rPr>
            </w:pPr>
          </w:p>
        </w:tc>
        <w:tc>
          <w:tcPr>
            <w:tcW w:w="4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Remainder of 2019</w:t>
            </w:r>
          </w:p>
        </w:tc>
        <w:tc>
          <w:tcPr>
            <w:tcW w:w="580" w:type="dxa"/>
            <w:vAlign w:val="bottom"/>
            <w:tcBorders>
              <w:top w:val="single" w:sz="8" w:color="CCEEFF"/>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7,540</w:t>
            </w:r>
          </w:p>
        </w:tc>
        <w:tc>
          <w:tcPr>
            <w:tcW w:w="27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37"/>
        </w:trPr>
        <w:tc>
          <w:tcPr>
            <w:tcW w:w="7100" w:type="dxa"/>
            <w:vAlign w:val="bottom"/>
            <w:gridSpan w:val="2"/>
          </w:tcPr>
          <w:p>
            <w:pPr>
              <w:ind w:left="2780"/>
              <w:spacing w:after="0"/>
              <w:rPr>
                <w:sz w:val="20"/>
                <w:szCs w:val="20"/>
                <w:color w:val="auto"/>
              </w:rPr>
            </w:pPr>
            <w:r>
              <w:rPr>
                <w:rFonts w:ascii="Arial" w:cs="Arial" w:eastAsia="Arial" w:hAnsi="Arial"/>
                <w:sz w:val="16"/>
                <w:szCs w:val="16"/>
                <w:color w:val="auto"/>
              </w:rPr>
              <w:t>2020</w:t>
            </w:r>
          </w:p>
        </w:tc>
        <w:tc>
          <w:tcPr>
            <w:tcW w:w="5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13,005</w:t>
            </w:r>
          </w:p>
        </w:tc>
        <w:tc>
          <w:tcPr>
            <w:tcW w:w="2720" w:type="dxa"/>
            <w:vAlign w:val="bottom"/>
          </w:tcPr>
          <w:p>
            <w:pPr>
              <w:spacing w:after="0"/>
              <w:rPr>
                <w:sz w:val="20"/>
                <w:szCs w:val="20"/>
                <w:color w:val="auto"/>
              </w:rPr>
            </w:pPr>
          </w:p>
        </w:tc>
      </w:tr>
      <w:tr>
        <w:trPr>
          <w:trHeight w:val="33"/>
        </w:trPr>
        <w:tc>
          <w:tcPr>
            <w:tcW w:w="27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780"/>
              <w:spacing w:after="0"/>
              <w:rPr>
                <w:sz w:val="20"/>
                <w:szCs w:val="20"/>
                <w:color w:val="auto"/>
              </w:rPr>
            </w:pPr>
            <w:r>
              <w:rPr>
                <w:rFonts w:ascii="Arial" w:cs="Arial" w:eastAsia="Arial" w:hAnsi="Arial"/>
                <w:sz w:val="16"/>
                <w:szCs w:val="16"/>
                <w:color w:val="auto"/>
              </w:rPr>
              <w:t>2021</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9,290</w:t>
            </w:r>
          </w:p>
        </w:tc>
        <w:tc>
          <w:tcPr>
            <w:tcW w:w="2720" w:type="dxa"/>
            <w:vAlign w:val="bottom"/>
            <w:tcBorders>
              <w:bottom w:val="single" w:sz="8" w:color="CCEEFF"/>
            </w:tcBorders>
            <w:shd w:val="clear" w:color="auto" w:fill="CCEEFF"/>
          </w:tcPr>
          <w:p>
            <w:pPr>
              <w:spacing w:after="0"/>
              <w:rPr>
                <w:sz w:val="21"/>
                <w:szCs w:val="21"/>
                <w:color w:val="auto"/>
              </w:rPr>
            </w:pPr>
          </w:p>
        </w:tc>
      </w:tr>
      <w:tr>
        <w:trPr>
          <w:trHeight w:val="237"/>
        </w:trPr>
        <w:tc>
          <w:tcPr>
            <w:tcW w:w="7100" w:type="dxa"/>
            <w:vAlign w:val="bottom"/>
            <w:gridSpan w:val="2"/>
          </w:tcPr>
          <w:p>
            <w:pPr>
              <w:ind w:left="2780"/>
              <w:spacing w:after="0"/>
              <w:rPr>
                <w:sz w:val="20"/>
                <w:szCs w:val="20"/>
                <w:color w:val="auto"/>
              </w:rPr>
            </w:pPr>
            <w:r>
              <w:rPr>
                <w:rFonts w:ascii="Arial" w:cs="Arial" w:eastAsia="Arial" w:hAnsi="Arial"/>
                <w:sz w:val="16"/>
                <w:szCs w:val="16"/>
                <w:color w:val="auto"/>
              </w:rPr>
              <w:t>2022</w:t>
            </w:r>
          </w:p>
        </w:tc>
        <w:tc>
          <w:tcPr>
            <w:tcW w:w="5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5,977</w:t>
            </w:r>
          </w:p>
        </w:tc>
        <w:tc>
          <w:tcPr>
            <w:tcW w:w="2720" w:type="dxa"/>
            <w:vAlign w:val="bottom"/>
          </w:tcPr>
          <w:p>
            <w:pPr>
              <w:spacing w:after="0"/>
              <w:rPr>
                <w:sz w:val="20"/>
                <w:szCs w:val="20"/>
                <w:color w:val="auto"/>
              </w:rPr>
            </w:pPr>
          </w:p>
        </w:tc>
      </w:tr>
      <w:tr>
        <w:trPr>
          <w:trHeight w:val="33"/>
        </w:trPr>
        <w:tc>
          <w:tcPr>
            <w:tcW w:w="27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2"/>
            <w:shd w:val="clear" w:color="auto" w:fill="CCEEFF"/>
          </w:tcPr>
          <w:p>
            <w:pPr>
              <w:ind w:left="2780"/>
              <w:spacing w:after="0"/>
              <w:rPr>
                <w:sz w:val="20"/>
                <w:szCs w:val="20"/>
                <w:color w:val="auto"/>
              </w:rPr>
            </w:pPr>
            <w:r>
              <w:rPr>
                <w:rFonts w:ascii="Arial" w:cs="Arial" w:eastAsia="Arial" w:hAnsi="Arial"/>
                <w:sz w:val="16"/>
                <w:szCs w:val="16"/>
                <w:color w:val="auto"/>
              </w:rPr>
              <w:t>2023</w:t>
            </w: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3,501</w:t>
            </w:r>
          </w:p>
        </w:tc>
        <w:tc>
          <w:tcPr>
            <w:tcW w:w="2720" w:type="dxa"/>
            <w:vAlign w:val="bottom"/>
            <w:tcBorders>
              <w:bottom w:val="single" w:sz="8" w:color="CCEEFF"/>
            </w:tcBorders>
            <w:shd w:val="clear" w:color="auto" w:fill="CCEEFF"/>
          </w:tcPr>
          <w:p>
            <w:pPr>
              <w:spacing w:after="0"/>
              <w:rPr>
                <w:sz w:val="21"/>
                <w:szCs w:val="21"/>
                <w:color w:val="auto"/>
              </w:rPr>
            </w:pPr>
          </w:p>
        </w:tc>
      </w:tr>
      <w:tr>
        <w:trPr>
          <w:trHeight w:val="237"/>
        </w:trPr>
        <w:tc>
          <w:tcPr>
            <w:tcW w:w="2740" w:type="dxa"/>
            <w:vAlign w:val="bottom"/>
          </w:tcPr>
          <w:p>
            <w:pPr>
              <w:spacing w:after="0"/>
              <w:rPr>
                <w:sz w:val="20"/>
                <w:szCs w:val="20"/>
                <w:color w:val="auto"/>
              </w:rPr>
            </w:pPr>
          </w:p>
        </w:tc>
        <w:tc>
          <w:tcPr>
            <w:tcW w:w="43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58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1,219</w:t>
            </w:r>
          </w:p>
        </w:tc>
        <w:tc>
          <w:tcPr>
            <w:tcW w:w="2720" w:type="dxa"/>
            <w:vAlign w:val="bottom"/>
          </w:tcPr>
          <w:p>
            <w:pPr>
              <w:spacing w:after="0"/>
              <w:rPr>
                <w:sz w:val="20"/>
                <w:szCs w:val="20"/>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spacing w:after="0"/>
              <w:rPr>
                <w:sz w:val="21"/>
                <w:szCs w:val="21"/>
                <w:color w:val="auto"/>
              </w:rPr>
            </w:pPr>
          </w:p>
        </w:tc>
        <w:tc>
          <w:tcPr>
            <w:tcW w:w="4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40,532</w:t>
            </w:r>
          </w:p>
        </w:tc>
        <w:tc>
          <w:tcPr>
            <w:tcW w:w="2720" w:type="dxa"/>
            <w:vAlign w:val="bottom"/>
            <w:tcBorders>
              <w:bottom w:val="single" w:sz="8" w:color="CCEEFF"/>
            </w:tcBorders>
            <w:shd w:val="clear" w:color="auto" w:fill="CCEEFF"/>
          </w:tcPr>
          <w:p>
            <w:pPr>
              <w:spacing w:after="0"/>
              <w:rPr>
                <w:sz w:val="21"/>
                <w:szCs w:val="21"/>
                <w:color w:val="auto"/>
              </w:rPr>
            </w:pPr>
          </w:p>
        </w:tc>
      </w:tr>
      <w:tr>
        <w:trPr>
          <w:trHeight w:val="20"/>
        </w:trPr>
        <w:tc>
          <w:tcPr>
            <w:tcW w:w="27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Allowance for Credit Losses and Loans Individually Evaluated for Impairment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allowance for loan losses represents management’s estimate of probable incurred losses in the loan portfolio as of the end of the period. The allowance for unfunded commitments is included in other liabilities in the consolidated balance sheet. Combined, the allowance for loan losses and allowance for unfunded commitments are referred to as the allowance for credit losses.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presents the balance and activity in the allowance for credit losses by portfolio segment for the periods indicated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08"/>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4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Three Months Ended June 30,</w:t>
            </w: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Beginning</w:t>
            </w: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Charge-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Ending</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Beginning</w:t>
            </w: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Charge-</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(Release)</w:t>
            </w:r>
          </w:p>
        </w:tc>
        <w:tc>
          <w:tcPr>
            <w:tcW w:w="120" w:type="dxa"/>
            <w:vAlign w:val="bottom"/>
          </w:tcPr>
          <w:p>
            <w:pPr>
              <w:spacing w:after="0"/>
              <w:rPr>
                <w:sz w:val="14"/>
                <w:szCs w:val="14"/>
                <w:color w:val="auto"/>
              </w:rPr>
            </w:pPr>
          </w:p>
        </w:tc>
        <w:tc>
          <w:tcPr>
            <w:tcW w:w="660" w:type="dxa"/>
            <w:vAlign w:val="bottom"/>
          </w:tcPr>
          <w:p>
            <w:pPr>
              <w:jc w:val="right"/>
              <w:ind w:right="109"/>
              <w:spacing w:after="0"/>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Balance</w:t>
            </w:r>
          </w:p>
        </w:tc>
        <w:tc>
          <w:tcPr>
            <w:tcW w:w="10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Offs</w:t>
            </w:r>
          </w:p>
        </w:tc>
        <w:tc>
          <w:tcPr>
            <w:tcW w:w="10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Recoveries</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(Release)Provision</w:t>
            </w:r>
          </w:p>
        </w:tc>
        <w:tc>
          <w:tcPr>
            <w:tcW w:w="12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6"/>
                <w:szCs w:val="16"/>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Balance</w:t>
            </w: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Offs</w:t>
            </w:r>
          </w:p>
        </w:tc>
        <w:tc>
          <w:tcPr>
            <w:tcW w:w="120" w:type="dxa"/>
            <w:vAlign w:val="bottom"/>
          </w:tcPr>
          <w:p>
            <w:pPr>
              <w:spacing w:after="0"/>
              <w:rPr>
                <w:sz w:val="16"/>
                <w:szCs w:val="16"/>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Recoveries</w:t>
            </w:r>
          </w:p>
        </w:tc>
        <w:tc>
          <w:tcPr>
            <w:tcW w:w="10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Provision</w:t>
            </w:r>
          </w:p>
        </w:tc>
        <w:tc>
          <w:tcPr>
            <w:tcW w:w="120" w:type="dxa"/>
            <w:vAlign w:val="bottom"/>
          </w:tcPr>
          <w:p>
            <w:pPr>
              <w:spacing w:after="0"/>
              <w:rPr>
                <w:sz w:val="16"/>
                <w:szCs w:val="16"/>
                <w:color w:val="auto"/>
              </w:rPr>
            </w:pPr>
          </w:p>
        </w:tc>
        <w:tc>
          <w:tcPr>
            <w:tcW w:w="660" w:type="dxa"/>
            <w:vAlign w:val="bottom"/>
          </w:tcPr>
          <w:p>
            <w:pPr>
              <w:jc w:val="right"/>
              <w:ind w:right="89"/>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3"/>
        </w:trPr>
        <w:tc>
          <w:tcPr>
            <w:tcW w:w="204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rPr>
              <w:t>Owner occupied commercial</w:t>
            </w: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11,874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11,545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14,561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12,909</w:t>
            </w:r>
          </w:p>
        </w:tc>
        <w:tc>
          <w:tcPr>
            <w:tcW w:w="0" w:type="dxa"/>
            <w:vAlign w:val="bottom"/>
          </w:tcPr>
          <w:p>
            <w:pPr>
              <w:spacing w:after="0"/>
              <w:rPr>
                <w:sz w:val="1"/>
                <w:szCs w:val="1"/>
                <w:color w:val="auto"/>
              </w:rPr>
            </w:pPr>
          </w:p>
        </w:tc>
      </w:tr>
      <w:tr>
        <w:trPr>
          <w:trHeight w:val="157"/>
        </w:trPr>
        <w:tc>
          <w:tcPr>
            <w:tcW w:w="2040" w:type="dxa"/>
            <w:vAlign w:val="bottom"/>
          </w:tcPr>
          <w:p>
            <w:pPr>
              <w:ind w:left="40"/>
              <w:spacing w:after="0" w:line="157" w:lineRule="exact"/>
              <w:rPr>
                <w:sz w:val="20"/>
                <w:szCs w:val="20"/>
                <w:color w:val="auto"/>
              </w:rPr>
            </w:pPr>
            <w:r>
              <w:rPr>
                <w:rFonts w:ascii="Arial" w:cs="Arial" w:eastAsia="Arial" w:hAnsi="Arial"/>
                <w:sz w:val="14"/>
                <w:szCs w:val="14"/>
                <w:color w:val="auto"/>
              </w:rPr>
              <w:t>Income producing commercial</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40" w:type="dxa"/>
            <w:vAlign w:val="bottom"/>
          </w:tcPr>
          <w:p>
            <w:pPr>
              <w:ind w:left="40"/>
              <w:spacing w:after="0"/>
              <w:rPr>
                <w:sz w:val="20"/>
                <w:szCs w:val="20"/>
                <w:color w:val="auto"/>
              </w:rPr>
            </w:pPr>
            <w:r>
              <w:rPr>
                <w:rFonts w:ascii="Arial" w:cs="Arial" w:eastAsia="Arial" w:hAnsi="Arial"/>
                <w:sz w:val="14"/>
                <w:szCs w:val="14"/>
                <w:color w:val="auto"/>
              </w:rPr>
              <w:t>real estate</w:t>
            </w:r>
          </w:p>
        </w:tc>
        <w:tc>
          <w:tcPr>
            <w:tcW w:w="10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11,126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11,020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9,776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2,507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10,862</w:t>
            </w: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 &amp; industrial</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4,895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5,308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4,205</w:t>
            </w:r>
          </w:p>
        </w:tc>
        <w:tc>
          <w:tcPr>
            <w:tcW w:w="0" w:type="dxa"/>
            <w:vAlign w:val="bottom"/>
          </w:tcPr>
          <w:p>
            <w:pPr>
              <w:spacing w:after="0"/>
              <w:rPr>
                <w:sz w:val="1"/>
                <w:szCs w:val="1"/>
                <w:color w:val="auto"/>
              </w:rPr>
            </w:pPr>
          </w:p>
        </w:tc>
      </w:tr>
      <w:tr>
        <w:trPr>
          <w:trHeight w:val="264"/>
        </w:trPr>
        <w:tc>
          <w:tcPr>
            <w:tcW w:w="2040" w:type="dxa"/>
            <w:vAlign w:val="bottom"/>
          </w:tcPr>
          <w:p>
            <w:pPr>
              <w:ind w:left="40"/>
              <w:spacing w:after="0"/>
              <w:rPr>
                <w:sz w:val="20"/>
                <w:szCs w:val="20"/>
                <w:color w:val="auto"/>
              </w:rPr>
            </w:pPr>
            <w:r>
              <w:rPr>
                <w:rFonts w:ascii="Arial" w:cs="Arial" w:eastAsia="Arial" w:hAnsi="Arial"/>
                <w:sz w:val="14"/>
                <w:szCs w:val="14"/>
                <w:color w:val="auto"/>
              </w:rPr>
              <w:t>Commercial construction</w:t>
            </w:r>
          </w:p>
        </w:tc>
        <w:tc>
          <w:tcPr>
            <w:tcW w:w="10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10,275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10,318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10,034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10,123</w:t>
            </w: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Equipment financing</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6,231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1,593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6,935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2,291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3,561</w:t>
            </w:r>
          </w:p>
        </w:tc>
        <w:tc>
          <w:tcPr>
            <w:tcW w:w="0" w:type="dxa"/>
            <w:vAlign w:val="bottom"/>
          </w:tcPr>
          <w:p>
            <w:pPr>
              <w:spacing w:after="0"/>
              <w:rPr>
                <w:sz w:val="1"/>
                <w:szCs w:val="1"/>
                <w:color w:val="auto"/>
              </w:rPr>
            </w:pPr>
          </w:p>
        </w:tc>
      </w:tr>
      <w:tr>
        <w:trPr>
          <w:trHeight w:val="264"/>
        </w:trPr>
        <w:tc>
          <w:tcPr>
            <w:tcW w:w="2040" w:type="dxa"/>
            <w:vAlign w:val="bottom"/>
          </w:tcPr>
          <w:p>
            <w:pPr>
              <w:ind w:left="40"/>
              <w:spacing w:after="0"/>
              <w:rPr>
                <w:sz w:val="20"/>
                <w:szCs w:val="20"/>
                <w:color w:val="auto"/>
              </w:rPr>
            </w:pPr>
            <w:r>
              <w:rPr>
                <w:rFonts w:ascii="Arial" w:cs="Arial" w:eastAsia="Arial" w:hAnsi="Arial"/>
                <w:sz w:val="14"/>
                <w:szCs w:val="14"/>
                <w:color w:val="auto"/>
              </w:rPr>
              <w:t>Residential mortgage</w:t>
            </w:r>
          </w:p>
        </w:tc>
        <w:tc>
          <w:tcPr>
            <w:tcW w:w="10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8,345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8,290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10,221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9,845</w:t>
            </w: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Home equity lines of credit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4,797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4,794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4,932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4,943</w:t>
            </w:r>
          </w:p>
        </w:tc>
        <w:tc>
          <w:tcPr>
            <w:tcW w:w="0" w:type="dxa"/>
            <w:vAlign w:val="bottom"/>
          </w:tcPr>
          <w:p>
            <w:pPr>
              <w:spacing w:after="0"/>
              <w:rPr>
                <w:sz w:val="1"/>
                <w:szCs w:val="1"/>
                <w:color w:val="auto"/>
              </w:rPr>
            </w:pPr>
          </w:p>
        </w:tc>
      </w:tr>
      <w:tr>
        <w:trPr>
          <w:trHeight w:val="264"/>
        </w:trPr>
        <w:tc>
          <w:tcPr>
            <w:tcW w:w="2040" w:type="dxa"/>
            <w:vAlign w:val="bottom"/>
          </w:tcPr>
          <w:p>
            <w:pPr>
              <w:ind w:left="40"/>
              <w:spacing w:after="0"/>
              <w:rPr>
                <w:sz w:val="20"/>
                <w:szCs w:val="20"/>
                <w:color w:val="auto"/>
              </w:rPr>
            </w:pPr>
            <w:r>
              <w:rPr>
                <w:rFonts w:ascii="Arial" w:cs="Arial" w:eastAsia="Arial" w:hAnsi="Arial"/>
                <w:sz w:val="14"/>
                <w:szCs w:val="14"/>
                <w:color w:val="auto"/>
              </w:rPr>
              <w:t>Residential construction</w:t>
            </w:r>
          </w:p>
        </w:tc>
        <w:tc>
          <w:tcPr>
            <w:tcW w:w="10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2,390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2,365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3,044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2,590</w:t>
            </w: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 direct</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837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733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264"/>
        </w:trPr>
        <w:tc>
          <w:tcPr>
            <w:tcW w:w="20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Indirect auto</w:t>
            </w: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872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1,418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1,268</w:t>
            </w:r>
          </w:p>
        </w:tc>
        <w:tc>
          <w:tcPr>
            <w:tcW w:w="0" w:type="dxa"/>
            <w:vAlign w:val="bottom"/>
          </w:tcPr>
          <w:p>
            <w:pPr>
              <w:spacing w:after="0"/>
              <w:rPr>
                <w:sz w:val="1"/>
                <w:szCs w:val="1"/>
                <w:color w:val="auto"/>
              </w:rPr>
            </w:pPr>
          </w:p>
        </w:tc>
      </w:tr>
      <w:tr>
        <w:trPr>
          <w:trHeight w:val="143"/>
        </w:trPr>
        <w:tc>
          <w:tcPr>
            <w:tcW w:w="204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rPr>
              <w:t>Total allowance for loan</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losses</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61,642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62,204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61,085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1,345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61,071</w:t>
            </w:r>
          </w:p>
        </w:tc>
        <w:tc>
          <w:tcPr>
            <w:tcW w:w="0" w:type="dxa"/>
            <w:vAlign w:val="bottom"/>
          </w:tcPr>
          <w:p>
            <w:pPr>
              <w:spacing w:after="0"/>
              <w:rPr>
                <w:sz w:val="1"/>
                <w:szCs w:val="1"/>
                <w:color w:val="auto"/>
              </w:rPr>
            </w:pPr>
          </w:p>
        </w:tc>
      </w:tr>
      <w:tr>
        <w:trPr>
          <w:trHeight w:val="157"/>
        </w:trPr>
        <w:tc>
          <w:tcPr>
            <w:tcW w:w="2040" w:type="dxa"/>
            <w:vAlign w:val="bottom"/>
          </w:tcPr>
          <w:p>
            <w:pPr>
              <w:ind w:left="40"/>
              <w:spacing w:after="0" w:line="157" w:lineRule="exact"/>
              <w:rPr>
                <w:sz w:val="20"/>
                <w:szCs w:val="20"/>
                <w:color w:val="auto"/>
              </w:rPr>
            </w:pPr>
            <w:r>
              <w:rPr>
                <w:rFonts w:ascii="Arial" w:cs="Arial" w:eastAsia="Arial" w:hAnsi="Arial"/>
                <w:sz w:val="14"/>
                <w:szCs w:val="14"/>
                <w:color w:val="auto"/>
              </w:rPr>
              <w:t>Allowance for unfunded</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40" w:type="dxa"/>
            <w:vAlign w:val="bottom"/>
          </w:tcPr>
          <w:p>
            <w:pPr>
              <w:ind w:left="40"/>
              <w:spacing w:after="0"/>
              <w:rPr>
                <w:sz w:val="20"/>
                <w:szCs w:val="20"/>
                <w:color w:val="auto"/>
              </w:rPr>
            </w:pPr>
            <w:r>
              <w:rPr>
                <w:rFonts w:ascii="Arial" w:cs="Arial" w:eastAsia="Arial" w:hAnsi="Arial"/>
                <w:sz w:val="14"/>
                <w:szCs w:val="14"/>
                <w:color w:val="auto"/>
              </w:rPr>
              <w:t>commitments</w:t>
            </w:r>
          </w:p>
        </w:tc>
        <w:tc>
          <w:tcPr>
            <w:tcW w:w="10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3,141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3,391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2,440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2,895</w:t>
            </w:r>
          </w:p>
        </w:tc>
        <w:tc>
          <w:tcPr>
            <w:tcW w:w="0" w:type="dxa"/>
            <w:vAlign w:val="bottom"/>
          </w:tcPr>
          <w:p>
            <w:pPr>
              <w:spacing w:after="0"/>
              <w:rPr>
                <w:sz w:val="1"/>
                <w:szCs w:val="1"/>
                <w:color w:val="auto"/>
              </w:rPr>
            </w:pPr>
          </w:p>
        </w:tc>
      </w:tr>
      <w:tr>
        <w:trPr>
          <w:trHeight w:val="143"/>
        </w:trPr>
        <w:tc>
          <w:tcPr>
            <w:tcW w:w="2040" w:type="dxa"/>
            <w:vAlign w:val="bottom"/>
            <w:tcBorders>
              <w:top w:val="single" w:sz="8" w:color="CCEEFF"/>
            </w:tcBorders>
            <w:shd w:val="clear" w:color="auto" w:fill="CCEEFF"/>
          </w:tcPr>
          <w:p>
            <w:pPr>
              <w:ind w:left="280"/>
              <w:spacing w:after="0" w:line="143" w:lineRule="exact"/>
              <w:rPr>
                <w:sz w:val="20"/>
                <w:szCs w:val="20"/>
                <w:color w:val="auto"/>
              </w:rPr>
            </w:pPr>
            <w:r>
              <w:rPr>
                <w:rFonts w:ascii="Arial" w:cs="Arial" w:eastAsia="Arial" w:hAnsi="Arial"/>
                <w:sz w:val="14"/>
                <w:szCs w:val="14"/>
                <w:color w:val="auto"/>
              </w:rPr>
              <w:t>Total allowance for credit</w:t>
            </w: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64,783</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(3,827)</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1,389</w:t>
            </w:r>
          </w:p>
        </w:tc>
        <w:tc>
          <w:tcPr>
            <w:tcW w:w="1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3,250</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65,595</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63,525</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(3,231)</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1,872</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1,800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63,966</w:t>
            </w:r>
          </w:p>
        </w:tc>
        <w:tc>
          <w:tcPr>
            <w:tcW w:w="0" w:type="dxa"/>
            <w:vAlign w:val="bottom"/>
          </w:tcPr>
          <w:p>
            <w:pPr>
              <w:spacing w:after="0"/>
              <w:rPr>
                <w:sz w:val="1"/>
                <w:szCs w:val="1"/>
                <w:color w:val="auto"/>
              </w:rPr>
            </w:pPr>
          </w:p>
        </w:tc>
      </w:tr>
      <w:tr>
        <w:trPr>
          <w:trHeight w:val="181"/>
        </w:trPr>
        <w:tc>
          <w:tcPr>
            <w:tcW w:w="2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losses</w:t>
            </w: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6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08"/>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Beginning</w:t>
            </w: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Charge-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4"/>
                <w:szCs w:val="14"/>
                <w:b w:val="1"/>
                <w:bCs w:val="1"/>
                <w:color w:val="auto"/>
              </w:rPr>
              <w:t>(Release)</w:t>
            </w:r>
          </w:p>
        </w:tc>
        <w:tc>
          <w:tcPr>
            <w:tcW w:w="12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Ending</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Beginning</w:t>
            </w: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Charge-</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(Release)</w:t>
            </w:r>
          </w:p>
        </w:tc>
        <w:tc>
          <w:tcPr>
            <w:tcW w:w="120" w:type="dxa"/>
            <w:vAlign w:val="bottom"/>
          </w:tcPr>
          <w:p>
            <w:pPr>
              <w:spacing w:after="0"/>
              <w:rPr>
                <w:sz w:val="14"/>
                <w:szCs w:val="14"/>
                <w:color w:val="auto"/>
              </w:rPr>
            </w:pPr>
          </w:p>
        </w:tc>
        <w:tc>
          <w:tcPr>
            <w:tcW w:w="660" w:type="dxa"/>
            <w:vAlign w:val="bottom"/>
          </w:tcPr>
          <w:p>
            <w:pPr>
              <w:jc w:val="right"/>
              <w:ind w:right="109"/>
              <w:spacing w:after="0"/>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Balance</w:t>
            </w:r>
          </w:p>
        </w:tc>
        <w:tc>
          <w:tcPr>
            <w:tcW w:w="10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Offs</w:t>
            </w:r>
          </w:p>
        </w:tc>
        <w:tc>
          <w:tcPr>
            <w:tcW w:w="10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Recoveries</w:t>
            </w:r>
          </w:p>
        </w:tc>
        <w:tc>
          <w:tcPr>
            <w:tcW w:w="20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Provision</w:t>
            </w:r>
          </w:p>
        </w:tc>
        <w:tc>
          <w:tcPr>
            <w:tcW w:w="12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6"/>
                <w:szCs w:val="16"/>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Balance</w:t>
            </w: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Offs</w:t>
            </w:r>
          </w:p>
        </w:tc>
        <w:tc>
          <w:tcPr>
            <w:tcW w:w="120" w:type="dxa"/>
            <w:vAlign w:val="bottom"/>
          </w:tcPr>
          <w:p>
            <w:pPr>
              <w:spacing w:after="0"/>
              <w:rPr>
                <w:sz w:val="16"/>
                <w:szCs w:val="16"/>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Recoveries</w:t>
            </w:r>
          </w:p>
        </w:tc>
        <w:tc>
          <w:tcPr>
            <w:tcW w:w="10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Provision</w:t>
            </w:r>
          </w:p>
        </w:tc>
        <w:tc>
          <w:tcPr>
            <w:tcW w:w="120" w:type="dxa"/>
            <w:vAlign w:val="bottom"/>
          </w:tcPr>
          <w:p>
            <w:pPr>
              <w:spacing w:after="0"/>
              <w:rPr>
                <w:sz w:val="16"/>
                <w:szCs w:val="16"/>
                <w:color w:val="auto"/>
              </w:rPr>
            </w:pPr>
          </w:p>
        </w:tc>
        <w:tc>
          <w:tcPr>
            <w:tcW w:w="660" w:type="dxa"/>
            <w:vAlign w:val="bottom"/>
          </w:tcPr>
          <w:p>
            <w:pPr>
              <w:jc w:val="right"/>
              <w:ind w:right="89"/>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3"/>
        </w:trPr>
        <w:tc>
          <w:tcPr>
            <w:tcW w:w="2040" w:type="dxa"/>
            <w:vAlign w:val="bottom"/>
          </w:tcPr>
          <w:p>
            <w:pPr>
              <w:ind w:left="40"/>
              <w:spacing w:after="0" w:line="143" w:lineRule="exact"/>
              <w:rPr>
                <w:sz w:val="20"/>
                <w:szCs w:val="20"/>
                <w:color w:val="auto"/>
              </w:rPr>
            </w:pPr>
            <w:r>
              <w:rPr>
                <w:rFonts w:ascii="Arial" w:cs="Arial" w:eastAsia="Arial" w:hAnsi="Arial"/>
                <w:sz w:val="14"/>
                <w:szCs w:val="14"/>
                <w:color w:val="auto"/>
              </w:rPr>
              <w:t>Owner occupied commercial</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40" w:type="dxa"/>
            <w:vAlign w:val="bottom"/>
          </w:tcPr>
          <w:p>
            <w:pPr>
              <w:ind w:left="40"/>
              <w:spacing w:after="0"/>
              <w:rPr>
                <w:sz w:val="20"/>
                <w:szCs w:val="20"/>
                <w:color w:val="auto"/>
              </w:rPr>
            </w:pPr>
            <w:r>
              <w:rPr>
                <w:rFonts w:ascii="Arial" w:cs="Arial" w:eastAsia="Arial" w:hAnsi="Arial"/>
                <w:sz w:val="14"/>
                <w:szCs w:val="14"/>
                <w:color w:val="auto"/>
              </w:rPr>
              <w:t>real estate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12,207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(784)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11,545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14,776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688</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(2,488)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12,909</w:t>
            </w:r>
          </w:p>
        </w:tc>
        <w:tc>
          <w:tcPr>
            <w:tcW w:w="0" w:type="dxa"/>
            <w:vAlign w:val="bottom"/>
          </w:tcPr>
          <w:p>
            <w:pPr>
              <w:spacing w:after="0"/>
              <w:rPr>
                <w:sz w:val="1"/>
                <w:szCs w:val="1"/>
                <w:color w:val="auto"/>
              </w:rPr>
            </w:pPr>
          </w:p>
        </w:tc>
      </w:tr>
      <w:tr>
        <w:trPr>
          <w:trHeight w:val="163"/>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producing commercial</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real estate</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11,073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11,020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9,381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10,862</w:t>
            </w:r>
          </w:p>
        </w:tc>
        <w:tc>
          <w:tcPr>
            <w:tcW w:w="0" w:type="dxa"/>
            <w:vAlign w:val="bottom"/>
          </w:tcPr>
          <w:p>
            <w:pPr>
              <w:spacing w:after="0"/>
              <w:rPr>
                <w:sz w:val="1"/>
                <w:szCs w:val="1"/>
                <w:color w:val="auto"/>
              </w:rPr>
            </w:pPr>
          </w:p>
        </w:tc>
      </w:tr>
      <w:tr>
        <w:trPr>
          <w:trHeight w:val="264"/>
        </w:trPr>
        <w:tc>
          <w:tcPr>
            <w:tcW w:w="2040" w:type="dxa"/>
            <w:vAlign w:val="bottom"/>
          </w:tcPr>
          <w:p>
            <w:pPr>
              <w:ind w:left="40"/>
              <w:spacing w:after="0"/>
              <w:rPr>
                <w:sz w:val="20"/>
                <w:szCs w:val="20"/>
                <w:color w:val="auto"/>
              </w:rPr>
            </w:pPr>
            <w:r>
              <w:rPr>
                <w:rFonts w:ascii="Arial" w:cs="Arial" w:eastAsia="Arial" w:hAnsi="Arial"/>
                <w:sz w:val="14"/>
                <w:szCs w:val="14"/>
                <w:color w:val="auto"/>
              </w:rPr>
              <w:t>Commercial &amp; industrial</w:t>
            </w:r>
          </w:p>
        </w:tc>
        <w:tc>
          <w:tcPr>
            <w:tcW w:w="10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4,802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3,003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5,308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3,971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(617)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4,205</w:t>
            </w: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 construction</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10,337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10,318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10,523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10,123</w:t>
            </w:r>
          </w:p>
        </w:tc>
        <w:tc>
          <w:tcPr>
            <w:tcW w:w="0" w:type="dxa"/>
            <w:vAlign w:val="bottom"/>
          </w:tcPr>
          <w:p>
            <w:pPr>
              <w:spacing w:after="0"/>
              <w:rPr>
                <w:sz w:val="1"/>
                <w:szCs w:val="1"/>
                <w:color w:val="auto"/>
              </w:rPr>
            </w:pPr>
          </w:p>
        </w:tc>
      </w:tr>
      <w:tr>
        <w:trPr>
          <w:trHeight w:val="264"/>
        </w:trPr>
        <w:tc>
          <w:tcPr>
            <w:tcW w:w="2040" w:type="dxa"/>
            <w:vAlign w:val="bottom"/>
          </w:tcPr>
          <w:p>
            <w:pPr>
              <w:ind w:left="40"/>
              <w:spacing w:after="0"/>
              <w:rPr>
                <w:sz w:val="20"/>
                <w:szCs w:val="20"/>
                <w:color w:val="auto"/>
              </w:rPr>
            </w:pPr>
            <w:r>
              <w:rPr>
                <w:rFonts w:ascii="Arial" w:cs="Arial" w:eastAsia="Arial" w:hAnsi="Arial"/>
                <w:sz w:val="14"/>
                <w:szCs w:val="14"/>
                <w:color w:val="auto"/>
              </w:rPr>
              <w:t>Equipment financing</w:t>
            </w:r>
          </w:p>
        </w:tc>
        <w:tc>
          <w:tcPr>
            <w:tcW w:w="10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5,452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(2,434)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3,653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6,935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3,555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3,561</w:t>
            </w: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Residential mortgage</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8,295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8,290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10,097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9,845</w:t>
            </w:r>
          </w:p>
        </w:tc>
        <w:tc>
          <w:tcPr>
            <w:tcW w:w="0" w:type="dxa"/>
            <w:vAlign w:val="bottom"/>
          </w:tcPr>
          <w:p>
            <w:pPr>
              <w:spacing w:after="0"/>
              <w:rPr>
                <w:sz w:val="1"/>
                <w:szCs w:val="1"/>
                <w:color w:val="auto"/>
              </w:rPr>
            </w:pPr>
          </w:p>
        </w:tc>
      </w:tr>
      <w:tr>
        <w:trPr>
          <w:trHeight w:val="264"/>
        </w:trPr>
        <w:tc>
          <w:tcPr>
            <w:tcW w:w="2040" w:type="dxa"/>
            <w:vAlign w:val="bottom"/>
          </w:tcPr>
          <w:p>
            <w:pPr>
              <w:ind w:left="40"/>
              <w:spacing w:after="0"/>
              <w:rPr>
                <w:sz w:val="20"/>
                <w:szCs w:val="20"/>
                <w:color w:val="auto"/>
              </w:rPr>
            </w:pPr>
            <w:r>
              <w:rPr>
                <w:rFonts w:ascii="Arial" w:cs="Arial" w:eastAsia="Arial" w:hAnsi="Arial"/>
                <w:sz w:val="14"/>
                <w:szCs w:val="14"/>
                <w:color w:val="auto"/>
              </w:rPr>
              <w:t>Home equity lines of credit</w:t>
            </w:r>
          </w:p>
        </w:tc>
        <w:tc>
          <w:tcPr>
            <w:tcW w:w="10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4,752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4,794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5,177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4,943</w:t>
            </w: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Residential construction</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2,433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2,365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2,729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2,590</w:t>
            </w:r>
          </w:p>
        </w:tc>
        <w:tc>
          <w:tcPr>
            <w:tcW w:w="0" w:type="dxa"/>
            <w:vAlign w:val="bottom"/>
          </w:tcPr>
          <w:p>
            <w:pPr>
              <w:spacing w:after="0"/>
              <w:rPr>
                <w:sz w:val="1"/>
                <w:szCs w:val="1"/>
                <w:color w:val="auto"/>
              </w:rPr>
            </w:pPr>
          </w:p>
        </w:tc>
      </w:tr>
      <w:tr>
        <w:trPr>
          <w:trHeight w:val="264"/>
        </w:trPr>
        <w:tc>
          <w:tcPr>
            <w:tcW w:w="2040" w:type="dxa"/>
            <w:vAlign w:val="bottom"/>
          </w:tcPr>
          <w:p>
            <w:pPr>
              <w:ind w:left="40"/>
              <w:spacing w:after="0"/>
              <w:rPr>
                <w:sz w:val="20"/>
                <w:szCs w:val="20"/>
                <w:color w:val="auto"/>
              </w:rPr>
            </w:pPr>
            <w:r>
              <w:rPr>
                <w:rFonts w:ascii="Arial" w:cs="Arial" w:eastAsia="Arial" w:hAnsi="Arial"/>
                <w:sz w:val="14"/>
                <w:szCs w:val="14"/>
                <w:color w:val="auto"/>
              </w:rPr>
              <w:t>Consumer direct</w:t>
            </w:r>
          </w:p>
        </w:tc>
        <w:tc>
          <w:tcPr>
            <w:tcW w:w="100" w:type="dxa"/>
            <w:vAlign w:val="bottom"/>
          </w:tcPr>
          <w:p>
            <w:pPr>
              <w:spacing w:after="0"/>
              <w:rPr>
                <w:sz w:val="22"/>
                <w:szCs w:val="22"/>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853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446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632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855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276"/>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Indirect auto</w:t>
            </w:r>
          </w:p>
        </w:tc>
        <w:tc>
          <w:tcPr>
            <w:tcW w:w="1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999</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774</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1,550</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(815)</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1,268</w:t>
            </w:r>
          </w:p>
        </w:tc>
        <w:tc>
          <w:tcPr>
            <w:tcW w:w="0" w:type="dxa"/>
            <w:vAlign w:val="bottom"/>
          </w:tcPr>
          <w:p>
            <w:pPr>
              <w:spacing w:after="0"/>
              <w:rPr>
                <w:sz w:val="1"/>
                <w:szCs w:val="1"/>
                <w:color w:val="auto"/>
              </w:rPr>
            </w:pPr>
          </w:p>
        </w:tc>
      </w:tr>
      <w:tr>
        <w:trPr>
          <w:trHeight w:val="137"/>
        </w:trPr>
        <w:tc>
          <w:tcPr>
            <w:tcW w:w="2040" w:type="dxa"/>
            <w:vAlign w:val="bottom"/>
          </w:tcPr>
          <w:p>
            <w:pPr>
              <w:ind w:left="280"/>
              <w:spacing w:after="0" w:line="137" w:lineRule="exact"/>
              <w:rPr>
                <w:sz w:val="20"/>
                <w:szCs w:val="20"/>
                <w:color w:val="auto"/>
              </w:rPr>
            </w:pPr>
            <w:r>
              <w:rPr>
                <w:rFonts w:ascii="Arial" w:cs="Arial" w:eastAsia="Arial" w:hAnsi="Arial"/>
                <w:sz w:val="14"/>
                <w:szCs w:val="14"/>
                <w:color w:val="auto"/>
              </w:rPr>
              <w:t>Total allowance for loan</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40" w:type="dxa"/>
            <w:vAlign w:val="bottom"/>
          </w:tcPr>
          <w:p>
            <w:pPr>
              <w:ind w:left="280"/>
              <w:spacing w:after="0"/>
              <w:rPr>
                <w:sz w:val="20"/>
                <w:szCs w:val="20"/>
                <w:color w:val="auto"/>
              </w:rPr>
            </w:pPr>
            <w:r>
              <w:rPr>
                <w:rFonts w:ascii="Arial" w:cs="Arial" w:eastAsia="Arial" w:hAnsi="Arial"/>
                <w:sz w:val="14"/>
                <w:szCs w:val="14"/>
                <w:color w:val="auto"/>
              </w:rPr>
              <w:t>losses</w:t>
            </w:r>
          </w:p>
        </w:tc>
        <w:tc>
          <w:tcPr>
            <w:tcW w:w="100" w:type="dxa"/>
            <w:vAlign w:val="bottom"/>
          </w:tcPr>
          <w:p>
            <w:pPr>
              <w:spacing w:after="0"/>
              <w:rPr>
                <w:sz w:val="16"/>
                <w:szCs w:val="16"/>
                <w:color w:val="auto"/>
              </w:rPr>
            </w:pP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61,203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(8,187)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4"/>
                <w:szCs w:val="14"/>
                <w:color w:val="auto"/>
              </w:rPr>
              <w:t>6,569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62,204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58,914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(6,115)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3,255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5,017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49"/>
              <w:spacing w:after="0"/>
              <w:rPr>
                <w:sz w:val="20"/>
                <w:szCs w:val="20"/>
                <w:color w:val="auto"/>
              </w:rPr>
            </w:pPr>
            <w:r>
              <w:rPr>
                <w:rFonts w:ascii="Arial" w:cs="Arial" w:eastAsia="Arial" w:hAnsi="Arial"/>
                <w:sz w:val="14"/>
                <w:szCs w:val="14"/>
                <w:color w:val="auto"/>
              </w:rPr>
              <w:t>61,071</w:t>
            </w:r>
          </w:p>
        </w:tc>
        <w:tc>
          <w:tcPr>
            <w:tcW w:w="0" w:type="dxa"/>
            <w:vAlign w:val="bottom"/>
          </w:tcPr>
          <w:p>
            <w:pPr>
              <w:spacing w:after="0"/>
              <w:rPr>
                <w:sz w:val="1"/>
                <w:szCs w:val="1"/>
                <w:color w:val="auto"/>
              </w:rPr>
            </w:pPr>
          </w:p>
        </w:tc>
      </w:tr>
      <w:tr>
        <w:trPr>
          <w:trHeight w:val="163"/>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Allowance for unfunded</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3,410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3,391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2,312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2,895</w:t>
            </w:r>
          </w:p>
        </w:tc>
        <w:tc>
          <w:tcPr>
            <w:tcW w:w="0" w:type="dxa"/>
            <w:vAlign w:val="bottom"/>
          </w:tcPr>
          <w:p>
            <w:pPr>
              <w:spacing w:after="0"/>
              <w:rPr>
                <w:sz w:val="1"/>
                <w:szCs w:val="1"/>
                <w:color w:val="auto"/>
              </w:rPr>
            </w:pPr>
          </w:p>
        </w:tc>
      </w:tr>
      <w:tr>
        <w:trPr>
          <w:trHeight w:val="137"/>
        </w:trPr>
        <w:tc>
          <w:tcPr>
            <w:tcW w:w="2040" w:type="dxa"/>
            <w:vAlign w:val="bottom"/>
          </w:tcPr>
          <w:p>
            <w:pPr>
              <w:ind w:left="280"/>
              <w:spacing w:after="0" w:line="137" w:lineRule="exact"/>
              <w:rPr>
                <w:sz w:val="20"/>
                <w:szCs w:val="20"/>
                <w:color w:val="auto"/>
              </w:rPr>
            </w:pPr>
            <w:r>
              <w:rPr>
                <w:rFonts w:ascii="Arial" w:cs="Arial" w:eastAsia="Arial" w:hAnsi="Arial"/>
                <w:sz w:val="14"/>
                <w:szCs w:val="14"/>
                <w:color w:val="auto"/>
              </w:rPr>
              <w:t>Total allowance for credit</w:t>
            </w: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64,613</w:t>
            </w:r>
          </w:p>
        </w:tc>
        <w:tc>
          <w:tcPr>
            <w:tcW w:w="12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(8,187)</w:t>
            </w:r>
          </w:p>
        </w:tc>
        <w:tc>
          <w:tcPr>
            <w:tcW w:w="12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2,619</w:t>
            </w:r>
          </w:p>
        </w:tc>
        <w:tc>
          <w:tcPr>
            <w:tcW w:w="120" w:type="dxa"/>
            <w:vAlign w:val="bottom"/>
          </w:tcPr>
          <w:p>
            <w:pPr>
              <w:spacing w:after="0"/>
              <w:rPr>
                <w:sz w:val="11"/>
                <w:szCs w:val="11"/>
                <w:color w:val="auto"/>
              </w:rPr>
            </w:pPr>
          </w:p>
        </w:tc>
        <w:tc>
          <w:tcPr>
            <w:tcW w:w="2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color w:val="auto"/>
              </w:rPr>
              <w:t>6,550</w:t>
            </w:r>
          </w:p>
        </w:tc>
        <w:tc>
          <w:tcPr>
            <w:tcW w:w="12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65,595</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61,226</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(6,115)</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3,255</w:t>
            </w:r>
          </w:p>
        </w:tc>
        <w:tc>
          <w:tcPr>
            <w:tcW w:w="100" w:type="dxa"/>
            <w:vAlign w:val="bottom"/>
          </w:tcPr>
          <w:p>
            <w:pPr>
              <w:spacing w:after="0"/>
              <w:rPr>
                <w:sz w:val="11"/>
                <w:szCs w:val="1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5,600</w:t>
            </w:r>
          </w:p>
        </w:tc>
        <w:tc>
          <w:tcPr>
            <w:tcW w:w="100" w:type="dxa"/>
            <w:vAlign w:val="bottom"/>
          </w:tcPr>
          <w:p>
            <w:pPr>
              <w:spacing w:after="0"/>
              <w:rPr>
                <w:sz w:val="11"/>
                <w:szCs w:val="11"/>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63,966</w:t>
            </w:r>
          </w:p>
        </w:tc>
        <w:tc>
          <w:tcPr>
            <w:tcW w:w="0" w:type="dxa"/>
            <w:vAlign w:val="bottom"/>
          </w:tcPr>
          <w:p>
            <w:pPr>
              <w:spacing w:after="0"/>
              <w:rPr>
                <w:sz w:val="1"/>
                <w:szCs w:val="1"/>
                <w:color w:val="auto"/>
              </w:rPr>
            </w:pPr>
          </w:p>
        </w:tc>
      </w:tr>
      <w:tr>
        <w:trPr>
          <w:trHeight w:val="186"/>
        </w:trPr>
        <w:tc>
          <w:tcPr>
            <w:tcW w:w="2040" w:type="dxa"/>
            <w:vAlign w:val="bottom"/>
          </w:tcPr>
          <w:p>
            <w:pPr>
              <w:ind w:left="280"/>
              <w:spacing w:after="0"/>
              <w:rPr>
                <w:sz w:val="20"/>
                <w:szCs w:val="20"/>
                <w:color w:val="auto"/>
              </w:rPr>
            </w:pPr>
            <w:r>
              <w:rPr>
                <w:rFonts w:ascii="Arial" w:cs="Arial" w:eastAsia="Arial" w:hAnsi="Arial"/>
                <w:sz w:val="14"/>
                <w:szCs w:val="14"/>
                <w:color w:val="auto"/>
              </w:rPr>
              <w:t>losses</w:t>
            </w:r>
          </w:p>
        </w:tc>
        <w:tc>
          <w:tcPr>
            <w:tcW w:w="10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following tables represent the recorded investment in loans by portfolio segment and the balance of the allowance for loan losses assigned to each segment based on the method of evaluating the loans for impairment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2"/>
              </w:rPr>
              <w:t>Allowance for Credit Losses</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8"/>
              </w:rPr>
              <w:t>Individually</w:t>
            </w:r>
          </w:p>
        </w:tc>
        <w:tc>
          <w:tcPr>
            <w:tcW w:w="120" w:type="dxa"/>
            <w:vAlign w:val="bottom"/>
          </w:tcPr>
          <w:p>
            <w:pPr>
              <w:spacing w:after="0"/>
              <w:rPr>
                <w:sz w:val="13"/>
                <w:szCs w:val="13"/>
                <w:color w:val="auto"/>
              </w:rPr>
            </w:pPr>
          </w:p>
        </w:tc>
        <w:tc>
          <w:tcPr>
            <w:tcW w:w="10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Collectively</w:t>
            </w: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Ending</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Individually</w:t>
            </w:r>
          </w:p>
        </w:tc>
        <w:tc>
          <w:tcPr>
            <w:tcW w:w="100" w:type="dxa"/>
            <w:vAlign w:val="bottom"/>
          </w:tcPr>
          <w:p>
            <w:pPr>
              <w:spacing w:after="0"/>
              <w:rPr>
                <w:sz w:val="13"/>
                <w:szCs w:val="13"/>
                <w:color w:val="auto"/>
              </w:rPr>
            </w:pPr>
          </w:p>
        </w:tc>
        <w:tc>
          <w:tcPr>
            <w:tcW w:w="102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2"/>
              </w:rPr>
              <w:t>Collectively</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evaluated</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38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PCI</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evaluated</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24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PCI</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for impairment</w:t>
            </w: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impairment</w:t>
            </w:r>
          </w:p>
        </w:tc>
        <w:tc>
          <w:tcPr>
            <w:tcW w:w="3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Balance</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impairment</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impairment</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56"/>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5"/>
              </w:rPr>
              <w:t>Owner occupied commercial real estate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955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10,462</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128</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11,545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862</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11,328</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12,207</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Income producing commercial real</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color w:val="auto"/>
              </w:rPr>
              <w:t>estate</w:t>
            </w:r>
          </w:p>
        </w:tc>
        <w:tc>
          <w:tcPr>
            <w:tcW w:w="12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10,618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10,671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11,073</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 &amp; industrial</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5,237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5,308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4,761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4,802</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Commercial construction</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10,051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10,318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9,974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10,337</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Equipment financing</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6,738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6,935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5,045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5,452</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Residential mortgage</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7,475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8,290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861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7,410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8,295</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Home equity lines of credit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4,758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4,740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4,752</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Residential construction</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2,307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2,365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2,382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2,433</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 direct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853</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Indirect auto</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729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999</w:t>
            </w:r>
          </w:p>
        </w:tc>
        <w:tc>
          <w:tcPr>
            <w:tcW w:w="0" w:type="dxa"/>
            <w:vAlign w:val="bottom"/>
          </w:tcPr>
          <w:p>
            <w:pPr>
              <w:spacing w:after="0"/>
              <w:rPr>
                <w:sz w:val="1"/>
                <w:szCs w:val="1"/>
                <w:color w:val="auto"/>
              </w:rPr>
            </w:pPr>
          </w:p>
        </w:tc>
      </w:tr>
      <w:tr>
        <w:trPr>
          <w:trHeight w:val="256"/>
        </w:trPr>
        <w:tc>
          <w:tcPr>
            <w:tcW w:w="24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allowance for loan losses</w:t>
            </w:r>
          </w:p>
        </w:tc>
        <w:tc>
          <w:tcPr>
            <w:tcW w:w="12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2,364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59,225</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62,204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2,312</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58,131</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61,203</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Allowance for unfunded commitments</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3,391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3,391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3,410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3,410</w:t>
            </w:r>
          </w:p>
        </w:tc>
        <w:tc>
          <w:tcPr>
            <w:tcW w:w="0" w:type="dxa"/>
            <w:vAlign w:val="bottom"/>
          </w:tcPr>
          <w:p>
            <w:pPr>
              <w:spacing w:after="0"/>
              <w:rPr>
                <w:sz w:val="1"/>
                <w:szCs w:val="1"/>
                <w:color w:val="auto"/>
              </w:rPr>
            </w:pPr>
          </w:p>
        </w:tc>
      </w:tr>
      <w:tr>
        <w:trPr>
          <w:trHeight w:val="243"/>
        </w:trPr>
        <w:tc>
          <w:tcPr>
            <w:tcW w:w="2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allowance for credit losses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62,616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65,595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61,541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64,613</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2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2"/>
              </w:rPr>
              <w:t>Loans Outstanding</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2019</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8"/>
              </w:rPr>
              <w:t>Individually</w:t>
            </w:r>
          </w:p>
        </w:tc>
        <w:tc>
          <w:tcPr>
            <w:tcW w:w="120" w:type="dxa"/>
            <w:vAlign w:val="bottom"/>
          </w:tcPr>
          <w:p>
            <w:pPr>
              <w:spacing w:after="0"/>
              <w:rPr>
                <w:sz w:val="13"/>
                <w:szCs w:val="13"/>
                <w:color w:val="auto"/>
              </w:rPr>
            </w:pPr>
          </w:p>
        </w:tc>
        <w:tc>
          <w:tcPr>
            <w:tcW w:w="10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Collectively</w:t>
            </w: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Ending</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Individually</w:t>
            </w:r>
          </w:p>
        </w:tc>
        <w:tc>
          <w:tcPr>
            <w:tcW w:w="100" w:type="dxa"/>
            <w:vAlign w:val="bottom"/>
          </w:tcPr>
          <w:p>
            <w:pPr>
              <w:spacing w:after="0"/>
              <w:rPr>
                <w:sz w:val="13"/>
                <w:szCs w:val="13"/>
                <w:color w:val="auto"/>
              </w:rPr>
            </w:pPr>
          </w:p>
        </w:tc>
        <w:tc>
          <w:tcPr>
            <w:tcW w:w="102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2"/>
              </w:rPr>
              <w:t>Collectively</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evaluated</w:t>
            </w: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38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PCI</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evaluated</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240" w:type="dxa"/>
            <w:vAlign w:val="bottom"/>
          </w:tcPr>
          <w:p>
            <w:pPr>
              <w:spacing w:after="0"/>
              <w:rPr>
                <w:sz w:val="12"/>
                <w:szCs w:val="12"/>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PCI</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for impairment</w:t>
            </w:r>
          </w:p>
        </w:tc>
        <w:tc>
          <w:tcPr>
            <w:tcW w:w="12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impairment</w:t>
            </w:r>
          </w:p>
        </w:tc>
        <w:tc>
          <w:tcPr>
            <w:tcW w:w="3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Balance</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for impairment</w:t>
            </w:r>
          </w:p>
        </w:tc>
        <w:tc>
          <w:tcPr>
            <w:tcW w:w="10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impairment</w:t>
            </w: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center"/>
              <w:ind w:right="108"/>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56"/>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5"/>
              </w:rPr>
              <w:t>Owner occupied commercial real estate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18,944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1,628,570</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11,000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1,658,514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17,602</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1,620,450</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9,852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1,647,904</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Income producing commercial real</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color w:val="auto"/>
              </w:rPr>
              <w:t>estate</w:t>
            </w:r>
          </w:p>
        </w:tc>
        <w:tc>
          <w:tcPr>
            <w:tcW w:w="12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13,479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1,889,001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37,089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1,939,569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16,584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1,757,525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38,311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1,812,420</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Commercial &amp; industrial</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1,296,082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1,298,794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1,621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1,276,318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1,278,347</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Commercial construction</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3,347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972,194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7,198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982,739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2,491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787,760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5,907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796,158</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Equipment financing</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668,289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5,549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673,858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556,672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564,614</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Residential mortgage</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16,346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1,082,486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9,410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1,108,242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14,220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1,025,862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9,150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1,049,232</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Home equity lines of credit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673,510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675,184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692,122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694,010</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Residential construction</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1,337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216,640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218,607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1,207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209,070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734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211,011</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Consumer direct</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127,327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127,966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121,269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122,013</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Indirect auto</w:t>
            </w:r>
          </w:p>
        </w:tc>
        <w:tc>
          <w:tcPr>
            <w:tcW w:w="12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153,639</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154,745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1,237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206,455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207,692</w:t>
            </w:r>
          </w:p>
        </w:tc>
        <w:tc>
          <w:tcPr>
            <w:tcW w:w="0" w:type="dxa"/>
            <w:vAlign w:val="bottom"/>
          </w:tcPr>
          <w:p>
            <w:pPr>
              <w:spacing w:after="0"/>
              <w:rPr>
                <w:sz w:val="1"/>
                <w:szCs w:val="1"/>
                <w:color w:val="auto"/>
              </w:rPr>
            </w:pPr>
          </w:p>
        </w:tc>
      </w:tr>
      <w:tr>
        <w:trPr>
          <w:trHeight w:val="243"/>
        </w:trPr>
        <w:tc>
          <w:tcPr>
            <w:tcW w:w="2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loans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57,257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8,707,738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73,223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8,838,218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8,253,503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74,449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8,383,401</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loan is considered impaired when, based on current events and circumstances, it is probable that all amounts due according to the original contractual terms of the loan will not be collected. Management individually evaluates certain impaired loans, including all non-PCI relationships that are on nonaccrual with a balance of $500,000 or greater and all troubled debt restructurings (“TDRs”) regardless of accrual status, for impairment. Impairment is measured based on the present value of expected future cash flows, discounted at the loan’s effective interest rate, the loan’s observable market price, or the fair value of the collateral if the loan is collateral dependent. A specific reserve is established for impaired loans for the amount of calculated impairment, if any. Interest payments received on impaired nonaccrual loans are generally applied as a reduction of the recorded investment in the loan. For impaired loans not on nonaccrual status, interest is accrued according to the terms of the loan agreement. Loans are evaluated for impairment quarterly and specific reserves are established in the allowance for loan losses for any measured impairment.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quarter, management prepares an analysis of the allowance for credit losses to determine the appropriate balance that measures and quantifies the amount of probable incurred losses in the loan portfolio and unfunded loan commitments. The allowance is comprised of specific reserves on individually impaired loans, which are determined as described above, and general reserves which are determined based on historical loss experience as adjusted for current trends and economic conditions multiplied by a loss emergence period factor.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calculates the loss emergence period for each pool in the loan portfolio based on the weighted average length of time between the date a loan first exceeds 30 days past due and the date the loan is charged off.</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junior lien home equity loans, management has limited ability to monitor the delinquency status of the first lien unless the first lien is also held by United. As a result, management applies the weighted average historical loss factor for this category and appropriately adjusts it to reflect the increased risk of loss from these credits.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Management reviews the resulting loss factors for each category of the loan portfolio and evaluates whether qualitative adjustments are necessary to take into consideration recent credit trends such as increases or decreases in past due, nonaccrual, criticized and classified loans, and other macro environmental factors such as changes in unemployment rates, employment rates, debt per capita, home price indices, and trends in real estate value indices.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believes that its method of determining the balance of the allowance for credit losses provides a reasonable and reliable basis for measuring and reporting losses that are incurred in the loan portfolio as of the reporting date.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When a loan officer determines that a loan is uncollectible, he or she is responsible for recommending that the loan be placed on nonaccrual status and evaluated for impairment, which, if necessary, could result in fully or partially charging off the loan or establishing a specific reserve. Full or partial charge-offs may also be recommended by the Collections Department, the Special Assets Department, the Loss Mitigation Department and the Foreclosure/OREO Department. Nonaccrual real estate loans are generally charged down to fair value of collateral less costs to sell at the time they are placed on nonaccrual status.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Commercial and consumer asset quality committees meet monthly to review charge-offs that have occurred during the previous month. Participants include the respective Chief Credit Officer, Senior Risk Officers and Senior Credit Officers.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Generally, closed-end retail loans (installment and residential mortgage loans) past due 90 cumulative days are written down to their collateral value less estimated selling costs. Open-end (revolving) unsecured retail loans which are past due 90 cumulative days from their contractual due date are generally charged-off.</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loans individually evaluated for impairment by class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 2019</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2018</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Allowance for</w:t>
            </w: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Unpaid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Allowance for</w:t>
            </w:r>
          </w:p>
        </w:tc>
      </w:tr>
      <w:tr>
        <w:trPr>
          <w:trHeight w:val="203"/>
        </w:trPr>
        <w:tc>
          <w:tcPr>
            <w:tcW w:w="3340" w:type="dxa"/>
            <w:vAlign w:val="bottom"/>
          </w:tcPr>
          <w:p>
            <w:pPr>
              <w:spacing w:after="0"/>
              <w:rPr>
                <w:sz w:val="17"/>
                <w:szCs w:val="17"/>
                <w:color w:val="auto"/>
              </w:rPr>
            </w:pPr>
          </w:p>
        </w:tc>
        <w:tc>
          <w:tcPr>
            <w:tcW w:w="1400" w:type="dxa"/>
            <w:vAlign w:val="bottom"/>
            <w:gridSpan w:val="3"/>
          </w:tcPr>
          <w:p>
            <w:pPr>
              <w:ind w:left="40"/>
              <w:spacing w:after="0"/>
              <w:rPr>
                <w:sz w:val="20"/>
                <w:szCs w:val="20"/>
                <w:color w:val="auto"/>
              </w:rPr>
            </w:pPr>
            <w:r>
              <w:rPr>
                <w:rFonts w:ascii="Arial" w:cs="Arial" w:eastAsia="Arial" w:hAnsi="Arial"/>
                <w:sz w:val="16"/>
                <w:szCs w:val="16"/>
                <w:b w:val="1"/>
                <w:bCs w:val="1"/>
                <w:color w:val="auto"/>
              </w:rPr>
              <w:t>Unpaid Principal</w:t>
            </w: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Recorded</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Loan Losses</w:t>
            </w: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Principal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Recorded</w:t>
            </w:r>
          </w:p>
        </w:tc>
        <w:tc>
          <w:tcPr>
            <w:tcW w:w="120" w:type="dxa"/>
            <w:vAlign w:val="bottom"/>
          </w:tcPr>
          <w:p>
            <w:pPr>
              <w:spacing w:after="0"/>
              <w:rPr>
                <w:sz w:val="17"/>
                <w:szCs w:val="17"/>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w w:val="85"/>
              </w:rPr>
              <w:t>Loan Losses</w:t>
            </w:r>
          </w:p>
        </w:tc>
      </w:tr>
      <w:tr>
        <w:trPr>
          <w:trHeight w:val="210"/>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Balance</w:t>
            </w: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Investment</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Allocated</w:t>
            </w: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Balance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Investment</w:t>
            </w:r>
          </w:p>
        </w:tc>
        <w:tc>
          <w:tcPr>
            <w:tcW w:w="12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Arial" w:cs="Arial" w:eastAsia="Arial" w:hAnsi="Arial"/>
                <w:sz w:val="16"/>
                <w:szCs w:val="16"/>
                <w:b w:val="1"/>
                <w:bCs w:val="1"/>
                <w:color w:val="auto"/>
                <w:w w:val="88"/>
              </w:rPr>
              <w:t>Allocated</w:t>
            </w: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 no related allowance recorded:</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9,848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7,527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8,650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6,546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Commercial &amp; industrial</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1,343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370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construction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Equipment financing</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19,961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19,846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17,304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Residential mortgage</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7,933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7,159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5,787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5,202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Home equity lines of credit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Residential construction</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Consumer direct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Indirect auto</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with no related allowance recorded</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25,529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7"/>
        </w:trPr>
        <w:tc>
          <w:tcPr>
            <w:tcW w:w="33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 an allowance recorded:</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Owner occupied commercial real estate</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11,460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11,417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955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11,095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11,056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862</w:t>
            </w: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producing commercial real estate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Commercial &amp; industrial</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1,259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1,064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construction</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Equipment financing</w:t>
            </w: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21,430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21,845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20,994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1,367</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Residential mortgage</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9,313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9,187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9,169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9,018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861</w:t>
            </w: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Home equity lines of credit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Residential construction</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w:t>
            </w: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Consumer direct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Indirect auto</w:t>
            </w:r>
          </w:p>
        </w:tc>
        <w:tc>
          <w:tcPr>
            <w:tcW w:w="2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963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with an allowance recorded</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31,972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2,312</w:t>
            </w:r>
          </w:p>
        </w:tc>
      </w:tr>
      <w:tr>
        <w:trPr>
          <w:trHeight w:val="244"/>
        </w:trPr>
        <w:tc>
          <w:tcPr>
            <w:tcW w:w="3340" w:type="dxa"/>
            <w:vAlign w:val="bottom"/>
          </w:tcPr>
          <w:p>
            <w:pPr>
              <w:ind w:left="3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61,794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57,257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2,364</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59,824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55,449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2,312</w:t>
            </w: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2019 and December 31, 2018, $2.36 million and $2.31 million, respectively, of specific reserves were allocated to customers whose loan terms have been modified in TDRs. As of June 30, 2019 and December 31, 2018, there were no commitments to lend additional amounts to customers with outstanding loans that are classified as TDRs.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modification of the TDR terms included one or a combination of the following: a reduction of the stated interest rate of the loan or an extension of the amortization period that would not otherwise be considered in the current market for new debt with similar risk characteristics; a restructuring of the borrower’s debt into an “A/B note structure” in which the A note would fall within the borrower’s ability to pay and the remainder would be included in the B note; a mandated bankruptcy restructuring; or interest-only payment terms greater than 90 days when the borrower is unable to amortize the loan. Modified PCI loans are not accounted for as TDRs because they are not separated from the pools, and as such are not classified as impaired loans.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Loans modified under the terms of a TDR during the three and six months ended June 30, 2019 and 2018 are presented in the following table. In addition, the table presents loans modified under the terms of a TDR that defaulted (became 90 days or more delinquent) during the periods presented and were initially restructured within one year prior to default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4"/>
                <w:szCs w:val="14"/>
                <w:b w:val="1"/>
                <w:bCs w:val="1"/>
                <w:color w:val="auto"/>
                <w:w w:val="92"/>
              </w:rPr>
              <w:t>New TDRs</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9"/>
              </w:rPr>
              <w:t>TDRs Modified Within the Previous</w:t>
            </w:r>
          </w:p>
        </w:tc>
        <w:tc>
          <w:tcPr>
            <w:tcW w:w="0" w:type="dxa"/>
            <w:vAlign w:val="bottom"/>
          </w:tcPr>
          <w:p>
            <w:pPr>
              <w:spacing w:after="0"/>
              <w:rPr>
                <w:sz w:val="1"/>
                <w:szCs w:val="1"/>
                <w:color w:val="auto"/>
              </w:rPr>
            </w:pPr>
          </w:p>
        </w:tc>
      </w:tr>
      <w:tr>
        <w:trPr>
          <w:trHeight w:val="149"/>
        </w:trPr>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Pre-modification</w:t>
            </w:r>
          </w:p>
        </w:tc>
        <w:tc>
          <w:tcPr>
            <w:tcW w:w="120" w:type="dxa"/>
            <w:vAlign w:val="bottom"/>
          </w:tcPr>
          <w:p>
            <w:pPr>
              <w:spacing w:after="0"/>
              <w:rPr>
                <w:sz w:val="12"/>
                <w:szCs w:val="12"/>
                <w:color w:val="auto"/>
              </w:rPr>
            </w:pPr>
          </w:p>
        </w:tc>
        <w:tc>
          <w:tcPr>
            <w:tcW w:w="3940" w:type="dxa"/>
            <w:vAlign w:val="bottom"/>
            <w:gridSpan w:val="11"/>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Post-Modification Outstanding Recorded Investment by Type of</w:t>
            </w:r>
          </w:p>
        </w:tc>
        <w:tc>
          <w:tcPr>
            <w:tcW w:w="21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Twelve Months That Have</w:t>
            </w:r>
          </w:p>
        </w:tc>
        <w:tc>
          <w:tcPr>
            <w:tcW w:w="0" w:type="dxa"/>
            <w:vAlign w:val="bottom"/>
          </w:tcPr>
          <w:p>
            <w:pPr>
              <w:spacing w:after="0"/>
              <w:rPr>
                <w:sz w:val="1"/>
                <w:szCs w:val="1"/>
                <w:color w:val="auto"/>
              </w:rPr>
            </w:pPr>
          </w:p>
        </w:tc>
      </w:tr>
      <w:tr>
        <w:trPr>
          <w:trHeight w:val="68"/>
        </w:trPr>
        <w:tc>
          <w:tcPr>
            <w:tcW w:w="2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8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89"/>
              </w:rPr>
              <w:t>Modification</w:t>
            </w: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6"/>
              </w:rPr>
              <w:t>Subsequently Defaulted</w:t>
            </w:r>
          </w:p>
        </w:tc>
        <w:tc>
          <w:tcPr>
            <w:tcW w:w="0" w:type="dxa"/>
            <w:vAlign w:val="bottom"/>
          </w:tcPr>
          <w:p>
            <w:pPr>
              <w:spacing w:after="0"/>
              <w:rPr>
                <w:sz w:val="1"/>
                <w:szCs w:val="1"/>
                <w:color w:val="auto"/>
              </w:rPr>
            </w:pPr>
          </w:p>
        </w:tc>
      </w:tr>
      <w:tr>
        <w:trPr>
          <w:trHeight w:val="114"/>
        </w:trPr>
        <w:tc>
          <w:tcPr>
            <w:tcW w:w="2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tcPr>
          <w:p>
            <w:pPr>
              <w:jc w:val="center"/>
              <w:ind w:right="240"/>
              <w:spacing w:after="0" w:line="114" w:lineRule="exact"/>
              <w:rPr>
                <w:sz w:val="20"/>
                <w:szCs w:val="20"/>
                <w:color w:val="auto"/>
              </w:rPr>
            </w:pPr>
            <w:r>
              <w:rPr>
                <w:rFonts w:ascii="Arial" w:cs="Arial" w:eastAsia="Arial" w:hAnsi="Arial"/>
                <w:sz w:val="12"/>
                <w:szCs w:val="12"/>
                <w:b w:val="1"/>
                <w:bCs w:val="1"/>
                <w:color w:val="auto"/>
              </w:rPr>
              <w:t>Outstanding</w:t>
            </w: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gridSpan w:val="5"/>
            <w:vMerge w:val="continue"/>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140" w:type="dxa"/>
            <w:vAlign w:val="bottom"/>
            <w:tcBorders>
              <w:bottom w:val="single" w:sz="8" w:color="auto"/>
            </w:tcBorders>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w:t>
            </w:r>
          </w:p>
        </w:tc>
        <w:tc>
          <w:tcPr>
            <w:tcW w:w="14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Recorded</w:t>
            </w:r>
          </w:p>
        </w:tc>
        <w:tc>
          <w:tcPr>
            <w:tcW w:w="1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Rate</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880" w:type="dxa"/>
            <w:vAlign w:val="bottom"/>
          </w:tcPr>
          <w:p>
            <w:pPr>
              <w:jc w:val="right"/>
              <w:ind w:right="192"/>
              <w:spacing w:after="0"/>
              <w:rPr>
                <w:sz w:val="20"/>
                <w:szCs w:val="20"/>
                <w:color w:val="auto"/>
              </w:rPr>
            </w:pPr>
            <w:r>
              <w:rPr>
                <w:rFonts w:ascii="Arial" w:cs="Arial" w:eastAsia="Arial" w:hAnsi="Arial"/>
                <w:sz w:val="14"/>
                <w:szCs w:val="14"/>
                <w:b w:val="1"/>
                <w:bCs w:val="1"/>
                <w:color w:val="auto"/>
                <w:w w:val="92"/>
              </w:rPr>
              <w:t>Recorded</w:t>
            </w:r>
          </w:p>
        </w:tc>
        <w:tc>
          <w:tcPr>
            <w:tcW w:w="0" w:type="dxa"/>
            <w:vAlign w:val="bottom"/>
          </w:tcPr>
          <w:p>
            <w:pPr>
              <w:spacing w:after="0"/>
              <w:rPr>
                <w:sz w:val="1"/>
                <w:szCs w:val="1"/>
                <w:color w:val="auto"/>
              </w:rPr>
            </w:pPr>
          </w:p>
        </w:tc>
      </w:tr>
      <w:tr>
        <w:trPr>
          <w:trHeight w:val="182"/>
        </w:trPr>
        <w:tc>
          <w:tcPr>
            <w:tcW w:w="2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Contracts</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Investment</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Reduction</w:t>
            </w:r>
          </w:p>
        </w:tc>
        <w:tc>
          <w:tcPr>
            <w:tcW w:w="12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Structure</w:t>
            </w:r>
          </w:p>
        </w:tc>
        <w:tc>
          <w:tcPr>
            <w:tcW w:w="26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5"/>
                <w:szCs w:val="15"/>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Contracts</w:t>
            </w:r>
          </w:p>
        </w:tc>
        <w:tc>
          <w:tcPr>
            <w:tcW w:w="140" w:type="dxa"/>
            <w:vAlign w:val="bottom"/>
          </w:tcPr>
          <w:p>
            <w:pPr>
              <w:spacing w:after="0"/>
              <w:rPr>
                <w:sz w:val="15"/>
                <w:szCs w:val="15"/>
                <w:color w:val="auto"/>
              </w:rPr>
            </w:pPr>
          </w:p>
        </w:tc>
        <w:tc>
          <w:tcPr>
            <w:tcW w:w="880" w:type="dxa"/>
            <w:vAlign w:val="bottom"/>
          </w:tcPr>
          <w:p>
            <w:pPr>
              <w:jc w:val="right"/>
              <w:ind w:right="112"/>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250"/>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June 30, 2019</w:t>
            </w:r>
          </w:p>
        </w:tc>
        <w:tc>
          <w:tcPr>
            <w:tcW w:w="12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CCEEFF"/>
            </w:tcBorders>
          </w:tcPr>
          <w:p>
            <w:pPr>
              <w:spacing w:after="0"/>
              <w:rPr>
                <w:sz w:val="21"/>
                <w:szCs w:val="21"/>
                <w:color w:val="auto"/>
              </w:rPr>
            </w:pPr>
          </w:p>
        </w:tc>
        <w:tc>
          <w:tcPr>
            <w:tcW w:w="920" w:type="dxa"/>
            <w:vAlign w:val="bottom"/>
            <w:tcBorders>
              <w:top w:val="single" w:sz="8" w:color="auto"/>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820" w:type="dxa"/>
            <w:vAlign w:val="bottom"/>
            <w:tcBorders>
              <w:top w:val="single" w:sz="8" w:color="auto"/>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780" w:type="dxa"/>
            <w:vAlign w:val="bottom"/>
            <w:tcBorders>
              <w:top w:val="single" w:sz="8" w:color="auto"/>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CCEEFF"/>
            </w:tcBorders>
          </w:tcPr>
          <w:p>
            <w:pPr>
              <w:spacing w:after="0"/>
              <w:rPr>
                <w:sz w:val="21"/>
                <w:szCs w:val="21"/>
                <w:color w:val="auto"/>
              </w:rPr>
            </w:pPr>
          </w:p>
        </w:tc>
        <w:tc>
          <w:tcPr>
            <w:tcW w:w="640" w:type="dxa"/>
            <w:vAlign w:val="bottom"/>
            <w:tcBorders>
              <w:top w:val="single" w:sz="8" w:color="auto"/>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CCEEFF"/>
            </w:tcBorders>
          </w:tcPr>
          <w:p>
            <w:pPr>
              <w:spacing w:after="0"/>
              <w:rPr>
                <w:sz w:val="21"/>
                <w:szCs w:val="21"/>
                <w:color w:val="auto"/>
              </w:rPr>
            </w:pPr>
          </w:p>
        </w:tc>
        <w:tc>
          <w:tcPr>
            <w:tcW w:w="700" w:type="dxa"/>
            <w:vAlign w:val="bottom"/>
            <w:tcBorders>
              <w:top w:val="single" w:sz="8" w:color="auto"/>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20" w:type="dxa"/>
            <w:vAlign w:val="bottom"/>
            <w:tcBorders>
              <w:top w:val="single" w:sz="8" w:color="auto"/>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CCEEFF"/>
            </w:tcBorders>
          </w:tcPr>
          <w:p>
            <w:pPr>
              <w:spacing w:after="0"/>
              <w:rPr>
                <w:sz w:val="21"/>
                <w:szCs w:val="21"/>
                <w:color w:val="auto"/>
              </w:rPr>
            </w:pPr>
          </w:p>
        </w:tc>
        <w:tc>
          <w:tcPr>
            <w:tcW w:w="880" w:type="dxa"/>
            <w:vAlign w:val="bottom"/>
            <w:tcBorders>
              <w:top w:val="single" w:sz="8" w:color="auto"/>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Owner occupied commercial real estate</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610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610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610</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Income producing commercial real estate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Commercial &amp; industrial</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Commercial construction</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Equipment financing</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000" w:type="dxa"/>
            <w:vAlign w:val="bottom"/>
            <w:gridSpan w:val="2"/>
          </w:tcPr>
          <w:p>
            <w:pPr>
              <w:ind w:left="280"/>
              <w:spacing w:after="0"/>
              <w:rPr>
                <w:sz w:val="20"/>
                <w:szCs w:val="20"/>
                <w:color w:val="auto"/>
              </w:rPr>
            </w:pPr>
            <w:r>
              <w:rPr>
                <w:rFonts w:ascii="Arial" w:cs="Arial" w:eastAsia="Arial" w:hAnsi="Arial"/>
                <w:sz w:val="14"/>
                <w:szCs w:val="14"/>
                <w:color w:val="auto"/>
              </w:rPr>
              <w:t>Total commercial</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Residential mortgage</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831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831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831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Home equity lines of credit</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53"/>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Residential construction</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Consumer direct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Indirect auto</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3000" w:type="dxa"/>
            <w:vAlign w:val="bottom"/>
            <w:gridSpan w:val="2"/>
          </w:tcPr>
          <w:p>
            <w:pPr>
              <w:ind w:left="280"/>
              <w:spacing w:after="0"/>
              <w:rPr>
                <w:sz w:val="20"/>
                <w:szCs w:val="20"/>
                <w:color w:val="auto"/>
              </w:rPr>
            </w:pPr>
            <w:r>
              <w:rPr>
                <w:rFonts w:ascii="Arial" w:cs="Arial" w:eastAsia="Arial" w:hAnsi="Arial"/>
                <w:sz w:val="14"/>
                <w:szCs w:val="14"/>
                <w:color w:val="auto"/>
              </w:rPr>
              <w:t>Total loans</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3"/>
              <w:spacing w:after="0"/>
              <w:rPr>
                <w:sz w:val="20"/>
                <w:szCs w:val="20"/>
                <w:color w:val="auto"/>
              </w:rPr>
            </w:pPr>
            <w:r>
              <w:rPr>
                <w:rFonts w:ascii="Arial" w:cs="Arial" w:eastAsia="Arial" w:hAnsi="Arial"/>
                <w:sz w:val="14"/>
                <w:szCs w:val="14"/>
                <w:color w:val="auto"/>
              </w:rPr>
              <w:t>1,637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1,511</w:t>
            </w:r>
          </w:p>
        </w:tc>
        <w:tc>
          <w:tcPr>
            <w:tcW w:w="100" w:type="dxa"/>
            <w:vAlign w:val="bottom"/>
          </w:tcPr>
          <w:p>
            <w:pPr>
              <w:spacing w:after="0"/>
              <w:rPr>
                <w:sz w:val="24"/>
                <w:szCs w:val="24"/>
                <w:color w:val="auto"/>
              </w:rPr>
            </w:pP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4"/>
                <w:szCs w:val="24"/>
                <w:color w:val="auto"/>
              </w:rPr>
            </w:pP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1,636</w:t>
            </w:r>
          </w:p>
        </w:tc>
        <w:tc>
          <w:tcPr>
            <w:tcW w:w="100" w:type="dxa"/>
            <w:vAlign w:val="bottom"/>
          </w:tcPr>
          <w:p>
            <w:pPr>
              <w:spacing w:after="0"/>
              <w:rPr>
                <w:sz w:val="24"/>
                <w:szCs w:val="24"/>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Six Months Ended June 30, 2019</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Owner occupied commercial real estate</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610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610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610</w:t>
            </w: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Income producing commercial real estate</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53"/>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Commercial &amp; industrial</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Commercial construction</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Equipment financing</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000" w:type="dxa"/>
            <w:vAlign w:val="bottom"/>
            <w:gridSpan w:val="2"/>
          </w:tcPr>
          <w:p>
            <w:pPr>
              <w:ind w:left="280"/>
              <w:spacing w:after="0"/>
              <w:rPr>
                <w:sz w:val="20"/>
                <w:szCs w:val="20"/>
                <w:color w:val="auto"/>
              </w:rPr>
            </w:pPr>
            <w:r>
              <w:rPr>
                <w:rFonts w:ascii="Arial" w:cs="Arial" w:eastAsia="Arial" w:hAnsi="Arial"/>
                <w:sz w:val="14"/>
                <w:szCs w:val="14"/>
                <w:color w:val="auto"/>
              </w:rPr>
              <w:t>Total commercial</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4"/>
                <w:szCs w:val="14"/>
                <w:color w:val="auto"/>
              </w:rPr>
              <w:t>806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799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Residential mortgage</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1,176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1,175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Home equity lines of credit</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53"/>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Residential construction</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Consumer direct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Indirect auto</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3000" w:type="dxa"/>
            <w:vAlign w:val="bottom"/>
            <w:gridSpan w:val="2"/>
          </w:tcPr>
          <w:p>
            <w:pPr>
              <w:ind w:left="280"/>
              <w:spacing w:after="0"/>
              <w:rPr>
                <w:sz w:val="20"/>
                <w:szCs w:val="20"/>
                <w:color w:val="auto"/>
              </w:rPr>
            </w:pPr>
            <w:r>
              <w:rPr>
                <w:rFonts w:ascii="Arial" w:cs="Arial" w:eastAsia="Arial" w:hAnsi="Arial"/>
                <w:sz w:val="14"/>
                <w:szCs w:val="14"/>
                <w:color w:val="auto"/>
              </w:rPr>
              <w:t>Total loans</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3"/>
              <w:spacing w:after="0"/>
              <w:rPr>
                <w:sz w:val="20"/>
                <w:szCs w:val="20"/>
                <w:color w:val="auto"/>
              </w:rPr>
            </w:pPr>
            <w:r>
              <w:rPr>
                <w:rFonts w:ascii="Arial" w:cs="Arial" w:eastAsia="Arial" w:hAnsi="Arial"/>
                <w:sz w:val="14"/>
                <w:szCs w:val="14"/>
                <w:color w:val="auto"/>
              </w:rPr>
              <w:t>2,224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24"/>
                <w:szCs w:val="24"/>
                <w:color w:val="auto"/>
              </w:rPr>
            </w:pP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24"/>
                <w:szCs w:val="24"/>
                <w:color w:val="auto"/>
              </w:rPr>
            </w:pPr>
          </w:p>
        </w:tc>
        <w:tc>
          <w:tcPr>
            <w:tcW w:w="2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2,213</w:t>
            </w:r>
          </w:p>
        </w:tc>
        <w:tc>
          <w:tcPr>
            <w:tcW w:w="100" w:type="dxa"/>
            <w:vAlign w:val="bottom"/>
          </w:tcPr>
          <w:p>
            <w:pPr>
              <w:spacing w:after="0"/>
              <w:rPr>
                <w:sz w:val="24"/>
                <w:szCs w:val="24"/>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10"/>
        </w:trPr>
        <w:tc>
          <w:tcPr>
            <w:tcW w:w="2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June 30, 2018</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Owner occupied commercial real estate</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282</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Income producing commercial real estate</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53"/>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Commercial &amp; industrial</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Commercial construction</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1"/>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Equipment financing</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000" w:type="dxa"/>
            <w:vAlign w:val="bottom"/>
            <w:gridSpan w:val="2"/>
          </w:tcPr>
          <w:p>
            <w:pPr>
              <w:ind w:left="280"/>
              <w:spacing w:after="0"/>
              <w:rPr>
                <w:sz w:val="20"/>
                <w:szCs w:val="20"/>
                <w:color w:val="auto"/>
              </w:rPr>
            </w:pPr>
            <w:r>
              <w:rPr>
                <w:rFonts w:ascii="Arial" w:cs="Arial" w:eastAsia="Arial" w:hAnsi="Arial"/>
                <w:sz w:val="14"/>
                <w:szCs w:val="14"/>
                <w:color w:val="auto"/>
              </w:rPr>
              <w:t>Total commercial</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27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Residential mortgage</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425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424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424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Home equity lines of credit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Residential construction</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Consumer direct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Indirect auto</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300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loans</w:t>
            </w:r>
          </w:p>
        </w:tc>
        <w:tc>
          <w:tcPr>
            <w:tcW w:w="9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1,076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733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236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1,075</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Six Months Ended June 30, 2018</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Owner occupied commercial real estate</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1,276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1,260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1,260</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1,869</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Income producing commercial real estate</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53"/>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Commercial &amp; industrial</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3"/>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Commercial construction</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1"/>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Equipment financing</w:t>
            </w:r>
          </w:p>
        </w:tc>
        <w:tc>
          <w:tcPr>
            <w:tcW w:w="9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000" w:type="dxa"/>
            <w:vAlign w:val="bottom"/>
            <w:gridSpan w:val="2"/>
          </w:tcPr>
          <w:p>
            <w:pPr>
              <w:ind w:left="280"/>
              <w:spacing w:after="0"/>
              <w:rPr>
                <w:sz w:val="20"/>
                <w:szCs w:val="20"/>
                <w:color w:val="auto"/>
              </w:rPr>
            </w:pPr>
            <w:r>
              <w:rPr>
                <w:rFonts w:ascii="Arial" w:cs="Arial" w:eastAsia="Arial" w:hAnsi="Arial"/>
                <w:sz w:val="14"/>
                <w:szCs w:val="14"/>
                <w:color w:val="auto"/>
              </w:rPr>
              <w:t>Total commercial</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4"/>
                <w:szCs w:val="14"/>
                <w:color w:val="auto"/>
              </w:rPr>
              <w:t>1,490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1,292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1,398</w:t>
            </w:r>
          </w:p>
        </w:tc>
        <w:tc>
          <w:tcPr>
            <w:tcW w:w="10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1,872</w:t>
            </w:r>
          </w:p>
        </w:tc>
        <w:tc>
          <w:tcPr>
            <w:tcW w:w="0" w:type="dxa"/>
            <w:vAlign w:val="bottom"/>
          </w:tcPr>
          <w:p>
            <w:pPr>
              <w:spacing w:after="0"/>
              <w:rPr>
                <w:sz w:val="1"/>
                <w:szCs w:val="1"/>
                <w:color w:val="auto"/>
              </w:rPr>
            </w:pPr>
          </w:p>
        </w:tc>
      </w:tr>
      <w:tr>
        <w:trPr>
          <w:trHeight w:val="27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Residential mortgage</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765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764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764</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63"/>
        </w:trPr>
        <w:tc>
          <w:tcPr>
            <w:tcW w:w="30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Home equity lines of credit</w:t>
            </w:r>
          </w:p>
        </w:tc>
        <w:tc>
          <w:tcPr>
            <w:tcW w:w="104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tcPr>
          <w:p>
            <w:pPr>
              <w:spacing w:after="0"/>
              <w:rPr>
                <w:sz w:val="22"/>
                <w:szCs w:val="22"/>
                <w:color w:val="auto"/>
              </w:rPr>
            </w:pPr>
          </w:p>
        </w:tc>
        <w:tc>
          <w:tcPr>
            <w:tcW w:w="74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Residential construction</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64"/>
        </w:trPr>
        <w:tc>
          <w:tcPr>
            <w:tcW w:w="30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r>
      <w:tr>
        <w:trPr>
          <w:trHeight w:val="263"/>
        </w:trPr>
        <w:tc>
          <w:tcPr>
            <w:tcW w:w="3000" w:type="dxa"/>
            <w:vAlign w:val="bottom"/>
          </w:tcPr>
          <w:p>
            <w:pPr>
              <w:ind w:left="40"/>
              <w:spacing w:after="0"/>
              <w:rPr>
                <w:sz w:val="20"/>
                <w:szCs w:val="20"/>
                <w:color w:val="auto"/>
              </w:rPr>
            </w:pPr>
            <w:r>
              <w:rPr>
                <w:rFonts w:ascii="Arial" w:cs="Arial" w:eastAsia="Arial" w:hAnsi="Arial"/>
                <w:sz w:val="14"/>
                <w:szCs w:val="14"/>
                <w:color w:val="auto"/>
              </w:rPr>
              <w:t>Consumer direct</w:t>
            </w:r>
          </w:p>
        </w:tc>
        <w:tc>
          <w:tcPr>
            <w:tcW w:w="104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66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1"/>
        </w:trPr>
        <w:tc>
          <w:tcPr>
            <w:tcW w:w="3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Indirect auto</w:t>
            </w:r>
          </w:p>
        </w:tc>
        <w:tc>
          <w:tcPr>
            <w:tcW w:w="9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236</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r>
      <w:tr>
        <w:trPr>
          <w:trHeight w:val="243"/>
        </w:trPr>
        <w:tc>
          <w:tcPr>
            <w:tcW w:w="3000" w:type="dxa"/>
            <w:vAlign w:val="bottom"/>
          </w:tcPr>
          <w:p>
            <w:pPr>
              <w:ind w:left="280"/>
              <w:spacing w:after="0"/>
              <w:rPr>
                <w:sz w:val="20"/>
                <w:szCs w:val="20"/>
                <w:color w:val="auto"/>
              </w:rPr>
            </w:pPr>
            <w:r>
              <w:rPr>
                <w:rFonts w:ascii="Arial" w:cs="Arial" w:eastAsia="Arial" w:hAnsi="Arial"/>
                <w:sz w:val="14"/>
                <w:szCs w:val="14"/>
                <w:color w:val="auto"/>
              </w:rPr>
              <w:t>Total loans</w:t>
            </w:r>
          </w:p>
        </w:tc>
        <w:tc>
          <w:tcPr>
            <w:tcW w:w="9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2,491</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2,056</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2,398</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1,973</w:t>
            </w:r>
          </w:p>
        </w:tc>
      </w:tr>
      <w:tr>
        <w:trPr>
          <w:trHeight w:val="20"/>
        </w:trPr>
        <w:tc>
          <w:tcPr>
            <w:tcW w:w="3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Collateral dependent TDRs that subsequently default or are placed on nonaccrual are charged down to the fair value of the collateral consistent with United’s policy for nonaccrual loans. Impairment on TDRs that are not collateral dependent continues to be measured based on discounted cash flows regardless of whether the loan has subsequently defaulted.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average balances of impaired loans and income recognized on impaired loans while they were considered impaired are presented below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Interest Revenue</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Interest Revenue</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Recognized</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5"/>
              </w:rPr>
              <w:t>Cash Basis</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Recognized</w:t>
            </w:r>
          </w:p>
        </w:tc>
        <w:tc>
          <w:tcPr>
            <w:tcW w:w="180" w:type="dxa"/>
            <w:vAlign w:val="bottom"/>
          </w:tcPr>
          <w:p>
            <w:pPr>
              <w:spacing w:after="0"/>
              <w:rPr>
                <w:sz w:val="17"/>
                <w:szCs w:val="17"/>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Cash Basis</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6"/>
              </w:rPr>
              <w:t>During</w:t>
            </w:r>
          </w:p>
        </w:tc>
        <w:tc>
          <w:tcPr>
            <w:tcW w:w="1360" w:type="dxa"/>
            <w:vAlign w:val="bottom"/>
            <w:gridSpan w:val="3"/>
          </w:tcPr>
          <w:p>
            <w:pPr>
              <w:ind w:left="40"/>
              <w:spacing w:after="0"/>
              <w:rPr>
                <w:sz w:val="20"/>
                <w:szCs w:val="20"/>
                <w:color w:val="auto"/>
              </w:rPr>
            </w:pPr>
            <w:r>
              <w:rPr>
                <w:rFonts w:ascii="Arial" w:cs="Arial" w:eastAsia="Arial" w:hAnsi="Arial"/>
                <w:sz w:val="16"/>
                <w:szCs w:val="16"/>
                <w:b w:val="1"/>
                <w:bCs w:val="1"/>
                <w:color w:val="auto"/>
              </w:rPr>
              <w:t>Interest Revenue</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During</w:t>
            </w: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w w:val="91"/>
              </w:rPr>
              <w:t>Interest Revenue</w:t>
            </w:r>
          </w:p>
        </w:tc>
      </w:tr>
      <w:tr>
        <w:trPr>
          <w:trHeight w:val="210"/>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1400" w:type="dxa"/>
            <w:vAlign w:val="bottom"/>
            <w:gridSpan w:val="3"/>
          </w:tcPr>
          <w:p>
            <w:pPr>
              <w:ind w:left="60"/>
              <w:spacing w:after="0"/>
              <w:rPr>
                <w:sz w:val="20"/>
                <w:szCs w:val="20"/>
                <w:color w:val="auto"/>
              </w:rPr>
            </w:pPr>
            <w:r>
              <w:rPr>
                <w:rFonts w:ascii="Arial" w:cs="Arial" w:eastAsia="Arial" w:hAnsi="Arial"/>
                <w:sz w:val="16"/>
                <w:szCs w:val="16"/>
                <w:b w:val="1"/>
                <w:bCs w:val="1"/>
                <w:color w:val="auto"/>
              </w:rPr>
              <w:t>Average Balance</w:t>
            </w:r>
          </w:p>
        </w:tc>
        <w:tc>
          <w:tcPr>
            <w:tcW w:w="1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Impairment</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Received</w:t>
            </w: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Average Balance</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Impairment</w:t>
            </w:r>
          </w:p>
        </w:tc>
        <w:tc>
          <w:tcPr>
            <w:tcW w:w="180" w:type="dxa"/>
            <w:vAlign w:val="bottom"/>
          </w:tcPr>
          <w:p>
            <w:pPr>
              <w:spacing w:after="0"/>
              <w:rPr>
                <w:sz w:val="18"/>
                <w:szCs w:val="18"/>
                <w:color w:val="auto"/>
              </w:rPr>
            </w:pPr>
          </w:p>
        </w:tc>
        <w:tc>
          <w:tcPr>
            <w:tcW w:w="1060" w:type="dxa"/>
            <w:vAlign w:val="bottom"/>
          </w:tcPr>
          <w:p>
            <w:pPr>
              <w:jc w:val="right"/>
              <w:ind w:right="239"/>
              <w:spacing w:after="0"/>
              <w:rPr>
                <w:sz w:val="20"/>
                <w:szCs w:val="20"/>
                <w:color w:val="auto"/>
              </w:rPr>
            </w:pPr>
            <w:r>
              <w:rPr>
                <w:rFonts w:ascii="Arial" w:cs="Arial" w:eastAsia="Arial" w:hAnsi="Arial"/>
                <w:sz w:val="16"/>
                <w:szCs w:val="16"/>
                <w:b w:val="1"/>
                <w:bCs w:val="1"/>
                <w:color w:val="auto"/>
              </w:rPr>
              <w:t>Received</w:t>
            </w: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Owner occupied commercial real estate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18,737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Income producing commercial real estate</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13,680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16,408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212</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Commercial &amp; industrial</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Commercial construction</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3,369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3,564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44</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Equipment financing</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3340" w:type="dxa"/>
            <w:vAlign w:val="bottom"/>
            <w:gridSpan w:val="2"/>
          </w:tcPr>
          <w:p>
            <w:pPr>
              <w:ind w:left="180"/>
              <w:spacing w:after="0"/>
              <w:rPr>
                <w:sz w:val="20"/>
                <w:szCs w:val="20"/>
                <w:color w:val="auto"/>
              </w:rPr>
            </w:pPr>
            <w:r>
              <w:rPr>
                <w:rFonts w:ascii="Arial" w:cs="Arial" w:eastAsia="Arial" w:hAnsi="Arial"/>
                <w:sz w:val="16"/>
                <w:szCs w:val="16"/>
                <w:color w:val="auto"/>
              </w:rPr>
              <w:t>Total commercial</w:t>
            </w: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37,721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535</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40,867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516</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Residential mortgage</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Home equity lines of credit</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Residential construction</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Consumer direct</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Indirect auto</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w:t>
            </w:r>
          </w:p>
        </w:tc>
      </w:tr>
      <w:tr>
        <w:trPr>
          <w:trHeight w:val="284"/>
        </w:trPr>
        <w:tc>
          <w:tcPr>
            <w:tcW w:w="33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Total</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56,890</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741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762</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58,272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731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727</w:t>
            </w:r>
          </w:p>
        </w:tc>
      </w:tr>
      <w:tr>
        <w:trPr>
          <w:trHeight w:val="271"/>
        </w:trPr>
        <w:tc>
          <w:tcPr>
            <w:tcW w:w="3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Six Months Ended June 30,</w:t>
            </w: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32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Owner occupied commercial real estate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18,074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516</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Income producing commercial real estate</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13,959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16,421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447</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Commercial &amp; industrial</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Commercial construction</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3,750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96</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Equipment financing</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3340" w:type="dxa"/>
            <w:vAlign w:val="bottom"/>
            <w:gridSpan w:val="2"/>
          </w:tcPr>
          <w:p>
            <w:pPr>
              <w:ind w:left="180"/>
              <w:spacing w:after="0"/>
              <w:rPr>
                <w:sz w:val="20"/>
                <w:szCs w:val="20"/>
                <w:color w:val="auto"/>
              </w:rPr>
            </w:pPr>
            <w:r>
              <w:rPr>
                <w:rFonts w:ascii="Arial" w:cs="Arial" w:eastAsia="Arial" w:hAnsi="Arial"/>
                <w:sz w:val="16"/>
                <w:szCs w:val="16"/>
                <w:color w:val="auto"/>
              </w:rPr>
              <w:t>Total commercial</w:t>
            </w: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36,745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1,038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1,078</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44,246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1,125</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Residential mortgage</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Home equity lines of credit</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Residential construction</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Consumer direct</w:t>
            </w:r>
          </w:p>
        </w:tc>
        <w:tc>
          <w:tcPr>
            <w:tcW w:w="40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Indirect auto</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r>
      <w:tr>
        <w:trPr>
          <w:trHeight w:val="244"/>
        </w:trPr>
        <w:tc>
          <w:tcPr>
            <w:tcW w:w="334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55,611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1,486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1,523</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62,218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1,476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1,536</w:t>
            </w: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Nonaccrual and Past Due Loans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policy is to place loans on nonaccrual status when, in the opinion of management, the principal and interest on a loan is not likely to be repaid in full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generally applied to reduce the loan’s recorded investment.</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PCI loans are considered past due or delinquent when the contractual principal or interest due in accordance with the terms of the loan agreement remains unpaid after the due date of the scheduled payment. However, these loans are considered to be performing, even though they may be contractually past due, as any non-payment of contractual principal or interest is considered in the periodic re-estimation of expected cash flows and is included in the resulting recognition of current period loan loss provision or future period yield adjustments. The accrual of interest is discontinued on PCI loans if management can no longer reliably estimate future cash flows on the loan or pool of loans. No PCI loans were classified as nonaccrual at June 30, 2019 or December 31, 2018 as the carrying value of the respective loan or pool of loans cash flows were considered estimable and probable of collection. Therefore, interest revenue, through accretion of the difference between the carrying value of the loans and the expected cash flows, is being recognized on all PCI loans.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type w:val="continuous"/>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gross additional interest revenue that would have been earned if the loans classified as nonaccrual had performed in accordance with the original terms was approximately $249,000 and $256,000 for the three months ended June 30, 2019 and 2018, respectively, and $627,000 and $599,000 for the six months ended June 30, 2019 and 2018,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the recorded investment in nonaccrual loans by loan class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2019</w:t>
            </w:r>
          </w:p>
        </w:tc>
        <w:tc>
          <w:tcPr>
            <w:tcW w:w="180" w:type="dxa"/>
            <w:vAlign w:val="bottom"/>
          </w:tcPr>
          <w:p>
            <w:pPr>
              <w:spacing w:after="0"/>
              <w:rPr>
                <w:sz w:val="18"/>
                <w:szCs w:val="18"/>
                <w:color w:val="auto"/>
              </w:rPr>
            </w:pPr>
          </w:p>
        </w:tc>
        <w:tc>
          <w:tcPr>
            <w:tcW w:w="356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r>
      <w:tr>
        <w:trPr>
          <w:trHeight w:val="230"/>
        </w:trPr>
        <w:tc>
          <w:tcPr>
            <w:tcW w:w="572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6"/>
                <w:szCs w:val="16"/>
                <w:color w:val="auto"/>
              </w:rPr>
              <w:t>Owner occupied commercial real estate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8,177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6,421</w:t>
            </w:r>
          </w:p>
        </w:tc>
        <w:tc>
          <w:tcPr>
            <w:tcW w:w="1940" w:type="dxa"/>
            <w:vAlign w:val="bottom"/>
            <w:tcBorders>
              <w:bottom w:val="single" w:sz="8" w:color="CCEEFF"/>
            </w:tcBorders>
            <w:shd w:val="clear" w:color="auto" w:fill="CCEEFF"/>
          </w:tcPr>
          <w:p>
            <w:pPr>
              <w:spacing w:after="0"/>
              <w:rPr>
                <w:sz w:val="20"/>
                <w:szCs w:val="20"/>
                <w:color w:val="auto"/>
              </w:rPr>
            </w:pPr>
          </w:p>
        </w:tc>
      </w:tr>
      <w:tr>
        <w:trPr>
          <w:trHeight w:val="237"/>
        </w:trPr>
        <w:tc>
          <w:tcPr>
            <w:tcW w:w="5720" w:type="dxa"/>
            <w:vAlign w:val="bottom"/>
          </w:tcPr>
          <w:p>
            <w:pPr>
              <w:ind w:left="1980"/>
              <w:spacing w:after="0"/>
              <w:rPr>
                <w:sz w:val="20"/>
                <w:szCs w:val="20"/>
                <w:color w:val="auto"/>
              </w:rPr>
            </w:pPr>
            <w:r>
              <w:rPr>
                <w:rFonts w:ascii="Arial" w:cs="Arial" w:eastAsia="Arial" w:hAnsi="Arial"/>
                <w:sz w:val="16"/>
                <w:szCs w:val="16"/>
                <w:color w:val="auto"/>
              </w:rPr>
              <w:t>Income producing commercial real estate</w:t>
            </w:r>
          </w:p>
        </w:tc>
        <w:tc>
          <w:tcPr>
            <w:tcW w:w="280" w:type="dxa"/>
            <w:vAlign w:val="bottom"/>
          </w:tcPr>
          <w:p>
            <w:pPr>
              <w:spacing w:after="0"/>
              <w:rPr>
                <w:sz w:val="20"/>
                <w:szCs w:val="20"/>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1,331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1,160</w:t>
            </w:r>
          </w:p>
        </w:tc>
        <w:tc>
          <w:tcPr>
            <w:tcW w:w="1940" w:type="dxa"/>
            <w:vAlign w:val="bottom"/>
          </w:tcPr>
          <w:p>
            <w:pPr>
              <w:spacing w:after="0"/>
              <w:rPr>
                <w:sz w:val="20"/>
                <w:szCs w:val="20"/>
                <w:color w:val="auto"/>
              </w:rPr>
            </w:pPr>
          </w:p>
        </w:tc>
      </w:tr>
      <w:tr>
        <w:trPr>
          <w:trHeight w:val="33"/>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6"/>
                <w:szCs w:val="16"/>
                <w:color w:val="auto"/>
              </w:rPr>
              <w:t>Commercial &amp; industrial</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1,417</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5720" w:type="dxa"/>
            <w:vAlign w:val="bottom"/>
          </w:tcPr>
          <w:p>
            <w:pPr>
              <w:ind w:left="1980"/>
              <w:spacing w:after="0"/>
              <w:rPr>
                <w:sz w:val="20"/>
                <w:szCs w:val="20"/>
                <w:color w:val="auto"/>
              </w:rPr>
            </w:pPr>
            <w:r>
              <w:rPr>
                <w:rFonts w:ascii="Arial" w:cs="Arial" w:eastAsia="Arial" w:hAnsi="Arial"/>
                <w:sz w:val="16"/>
                <w:szCs w:val="16"/>
                <w:color w:val="auto"/>
              </w:rPr>
              <w:t>Commercial construction</w:t>
            </w:r>
          </w:p>
        </w:tc>
        <w:tc>
          <w:tcPr>
            <w:tcW w:w="280" w:type="dxa"/>
            <w:vAlign w:val="bottom"/>
          </w:tcPr>
          <w:p>
            <w:pPr>
              <w:spacing w:after="0"/>
              <w:rPr>
                <w:sz w:val="20"/>
                <w:szCs w:val="20"/>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1,650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605</w:t>
            </w:r>
          </w:p>
        </w:tc>
        <w:tc>
          <w:tcPr>
            <w:tcW w:w="1940" w:type="dxa"/>
            <w:vAlign w:val="bottom"/>
          </w:tcPr>
          <w:p>
            <w:pPr>
              <w:spacing w:after="0"/>
              <w:rPr>
                <w:sz w:val="20"/>
                <w:szCs w:val="20"/>
                <w:color w:val="auto"/>
              </w:rPr>
            </w:pPr>
          </w:p>
        </w:tc>
      </w:tr>
      <w:tr>
        <w:trPr>
          <w:trHeight w:val="33"/>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6"/>
                <w:szCs w:val="16"/>
                <w:color w:val="auto"/>
              </w:rPr>
              <w:t>Equipment financing</w:t>
            </w:r>
          </w:p>
        </w:tc>
        <w:tc>
          <w:tcPr>
            <w:tcW w:w="2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2,677</w:t>
            </w:r>
          </w:p>
        </w:tc>
        <w:tc>
          <w:tcPr>
            <w:tcW w:w="1940" w:type="dxa"/>
            <w:vAlign w:val="bottom"/>
            <w:tcBorders>
              <w:bottom w:val="single" w:sz="8" w:color="CCEEFF"/>
            </w:tcBorders>
            <w:shd w:val="clear" w:color="auto" w:fill="CCEEFF"/>
          </w:tcPr>
          <w:p>
            <w:pPr>
              <w:spacing w:after="0"/>
              <w:rPr>
                <w:sz w:val="23"/>
                <w:szCs w:val="23"/>
                <w:color w:val="auto"/>
              </w:rPr>
            </w:pPr>
          </w:p>
        </w:tc>
      </w:tr>
      <w:tr>
        <w:trPr>
          <w:trHeight w:val="217"/>
        </w:trPr>
        <w:tc>
          <w:tcPr>
            <w:tcW w:w="5720" w:type="dxa"/>
            <w:vAlign w:val="bottom"/>
          </w:tcPr>
          <w:p>
            <w:pPr>
              <w:ind w:left="2120"/>
              <w:spacing w:after="0"/>
              <w:rPr>
                <w:sz w:val="20"/>
                <w:szCs w:val="20"/>
                <w:color w:val="auto"/>
              </w:rPr>
            </w:pPr>
            <w:r>
              <w:rPr>
                <w:rFonts w:ascii="Arial" w:cs="Arial" w:eastAsia="Arial" w:hAnsi="Arial"/>
                <w:sz w:val="16"/>
                <w:szCs w:val="16"/>
                <w:color w:val="auto"/>
              </w:rPr>
              <w:t>Total commercial</w:t>
            </w:r>
          </w:p>
        </w:tc>
        <w:tc>
          <w:tcPr>
            <w:tcW w:w="2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15,571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12,280</w:t>
            </w:r>
          </w:p>
        </w:tc>
        <w:tc>
          <w:tcPr>
            <w:tcW w:w="1940" w:type="dxa"/>
            <w:vAlign w:val="bottom"/>
          </w:tcPr>
          <w:p>
            <w:pPr>
              <w:spacing w:after="0"/>
              <w:rPr>
                <w:sz w:val="18"/>
                <w:szCs w:val="18"/>
                <w:color w:val="auto"/>
              </w:rPr>
            </w:pPr>
          </w:p>
        </w:tc>
      </w:tr>
      <w:tr>
        <w:trPr>
          <w:trHeight w:val="33"/>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6"/>
                <w:szCs w:val="16"/>
                <w:color w:val="auto"/>
              </w:rPr>
              <w:t>Residential mortgage</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8,012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8,035</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5720" w:type="dxa"/>
            <w:vAlign w:val="bottom"/>
          </w:tcPr>
          <w:p>
            <w:pPr>
              <w:ind w:left="1980"/>
              <w:spacing w:after="0"/>
              <w:rPr>
                <w:sz w:val="20"/>
                <w:szCs w:val="20"/>
                <w:color w:val="auto"/>
              </w:rPr>
            </w:pPr>
            <w:r>
              <w:rPr>
                <w:rFonts w:ascii="Arial" w:cs="Arial" w:eastAsia="Arial" w:hAnsi="Arial"/>
                <w:sz w:val="16"/>
                <w:szCs w:val="16"/>
                <w:color w:val="auto"/>
              </w:rPr>
              <w:t>Home equity lines of credit</w:t>
            </w:r>
          </w:p>
        </w:tc>
        <w:tc>
          <w:tcPr>
            <w:tcW w:w="280" w:type="dxa"/>
            <w:vAlign w:val="bottom"/>
          </w:tcPr>
          <w:p>
            <w:pPr>
              <w:spacing w:after="0"/>
              <w:rPr>
                <w:sz w:val="20"/>
                <w:szCs w:val="20"/>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1,978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2,360</w:t>
            </w:r>
          </w:p>
        </w:tc>
        <w:tc>
          <w:tcPr>
            <w:tcW w:w="1940" w:type="dxa"/>
            <w:vAlign w:val="bottom"/>
          </w:tcPr>
          <w:p>
            <w:pPr>
              <w:spacing w:after="0"/>
              <w:rPr>
                <w:sz w:val="20"/>
                <w:szCs w:val="20"/>
                <w:color w:val="auto"/>
              </w:rPr>
            </w:pPr>
          </w:p>
        </w:tc>
      </w:tr>
      <w:tr>
        <w:trPr>
          <w:trHeight w:val="33"/>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6"/>
                <w:szCs w:val="16"/>
                <w:color w:val="auto"/>
              </w:rPr>
              <w:t>Residential construction</w:t>
            </w:r>
          </w:p>
        </w:tc>
        <w:tc>
          <w:tcPr>
            <w:tcW w:w="2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1940" w:type="dxa"/>
            <w:vAlign w:val="bottom"/>
            <w:tcBorders>
              <w:bottom w:val="single" w:sz="8" w:color="CCEEFF"/>
            </w:tcBorders>
            <w:shd w:val="clear" w:color="auto" w:fill="CCEEFF"/>
          </w:tcPr>
          <w:p>
            <w:pPr>
              <w:spacing w:after="0"/>
              <w:rPr>
                <w:sz w:val="21"/>
                <w:szCs w:val="21"/>
                <w:color w:val="auto"/>
              </w:rPr>
            </w:pPr>
          </w:p>
        </w:tc>
      </w:tr>
      <w:tr>
        <w:trPr>
          <w:trHeight w:val="237"/>
        </w:trPr>
        <w:tc>
          <w:tcPr>
            <w:tcW w:w="5720" w:type="dxa"/>
            <w:vAlign w:val="bottom"/>
          </w:tcPr>
          <w:p>
            <w:pPr>
              <w:ind w:left="1980"/>
              <w:spacing w:after="0"/>
              <w:rPr>
                <w:sz w:val="20"/>
                <w:szCs w:val="20"/>
                <w:color w:val="auto"/>
              </w:rPr>
            </w:pPr>
            <w:r>
              <w:rPr>
                <w:rFonts w:ascii="Arial" w:cs="Arial" w:eastAsia="Arial" w:hAnsi="Arial"/>
                <w:sz w:val="16"/>
                <w:szCs w:val="16"/>
                <w:color w:val="auto"/>
              </w:rPr>
              <w:t>Consumer direct</w:t>
            </w:r>
          </w:p>
        </w:tc>
        <w:tc>
          <w:tcPr>
            <w:tcW w:w="280" w:type="dxa"/>
            <w:vAlign w:val="bottom"/>
          </w:tcPr>
          <w:p>
            <w:pPr>
              <w:spacing w:after="0"/>
              <w:rPr>
                <w:sz w:val="20"/>
                <w:szCs w:val="20"/>
                <w:color w:val="auto"/>
              </w:rPr>
            </w:pP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1940" w:type="dxa"/>
            <w:vAlign w:val="bottom"/>
          </w:tcPr>
          <w:p>
            <w:pPr>
              <w:spacing w:after="0"/>
              <w:rPr>
                <w:sz w:val="20"/>
                <w:szCs w:val="20"/>
                <w:color w:val="auto"/>
              </w:rPr>
            </w:pPr>
          </w:p>
        </w:tc>
      </w:tr>
      <w:tr>
        <w:trPr>
          <w:trHeight w:val="33"/>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572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6"/>
                <w:szCs w:val="16"/>
                <w:color w:val="auto"/>
              </w:rPr>
              <w:t>Indirect auto</w:t>
            </w:r>
          </w:p>
        </w:tc>
        <w:tc>
          <w:tcPr>
            <w:tcW w:w="2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726</w:t>
            </w:r>
          </w:p>
        </w:tc>
        <w:tc>
          <w:tcPr>
            <w:tcW w:w="1940" w:type="dxa"/>
            <w:vAlign w:val="bottom"/>
            <w:tcBorders>
              <w:bottom w:val="single" w:sz="8" w:color="CCEEFF"/>
            </w:tcBorders>
            <w:shd w:val="clear" w:color="auto" w:fill="CCEEFF"/>
          </w:tcPr>
          <w:p>
            <w:pPr>
              <w:spacing w:after="0"/>
              <w:rPr>
                <w:sz w:val="23"/>
                <w:szCs w:val="23"/>
                <w:color w:val="auto"/>
              </w:rPr>
            </w:pPr>
          </w:p>
        </w:tc>
      </w:tr>
      <w:tr>
        <w:trPr>
          <w:trHeight w:val="244"/>
        </w:trPr>
        <w:tc>
          <w:tcPr>
            <w:tcW w:w="5720" w:type="dxa"/>
            <w:vAlign w:val="bottom"/>
          </w:tcPr>
          <w:p>
            <w:pPr>
              <w:ind w:left="212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26,597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23,778</w:t>
            </w:r>
          </w:p>
        </w:tc>
        <w:tc>
          <w:tcPr>
            <w:tcW w:w="1940" w:type="dxa"/>
            <w:vAlign w:val="bottom"/>
          </w:tcPr>
          <w:p>
            <w:pPr>
              <w:spacing w:after="0"/>
              <w:rPr>
                <w:sz w:val="21"/>
                <w:szCs w:val="21"/>
                <w:color w:val="auto"/>
              </w:rPr>
            </w:pPr>
          </w:p>
        </w:tc>
      </w:tr>
      <w:tr>
        <w:trPr>
          <w:trHeight w:val="20"/>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Excluding PCI loans, substantially all loans more than 90 days past due were on nonaccrual status at June 30, 2019 and December 31, 2018. The following table presents the aging of the recorded investment in past due loans by class of loans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5"/>
          </w:tcPr>
          <w:p>
            <w:pPr>
              <w:ind w:left="220"/>
              <w:spacing w:after="0"/>
              <w:rPr>
                <w:sz w:val="20"/>
                <w:szCs w:val="20"/>
                <w:color w:val="auto"/>
              </w:rPr>
            </w:pPr>
            <w:r>
              <w:rPr>
                <w:rFonts w:ascii="Arial" w:cs="Arial" w:eastAsia="Arial" w:hAnsi="Arial"/>
                <w:sz w:val="16"/>
                <w:szCs w:val="16"/>
                <w:b w:val="1"/>
                <w:bCs w:val="1"/>
                <w:color w:val="auto"/>
              </w:rPr>
              <w:t>Loans Past Due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Loans Not</w:t>
            </w: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6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June 30, 2019</w:t>
            </w:r>
          </w:p>
        </w:tc>
        <w:tc>
          <w:tcPr>
            <w:tcW w:w="1180" w:type="dxa"/>
            <w:vAlign w:val="bottom"/>
            <w:gridSpan w:val="3"/>
          </w:tcPr>
          <w:p>
            <w:pPr>
              <w:ind w:left="100"/>
              <w:spacing w:after="0"/>
              <w:rPr>
                <w:sz w:val="20"/>
                <w:szCs w:val="20"/>
                <w:color w:val="auto"/>
              </w:rPr>
            </w:pPr>
            <w:r>
              <w:rPr>
                <w:rFonts w:ascii="Arial" w:cs="Arial" w:eastAsia="Arial" w:hAnsi="Arial"/>
                <w:sz w:val="16"/>
                <w:szCs w:val="16"/>
                <w:b w:val="1"/>
                <w:bCs w:val="1"/>
                <w:color w:val="auto"/>
              </w:rPr>
              <w:t>30 - 59 Days</w:t>
            </w:r>
          </w:p>
        </w:tc>
        <w:tc>
          <w:tcPr>
            <w:tcW w:w="1160" w:type="dxa"/>
            <w:vAlign w:val="bottom"/>
            <w:gridSpan w:val="3"/>
          </w:tcPr>
          <w:p>
            <w:pPr>
              <w:ind w:left="100"/>
              <w:spacing w:after="0"/>
              <w:rPr>
                <w:sz w:val="20"/>
                <w:szCs w:val="20"/>
                <w:color w:val="auto"/>
              </w:rPr>
            </w:pPr>
            <w:r>
              <w:rPr>
                <w:rFonts w:ascii="Arial" w:cs="Arial" w:eastAsia="Arial" w:hAnsi="Arial"/>
                <w:sz w:val="16"/>
                <w:szCs w:val="16"/>
                <w:b w:val="1"/>
                <w:bCs w:val="1"/>
                <w:color w:val="auto"/>
              </w:rPr>
              <w:t>60 - 89 Days</w:t>
            </w:r>
          </w:p>
        </w:tc>
        <w:tc>
          <w:tcPr>
            <w:tcW w:w="16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&gt; 90 Days</w:t>
            </w:r>
          </w:p>
        </w:tc>
        <w:tc>
          <w:tcPr>
            <w:tcW w:w="22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Past Due</w:t>
            </w: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PCI Loans</w:t>
            </w:r>
          </w:p>
        </w:tc>
        <w:tc>
          <w:tcPr>
            <w:tcW w:w="180" w:type="dxa"/>
            <w:vAlign w:val="bottom"/>
          </w:tcPr>
          <w:p>
            <w:pPr>
              <w:spacing w:after="0"/>
              <w:rPr>
                <w:sz w:val="18"/>
                <w:szCs w:val="18"/>
                <w:color w:val="auto"/>
              </w:rPr>
            </w:pPr>
          </w:p>
        </w:tc>
        <w:tc>
          <w:tcPr>
            <w:tcW w:w="84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Owner occupied commercial real estate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3,668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1,636,333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11,000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1,658,514</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Income producing commercial real estate</w:t>
            </w:r>
          </w:p>
        </w:tc>
        <w:tc>
          <w:tcPr>
            <w:tcW w:w="3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1,566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1,900,914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37,089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1,939,569</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Commercial &amp; industrial</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1,292,757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1,298,794</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Commercial construction</w:t>
            </w:r>
          </w:p>
        </w:tc>
        <w:tc>
          <w:tcPr>
            <w:tcW w:w="3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1,227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1,692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973,849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7,198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982,739</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Equipment financing</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664,386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673,858</w:t>
            </w:r>
          </w:p>
        </w:tc>
        <w:tc>
          <w:tcPr>
            <w:tcW w:w="0" w:type="dxa"/>
            <w:vAlign w:val="bottom"/>
          </w:tcPr>
          <w:p>
            <w:pPr>
              <w:spacing w:after="0"/>
              <w:rPr>
                <w:sz w:val="1"/>
                <w:szCs w:val="1"/>
                <w:color w:val="auto"/>
              </w:rPr>
            </w:pPr>
          </w:p>
        </w:tc>
      </w:tr>
      <w:tr>
        <w:trPr>
          <w:trHeight w:val="217"/>
        </w:trPr>
        <w:tc>
          <w:tcPr>
            <w:tcW w:w="3560" w:type="dxa"/>
            <w:vAlign w:val="bottom"/>
            <w:gridSpan w:val="2"/>
          </w:tcPr>
          <w:p>
            <w:pPr>
              <w:ind w:left="180"/>
              <w:spacing w:after="0"/>
              <w:rPr>
                <w:sz w:val="20"/>
                <w:szCs w:val="20"/>
                <w:color w:val="auto"/>
              </w:rPr>
            </w:pPr>
            <w:r>
              <w:rPr>
                <w:rFonts w:ascii="Arial" w:cs="Arial" w:eastAsia="Arial" w:hAnsi="Arial"/>
                <w:sz w:val="16"/>
                <w:szCs w:val="16"/>
                <w:color w:val="auto"/>
              </w:rPr>
              <w:t>Total commercial</w:t>
            </w: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8,699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4,775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10,400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23,874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6,468,239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61,361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6,553,474</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Residential mortgage</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1,090,040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1,108,242</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Home equity lines of credit</w:t>
            </w:r>
          </w:p>
        </w:tc>
        <w:tc>
          <w:tcPr>
            <w:tcW w:w="3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2,408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3,760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670,052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675,184</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Residential construction</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216,962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218,607</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Consumer direct</w:t>
            </w:r>
          </w:p>
        </w:tc>
        <w:tc>
          <w:tcPr>
            <w:tcW w:w="3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745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846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126,670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127,966</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Indirect auto</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153,637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154,745</w:t>
            </w:r>
          </w:p>
        </w:tc>
        <w:tc>
          <w:tcPr>
            <w:tcW w:w="0" w:type="dxa"/>
            <w:vAlign w:val="bottom"/>
          </w:tcPr>
          <w:p>
            <w:pPr>
              <w:spacing w:after="0"/>
              <w:rPr>
                <w:sz w:val="1"/>
                <w:szCs w:val="1"/>
                <w:color w:val="auto"/>
              </w:rPr>
            </w:pPr>
          </w:p>
        </w:tc>
      </w:tr>
      <w:tr>
        <w:trPr>
          <w:trHeight w:val="244"/>
        </w:trPr>
        <w:tc>
          <w:tcPr>
            <w:tcW w:w="3560" w:type="dxa"/>
            <w:vAlign w:val="bottom"/>
            <w:gridSpan w:val="2"/>
          </w:tcPr>
          <w:p>
            <w:pPr>
              <w:ind w:left="180"/>
              <w:spacing w:after="0"/>
              <w:rPr>
                <w:sz w:val="20"/>
                <w:szCs w:val="20"/>
                <w:color w:val="auto"/>
              </w:rPr>
            </w:pPr>
            <w:r>
              <w:rPr>
                <w:rFonts w:ascii="Arial" w:cs="Arial" w:eastAsia="Arial" w:hAnsi="Arial"/>
                <w:sz w:val="16"/>
                <w:szCs w:val="16"/>
                <w:color w:val="auto"/>
              </w:rPr>
              <w:t>Total loans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17,826</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7,868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13,701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39,395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8,725,600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73,223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8,838,218</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5"/>
          </w:tcPr>
          <w:p>
            <w:pPr>
              <w:ind w:left="220"/>
              <w:spacing w:after="0"/>
              <w:rPr>
                <w:sz w:val="20"/>
                <w:szCs w:val="20"/>
                <w:color w:val="auto"/>
              </w:rPr>
            </w:pPr>
            <w:r>
              <w:rPr>
                <w:rFonts w:ascii="Arial" w:cs="Arial" w:eastAsia="Arial" w:hAnsi="Arial"/>
                <w:sz w:val="16"/>
                <w:szCs w:val="16"/>
                <w:b w:val="1"/>
                <w:bCs w:val="1"/>
                <w:color w:val="auto"/>
              </w:rPr>
              <w:t>Loans Past Due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Loans Not</w:t>
            </w: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6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December 31, 2018</w:t>
            </w:r>
          </w:p>
        </w:tc>
        <w:tc>
          <w:tcPr>
            <w:tcW w:w="1180" w:type="dxa"/>
            <w:vAlign w:val="bottom"/>
            <w:gridSpan w:val="3"/>
          </w:tcPr>
          <w:p>
            <w:pPr>
              <w:ind w:left="100"/>
              <w:spacing w:after="0"/>
              <w:rPr>
                <w:sz w:val="20"/>
                <w:szCs w:val="20"/>
                <w:color w:val="auto"/>
              </w:rPr>
            </w:pPr>
            <w:r>
              <w:rPr>
                <w:rFonts w:ascii="Arial" w:cs="Arial" w:eastAsia="Arial" w:hAnsi="Arial"/>
                <w:sz w:val="16"/>
                <w:szCs w:val="16"/>
                <w:b w:val="1"/>
                <w:bCs w:val="1"/>
                <w:color w:val="auto"/>
              </w:rPr>
              <w:t>30 - 59 Days</w:t>
            </w:r>
          </w:p>
        </w:tc>
        <w:tc>
          <w:tcPr>
            <w:tcW w:w="1160" w:type="dxa"/>
            <w:vAlign w:val="bottom"/>
            <w:gridSpan w:val="3"/>
          </w:tcPr>
          <w:p>
            <w:pPr>
              <w:ind w:left="100"/>
              <w:spacing w:after="0"/>
              <w:rPr>
                <w:sz w:val="20"/>
                <w:szCs w:val="20"/>
                <w:color w:val="auto"/>
              </w:rPr>
            </w:pPr>
            <w:r>
              <w:rPr>
                <w:rFonts w:ascii="Arial" w:cs="Arial" w:eastAsia="Arial" w:hAnsi="Arial"/>
                <w:sz w:val="16"/>
                <w:szCs w:val="16"/>
                <w:b w:val="1"/>
                <w:bCs w:val="1"/>
                <w:color w:val="auto"/>
              </w:rPr>
              <w:t>60 - 89 Days</w:t>
            </w:r>
          </w:p>
        </w:tc>
        <w:tc>
          <w:tcPr>
            <w:tcW w:w="16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&gt; 90 Days</w:t>
            </w:r>
          </w:p>
        </w:tc>
        <w:tc>
          <w:tcPr>
            <w:tcW w:w="220" w:type="dxa"/>
            <w:vAlign w:val="bottom"/>
          </w:tcPr>
          <w:p>
            <w:pPr>
              <w:spacing w:after="0"/>
              <w:rPr>
                <w:sz w:val="18"/>
                <w:szCs w:val="18"/>
                <w:color w:val="auto"/>
              </w:rPr>
            </w:pPr>
          </w:p>
        </w:tc>
        <w:tc>
          <w:tcPr>
            <w:tcW w:w="90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Past Due</w:t>
            </w: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PCI Loans</w:t>
            </w:r>
          </w:p>
        </w:tc>
        <w:tc>
          <w:tcPr>
            <w:tcW w:w="180" w:type="dxa"/>
            <w:vAlign w:val="bottom"/>
          </w:tcPr>
          <w:p>
            <w:pPr>
              <w:spacing w:after="0"/>
              <w:rPr>
                <w:sz w:val="18"/>
                <w:szCs w:val="18"/>
                <w:color w:val="auto"/>
              </w:rPr>
            </w:pPr>
          </w:p>
        </w:tc>
        <w:tc>
          <w:tcPr>
            <w:tcW w:w="84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Owner occupied commercial real estate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2,542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1,631,602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9,852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1,647,904</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Income producing commercial real estate</w:t>
            </w:r>
          </w:p>
        </w:tc>
        <w:tc>
          <w:tcPr>
            <w:tcW w:w="3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1,624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2,216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1,771,893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38,311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1,812,420</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Commercial &amp; industrial</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8,307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1,269,632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1,278,347</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Commercial construction</w:t>
            </w:r>
          </w:p>
        </w:tc>
        <w:tc>
          <w:tcPr>
            <w:tcW w:w="3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267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789,916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5,907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796,158</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Equipment financing</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551,924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564,614</w:t>
            </w:r>
          </w:p>
        </w:tc>
        <w:tc>
          <w:tcPr>
            <w:tcW w:w="0" w:type="dxa"/>
            <w:vAlign w:val="bottom"/>
          </w:tcPr>
          <w:p>
            <w:pPr>
              <w:spacing w:after="0"/>
              <w:rPr>
                <w:sz w:val="1"/>
                <w:szCs w:val="1"/>
                <w:color w:val="auto"/>
              </w:rPr>
            </w:pPr>
          </w:p>
        </w:tc>
      </w:tr>
      <w:tr>
        <w:trPr>
          <w:trHeight w:val="217"/>
        </w:trPr>
        <w:tc>
          <w:tcPr>
            <w:tcW w:w="3560" w:type="dxa"/>
            <w:vAlign w:val="bottom"/>
            <w:gridSpan w:val="2"/>
          </w:tcPr>
          <w:p>
            <w:pPr>
              <w:ind w:left="180"/>
              <w:spacing w:after="0"/>
              <w:rPr>
                <w:sz w:val="20"/>
                <w:szCs w:val="20"/>
                <w:color w:val="auto"/>
              </w:rPr>
            </w:pPr>
            <w:r>
              <w:rPr>
                <w:rFonts w:ascii="Arial" w:cs="Arial" w:eastAsia="Arial" w:hAnsi="Arial"/>
                <w:sz w:val="16"/>
                <w:szCs w:val="16"/>
                <w:color w:val="auto"/>
              </w:rPr>
              <w:t>Total commercial</w:t>
            </w:r>
          </w:p>
        </w:tc>
        <w:tc>
          <w:tcPr>
            <w:tcW w:w="3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12,973</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4,645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4,438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22,056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6,014,967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62,420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6,099,443</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Residential mortgage</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1,030,883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1,049,232</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Home equity lines of credit</w:t>
            </w:r>
          </w:p>
        </w:tc>
        <w:tc>
          <w:tcPr>
            <w:tcW w:w="3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2,112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3,878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688,520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694,010</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Residential construction</w:t>
            </w:r>
          </w:p>
        </w:tc>
        <w:tc>
          <w:tcPr>
            <w:tcW w:w="3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209,515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211,011</w:t>
            </w:r>
          </w:p>
        </w:tc>
        <w:tc>
          <w:tcPr>
            <w:tcW w:w="0" w:type="dxa"/>
            <w:vAlign w:val="bottom"/>
          </w:tcPr>
          <w:p>
            <w:pPr>
              <w:spacing w:after="0"/>
              <w:rPr>
                <w:sz w:val="1"/>
                <w:szCs w:val="1"/>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6"/>
                <w:szCs w:val="16"/>
                <w:color w:val="auto"/>
              </w:rPr>
              <w:t>Consumer direct</w:t>
            </w:r>
          </w:p>
        </w:tc>
        <w:tc>
          <w:tcPr>
            <w:tcW w:w="30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120,777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122,013</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Indirect auto</w:t>
            </w:r>
          </w:p>
        </w:tc>
        <w:tc>
          <w:tcPr>
            <w:tcW w:w="3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205,986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207,692</w:t>
            </w:r>
          </w:p>
        </w:tc>
        <w:tc>
          <w:tcPr>
            <w:tcW w:w="0" w:type="dxa"/>
            <w:vAlign w:val="bottom"/>
          </w:tcPr>
          <w:p>
            <w:pPr>
              <w:spacing w:after="0"/>
              <w:rPr>
                <w:sz w:val="1"/>
                <w:szCs w:val="1"/>
                <w:color w:val="auto"/>
              </w:rPr>
            </w:pPr>
          </w:p>
        </w:tc>
      </w:tr>
      <w:tr>
        <w:trPr>
          <w:trHeight w:val="244"/>
        </w:trPr>
        <w:tc>
          <w:tcPr>
            <w:tcW w:w="3560" w:type="dxa"/>
            <w:vAlign w:val="bottom"/>
            <w:gridSpan w:val="2"/>
          </w:tcPr>
          <w:p>
            <w:pPr>
              <w:ind w:left="180"/>
              <w:spacing w:after="0"/>
              <w:rPr>
                <w:sz w:val="20"/>
                <w:szCs w:val="20"/>
                <w:color w:val="auto"/>
              </w:rPr>
            </w:pPr>
            <w:r>
              <w:rPr>
                <w:rFonts w:ascii="Arial" w:cs="Arial" w:eastAsia="Arial" w:hAnsi="Arial"/>
                <w:sz w:val="16"/>
                <w:szCs w:val="16"/>
                <w:color w:val="auto"/>
              </w:rPr>
              <w:t>Total loans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22,405</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7,765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8,134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38,304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8,270,648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74,449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8,383,401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categorizes commercial loans, with the exception of equipment financing receivables,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Watch. </w:t>
      </w:r>
      <w:r>
        <w:rPr>
          <w:rFonts w:ascii="Arial" w:cs="Arial" w:eastAsia="Arial" w:hAnsi="Arial"/>
          <w:sz w:val="18"/>
          <w:szCs w:val="18"/>
          <w:color w:val="auto"/>
        </w:rPr>
        <w:t>Loans in this category are presently protected from apparent loss; however, weaknesses exist that could cause future impairment,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reliable secondary source of full repayment.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 off.</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Equipment Financing Receivables and Consumer Purpose Loans. </w:t>
      </w:r>
      <w:r>
        <w:rPr>
          <w:rFonts w:ascii="Arial" w:cs="Arial" w:eastAsia="Arial" w:hAnsi="Arial"/>
          <w:sz w:val="18"/>
          <w:szCs w:val="18"/>
          <w:color w:val="auto"/>
        </w:rPr>
        <w:t>United applies a pass / fail grading system to all equipment financing receivables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 purpose loans. Under the pass / fail grading system, loans that become past due 90 days or are in bankruptcy are classified as “fail” and all other loans are classified as “pass”. For reporting purposes, loans in these categories that are classified as “fail” are reported in the substandard column and all other loans are reported in the “pass” column.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Loans not meeting the criteria above that are analyzed individually as part of the above described process are considered to be pass rated loans.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Based on the most recent analysis performed, the risk category of loans by class of loans as of the dates indicated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3"/>
                <w:szCs w:val="13"/>
                <w:b w:val="1"/>
                <w:bCs w:val="1"/>
                <w:color w:val="auto"/>
              </w:rPr>
              <w:t>Doubtful /</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8"/>
        </w:trPr>
        <w:tc>
          <w:tcPr>
            <w:tcW w:w="4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tcPr>
          <w:p>
            <w:pPr>
              <w:ind w:left="200"/>
              <w:spacing w:after="0"/>
              <w:rPr>
                <w:sz w:val="20"/>
                <w:szCs w:val="20"/>
                <w:color w:val="auto"/>
              </w:rPr>
            </w:pPr>
            <w:r>
              <w:rPr>
                <w:rFonts w:ascii="Arial" w:cs="Arial" w:eastAsia="Arial" w:hAnsi="Arial"/>
                <w:sz w:val="13"/>
                <w:szCs w:val="13"/>
                <w:b w:val="1"/>
                <w:bCs w:val="1"/>
                <w:color w:val="auto"/>
              </w:rPr>
              <w:t>Pass</w:t>
            </w:r>
          </w:p>
        </w:tc>
        <w:tc>
          <w:tcPr>
            <w:tcW w:w="260" w:type="dxa"/>
            <w:vAlign w:val="bottom"/>
          </w:tcPr>
          <w:p>
            <w:pPr>
              <w:spacing w:after="0"/>
              <w:rPr>
                <w:sz w:val="15"/>
                <w:szCs w:val="15"/>
                <w:color w:val="auto"/>
              </w:rPr>
            </w:pPr>
          </w:p>
        </w:tc>
        <w:tc>
          <w:tcPr>
            <w:tcW w:w="1100" w:type="dxa"/>
            <w:vAlign w:val="bottom"/>
            <w:gridSpan w:val="2"/>
          </w:tcPr>
          <w:p>
            <w:pPr>
              <w:ind w:left="180"/>
              <w:spacing w:after="0"/>
              <w:rPr>
                <w:sz w:val="20"/>
                <w:szCs w:val="20"/>
                <w:color w:val="auto"/>
              </w:rPr>
            </w:pPr>
            <w:r>
              <w:rPr>
                <w:rFonts w:ascii="Arial" w:cs="Arial" w:eastAsia="Arial" w:hAnsi="Arial"/>
                <w:sz w:val="13"/>
                <w:szCs w:val="13"/>
                <w:b w:val="1"/>
                <w:bCs w:val="1"/>
                <w:color w:val="auto"/>
              </w:rPr>
              <w:t>Watch</w:t>
            </w:r>
          </w:p>
        </w:tc>
        <w:tc>
          <w:tcPr>
            <w:tcW w:w="22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Arial" w:cs="Arial" w:eastAsia="Arial" w:hAnsi="Arial"/>
                <w:sz w:val="13"/>
                <w:szCs w:val="13"/>
                <w:b w:val="1"/>
                <w:bCs w:val="1"/>
                <w:color w:val="auto"/>
              </w:rPr>
              <w:t>Substandard</w:t>
            </w:r>
          </w:p>
        </w:tc>
        <w:tc>
          <w:tcPr>
            <w:tcW w:w="220" w:type="dxa"/>
            <w:vAlign w:val="bottom"/>
          </w:tcPr>
          <w:p>
            <w:pPr>
              <w:spacing w:after="0"/>
              <w:rPr>
                <w:sz w:val="15"/>
                <w:szCs w:val="15"/>
                <w:color w:val="auto"/>
              </w:rPr>
            </w:pPr>
          </w:p>
        </w:tc>
        <w:tc>
          <w:tcPr>
            <w:tcW w:w="1140" w:type="dxa"/>
            <w:vAlign w:val="bottom"/>
            <w:gridSpan w:val="2"/>
          </w:tcPr>
          <w:p>
            <w:pPr>
              <w:ind w:left="280"/>
              <w:spacing w:after="0"/>
              <w:rPr>
                <w:sz w:val="20"/>
                <w:szCs w:val="20"/>
                <w:color w:val="auto"/>
              </w:rPr>
            </w:pPr>
            <w:r>
              <w:rPr>
                <w:rFonts w:ascii="Arial" w:cs="Arial" w:eastAsia="Arial" w:hAnsi="Arial"/>
                <w:sz w:val="13"/>
                <w:szCs w:val="13"/>
                <w:b w:val="1"/>
                <w:bCs w:val="1"/>
                <w:color w:val="auto"/>
              </w:rPr>
              <w:t>Loss</w:t>
            </w:r>
          </w:p>
        </w:tc>
        <w:tc>
          <w:tcPr>
            <w:tcW w:w="280" w:type="dxa"/>
            <w:vAlign w:val="bottom"/>
          </w:tcPr>
          <w:p>
            <w:pPr>
              <w:spacing w:after="0"/>
              <w:rPr>
                <w:sz w:val="15"/>
                <w:szCs w:val="15"/>
                <w:color w:val="auto"/>
              </w:rPr>
            </w:pPr>
          </w:p>
        </w:tc>
        <w:tc>
          <w:tcPr>
            <w:tcW w:w="960" w:type="dxa"/>
            <w:vAlign w:val="bottom"/>
          </w:tcPr>
          <w:p>
            <w:pPr>
              <w:jc w:val="right"/>
              <w:ind w:right="415"/>
              <w:spacing w:after="0"/>
              <w:rPr>
                <w:sz w:val="20"/>
                <w:szCs w:val="20"/>
                <w:color w:val="auto"/>
              </w:rPr>
            </w:pPr>
            <w:r>
              <w:rPr>
                <w:rFonts w:ascii="Arial" w:cs="Arial" w:eastAsia="Arial" w:hAnsi="Arial"/>
                <w:sz w:val="13"/>
                <w:szCs w:val="13"/>
                <w:b w:val="1"/>
                <w:bCs w:val="1"/>
                <w:color w:val="auto"/>
              </w:rPr>
              <w:t>Total</w:t>
            </w:r>
          </w:p>
        </w:tc>
      </w:tr>
      <w:tr>
        <w:trPr>
          <w:trHeight w:val="250"/>
        </w:trPr>
        <w:tc>
          <w:tcPr>
            <w:tcW w:w="4460" w:type="dxa"/>
            <w:vAlign w:val="bottom"/>
            <w:tcBorders>
              <w:top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As of June 30, 2019</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r>
      <w:tr>
        <w:trPr>
          <w:trHeight w:val="249"/>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Owner occupied commercial real estate</w:t>
            </w:r>
          </w:p>
        </w:tc>
        <w:tc>
          <w:tcPr>
            <w:tcW w:w="32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1,579,711</w:t>
            </w:r>
          </w:p>
        </w:tc>
        <w:tc>
          <w:tcPr>
            <w:tcW w:w="140" w:type="dxa"/>
            <w:vAlign w:val="bottom"/>
          </w:tcPr>
          <w:p>
            <w:pPr>
              <w:spacing w:after="0"/>
              <w:rPr>
                <w:sz w:val="21"/>
                <w:szCs w:val="21"/>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27,233</w:t>
            </w:r>
          </w:p>
        </w:tc>
        <w:tc>
          <w:tcPr>
            <w:tcW w:w="100" w:type="dxa"/>
            <w:vAlign w:val="bottom"/>
          </w:tcPr>
          <w:p>
            <w:pPr>
              <w:spacing w:after="0"/>
              <w:rPr>
                <w:sz w:val="21"/>
                <w:szCs w:val="21"/>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40,570</w:t>
            </w:r>
          </w:p>
        </w:tc>
        <w:tc>
          <w:tcPr>
            <w:tcW w:w="100" w:type="dxa"/>
            <w:vAlign w:val="bottom"/>
          </w:tcPr>
          <w:p>
            <w:pPr>
              <w:spacing w:after="0"/>
              <w:rPr>
                <w:sz w:val="21"/>
                <w:szCs w:val="21"/>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1,647,514</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1,849,627</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26,694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26,159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1,902,480</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Commercial &amp; industrial</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1,223,909</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38,156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36,204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1,298,269</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Commercial construction</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962,073</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6,505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6,963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975,541</w:t>
            </w:r>
          </w:p>
        </w:tc>
      </w:tr>
      <w:tr>
        <w:trPr>
          <w:trHeight w:val="264"/>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Equipment financing</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666,262</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2,047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668,309</w:t>
            </w:r>
          </w:p>
        </w:tc>
      </w:tr>
      <w:tr>
        <w:trPr>
          <w:trHeight w:val="257"/>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commercial</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6,281,582</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98,588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111,943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6,492,113</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Residential mortgage</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1,087,280</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11,552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1,098,832</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Home equity lines of credit</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670,414</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3,398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673,812</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Residential construction</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217,288</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689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217,977</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Consumer direct</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127,127</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389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127,516</w:t>
            </w:r>
          </w:p>
        </w:tc>
      </w:tr>
      <w:tr>
        <w:trPr>
          <w:trHeight w:val="264"/>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Indirect auto</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152,893</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1,852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154,745</w:t>
            </w:r>
          </w:p>
        </w:tc>
      </w:tr>
      <w:tr>
        <w:trPr>
          <w:trHeight w:val="250"/>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loans, excluding PCI loans</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8,536,584</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98,588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129,823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8,764,995</w:t>
            </w:r>
          </w:p>
        </w:tc>
      </w:tr>
      <w:tr>
        <w:trPr>
          <w:trHeight w:val="243"/>
        </w:trPr>
        <w:tc>
          <w:tcPr>
            <w:tcW w:w="4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70"/>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Owner occupied commercial real estate</w:t>
            </w: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3,496</w:t>
            </w:r>
          </w:p>
        </w:tc>
        <w:tc>
          <w:tcPr>
            <w:tcW w:w="1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5,247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2,257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11,000</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26,046</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9,652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1,391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37,089</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Commercial &amp; industrial</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301</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177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525</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Commercial construction</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4,143</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617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2,438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7,198</w:t>
            </w:r>
          </w:p>
        </w:tc>
      </w:tr>
      <w:tr>
        <w:trPr>
          <w:trHeight w:val="272"/>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Equipment financing</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5,435</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5,549</w:t>
            </w:r>
          </w:p>
        </w:tc>
      </w:tr>
      <w:tr>
        <w:trPr>
          <w:trHeight w:val="249"/>
        </w:trPr>
        <w:tc>
          <w:tcPr>
            <w:tcW w:w="4580" w:type="dxa"/>
            <w:vAlign w:val="bottom"/>
            <w:gridSpan w:val="2"/>
          </w:tcPr>
          <w:p>
            <w:pPr>
              <w:ind w:left="180"/>
              <w:spacing w:after="0"/>
              <w:rPr>
                <w:sz w:val="20"/>
                <w:szCs w:val="20"/>
                <w:color w:val="auto"/>
              </w:rPr>
            </w:pPr>
            <w:r>
              <w:rPr>
                <w:rFonts w:ascii="Arial" w:cs="Arial" w:eastAsia="Arial" w:hAnsi="Arial"/>
                <w:sz w:val="13"/>
                <w:szCs w:val="13"/>
                <w:color w:val="auto"/>
              </w:rPr>
              <w:t>Total commercial</w:t>
            </w:r>
          </w:p>
        </w:tc>
        <w:tc>
          <w:tcPr>
            <w:tcW w:w="32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39,421</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15,563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6,377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61,361</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Residential mortgage</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7,964</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267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1,179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9,410</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Home equity lines of credit</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1,287</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1,372</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Residential construction</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588</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630</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Consumer direct</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413</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450</w:t>
            </w:r>
          </w:p>
        </w:tc>
      </w:tr>
      <w:tr>
        <w:trPr>
          <w:trHeight w:val="272"/>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Indirect auto</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r>
      <w:tr>
        <w:trPr>
          <w:trHeight w:val="250"/>
        </w:trPr>
        <w:tc>
          <w:tcPr>
            <w:tcW w:w="4580" w:type="dxa"/>
            <w:vAlign w:val="bottom"/>
            <w:gridSpan w:val="2"/>
          </w:tcPr>
          <w:p>
            <w:pPr>
              <w:ind w:left="180"/>
              <w:spacing w:after="0"/>
              <w:rPr>
                <w:sz w:val="20"/>
                <w:szCs w:val="20"/>
                <w:color w:val="auto"/>
              </w:rPr>
            </w:pPr>
            <w:r>
              <w:rPr>
                <w:rFonts w:ascii="Arial" w:cs="Arial" w:eastAsia="Arial" w:hAnsi="Arial"/>
                <w:sz w:val="13"/>
                <w:szCs w:val="13"/>
                <w:color w:val="auto"/>
              </w:rPr>
              <w:t>Total PCI loans</w:t>
            </w:r>
          </w:p>
        </w:tc>
        <w:tc>
          <w:tcPr>
            <w:tcW w:w="32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49,673</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15,841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7,709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73,223</w:t>
            </w:r>
          </w:p>
        </w:tc>
      </w:tr>
      <w:tr>
        <w:trPr>
          <w:trHeight w:val="243"/>
        </w:trPr>
        <w:tc>
          <w:tcPr>
            <w:tcW w:w="44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r>
      <w:tr>
        <w:trPr>
          <w:trHeight w:val="295"/>
        </w:trPr>
        <w:tc>
          <w:tcPr>
            <w:tcW w:w="4580" w:type="dxa"/>
            <w:vAlign w:val="bottom"/>
            <w:gridSpan w:val="2"/>
          </w:tcPr>
          <w:p>
            <w:pPr>
              <w:ind w:left="280"/>
              <w:spacing w:after="0"/>
              <w:rPr>
                <w:sz w:val="20"/>
                <w:szCs w:val="20"/>
                <w:color w:val="auto"/>
              </w:rPr>
            </w:pPr>
            <w:r>
              <w:rPr>
                <w:rFonts w:ascii="Arial" w:cs="Arial" w:eastAsia="Arial" w:hAnsi="Arial"/>
                <w:sz w:val="13"/>
                <w:szCs w:val="13"/>
                <w:color w:val="auto"/>
              </w:rPr>
              <w:t>Total loan portfolio</w:t>
            </w:r>
          </w:p>
        </w:tc>
        <w:tc>
          <w:tcPr>
            <w:tcW w:w="320" w:type="dxa"/>
            <w:vAlign w:val="bottom"/>
          </w:tcPr>
          <w:p>
            <w:pPr>
              <w:jc w:val="right"/>
              <w:ind w:right="155"/>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8,586,257</w:t>
            </w:r>
          </w:p>
        </w:tc>
        <w:tc>
          <w:tcPr>
            <w:tcW w:w="140" w:type="dxa"/>
            <w:vAlign w:val="bottom"/>
          </w:tcPr>
          <w:p>
            <w:pPr>
              <w:spacing w:after="0"/>
              <w:rPr>
                <w:sz w:val="24"/>
                <w:szCs w:val="24"/>
                <w:color w:val="auto"/>
              </w:rPr>
            </w:pPr>
          </w:p>
        </w:tc>
        <w:tc>
          <w:tcPr>
            <w:tcW w:w="260" w:type="dxa"/>
            <w:vAlign w:val="bottom"/>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114,429</w:t>
            </w:r>
          </w:p>
        </w:tc>
        <w:tc>
          <w:tcPr>
            <w:tcW w:w="100" w:type="dxa"/>
            <w:vAlign w:val="bottom"/>
          </w:tcPr>
          <w:p>
            <w:pPr>
              <w:spacing w:after="0"/>
              <w:rPr>
                <w:sz w:val="24"/>
                <w:szCs w:val="24"/>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137,532</w:t>
            </w:r>
          </w:p>
        </w:tc>
        <w:tc>
          <w:tcPr>
            <w:tcW w:w="100" w:type="dxa"/>
            <w:vAlign w:val="bottom"/>
          </w:tcPr>
          <w:p>
            <w:pPr>
              <w:spacing w:after="0"/>
              <w:rPr>
                <w:sz w:val="24"/>
                <w:szCs w:val="24"/>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8,838,218</w:t>
            </w:r>
          </w:p>
        </w:tc>
      </w:tr>
      <w:tr>
        <w:trPr>
          <w:trHeight w:val="225"/>
        </w:trPr>
        <w:tc>
          <w:tcPr>
            <w:tcW w:w="44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r>
      <w:tr>
        <w:trPr>
          <w:trHeight w:val="264"/>
        </w:trPr>
        <w:tc>
          <w:tcPr>
            <w:tcW w:w="44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As of December 31, 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r>
      <w:tr>
        <w:trPr>
          <w:trHeight w:val="257"/>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Owner occupied commercial real estate</w:t>
            </w:r>
          </w:p>
        </w:tc>
        <w:tc>
          <w:tcPr>
            <w:tcW w:w="32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1,585,797</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15"/>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16,651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35,604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ind w:right="135"/>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1,638,052</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1,735,456</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20,923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17,730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1,774,109</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Commercial &amp; industrial</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1,247,206</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8,430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22,303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1,277,939</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Commercial construction</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777,780</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4,533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7,938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790,251</w:t>
            </w:r>
          </w:p>
        </w:tc>
      </w:tr>
      <w:tr>
        <w:trPr>
          <w:trHeight w:val="272"/>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Equipment financing</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553,995</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2,677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556,672</w:t>
            </w:r>
          </w:p>
        </w:tc>
      </w:tr>
      <w:tr>
        <w:trPr>
          <w:trHeight w:val="249"/>
        </w:trPr>
        <w:tc>
          <w:tcPr>
            <w:tcW w:w="4580" w:type="dxa"/>
            <w:vAlign w:val="bottom"/>
            <w:gridSpan w:val="2"/>
          </w:tcPr>
          <w:p>
            <w:pPr>
              <w:ind w:left="180"/>
              <w:spacing w:after="0"/>
              <w:rPr>
                <w:sz w:val="20"/>
                <w:szCs w:val="20"/>
                <w:color w:val="auto"/>
              </w:rPr>
            </w:pPr>
            <w:r>
              <w:rPr>
                <w:rFonts w:ascii="Arial" w:cs="Arial" w:eastAsia="Arial" w:hAnsi="Arial"/>
                <w:sz w:val="13"/>
                <w:szCs w:val="13"/>
                <w:color w:val="auto"/>
              </w:rPr>
              <w:t>Total commercial</w:t>
            </w:r>
          </w:p>
        </w:tc>
        <w:tc>
          <w:tcPr>
            <w:tcW w:w="32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5,900,234</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50,537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86,252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6,037,023</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Residential mortgage</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1,028,660</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11,422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1,040,082</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Home equity lines of credit</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688,493</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3,905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692,398</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Residential construction</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209,744</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533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210,277</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Consumer direct</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121,247</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214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121,480</w:t>
            </w:r>
          </w:p>
        </w:tc>
      </w:tr>
      <w:tr>
        <w:trPr>
          <w:trHeight w:val="272"/>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Indirect auto</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205,632</w:t>
            </w:r>
          </w:p>
        </w:tc>
        <w:tc>
          <w:tcPr>
            <w:tcW w:w="14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2,060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207,692</w:t>
            </w:r>
          </w:p>
        </w:tc>
      </w:tr>
      <w:tr>
        <w:trPr>
          <w:trHeight w:val="250"/>
        </w:trPr>
        <w:tc>
          <w:tcPr>
            <w:tcW w:w="4580" w:type="dxa"/>
            <w:vAlign w:val="bottom"/>
            <w:gridSpan w:val="2"/>
          </w:tcPr>
          <w:p>
            <w:pPr>
              <w:ind w:left="180"/>
              <w:spacing w:after="0"/>
              <w:rPr>
                <w:sz w:val="20"/>
                <w:szCs w:val="20"/>
                <w:color w:val="auto"/>
              </w:rPr>
            </w:pPr>
            <w:r>
              <w:rPr>
                <w:rFonts w:ascii="Arial" w:cs="Arial" w:eastAsia="Arial" w:hAnsi="Arial"/>
                <w:sz w:val="13"/>
                <w:szCs w:val="13"/>
                <w:color w:val="auto"/>
              </w:rPr>
              <w:t>Total loans, excluding PCI loans</w:t>
            </w:r>
          </w:p>
        </w:tc>
        <w:tc>
          <w:tcPr>
            <w:tcW w:w="320" w:type="dxa"/>
            <w:vAlign w:val="bottom"/>
          </w:tcPr>
          <w:p>
            <w:pPr>
              <w:spacing w:after="0"/>
              <w:rPr>
                <w:sz w:val="21"/>
                <w:szCs w:val="21"/>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8,154,010</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50,556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104,386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8,308,952</w:t>
            </w:r>
          </w:p>
        </w:tc>
      </w:tr>
      <w:tr>
        <w:trPr>
          <w:trHeight w:val="243"/>
        </w:trPr>
        <w:tc>
          <w:tcPr>
            <w:tcW w:w="44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Owner occupied commercial real estate</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3,352</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2,774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3,726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9,852</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Income producing commercial real estate</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23,430</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13,403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1,478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38,311</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Commercial &amp; industrial</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266</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408</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Commercial construction</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3,503</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188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2,216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5,907</w:t>
            </w:r>
          </w:p>
        </w:tc>
      </w:tr>
      <w:tr>
        <w:trPr>
          <w:trHeight w:val="264"/>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Equipment financing</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7,725</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217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7,942</w:t>
            </w:r>
          </w:p>
        </w:tc>
      </w:tr>
      <w:tr>
        <w:trPr>
          <w:trHeight w:val="257"/>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commercial</w:t>
            </w:r>
          </w:p>
        </w:tc>
        <w:tc>
          <w:tcPr>
            <w:tcW w:w="3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38,276</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16,413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7,731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62,420</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Residential mortgage</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6,914</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2,236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9,150</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Home equity lines of credit</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1,492</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1,612</w:t>
            </w:r>
          </w:p>
        </w:tc>
      </w:tr>
      <w:tr>
        <w:trPr>
          <w:trHeight w:val="262"/>
        </w:trPr>
        <w:tc>
          <w:tcPr>
            <w:tcW w:w="4580" w:type="dxa"/>
            <w:vAlign w:val="bottom"/>
            <w:gridSpan w:val="2"/>
          </w:tcPr>
          <w:p>
            <w:pPr>
              <w:ind w:left="40"/>
              <w:spacing w:after="0"/>
              <w:rPr>
                <w:sz w:val="20"/>
                <w:szCs w:val="20"/>
                <w:color w:val="auto"/>
              </w:rPr>
            </w:pPr>
            <w:r>
              <w:rPr>
                <w:rFonts w:ascii="Arial" w:cs="Arial" w:eastAsia="Arial" w:hAnsi="Arial"/>
                <w:sz w:val="13"/>
                <w:szCs w:val="13"/>
                <w:color w:val="auto"/>
              </w:rPr>
              <w:t>Residential construction</w:t>
            </w:r>
          </w:p>
        </w:tc>
        <w:tc>
          <w:tcPr>
            <w:tcW w:w="320" w:type="dxa"/>
            <w:vAlign w:val="bottom"/>
          </w:tcPr>
          <w:p>
            <w:pPr>
              <w:spacing w:after="0"/>
              <w:rPr>
                <w:sz w:val="22"/>
                <w:szCs w:val="22"/>
                <w:color w:val="auto"/>
              </w:rPr>
            </w:pPr>
          </w:p>
        </w:tc>
        <w:tc>
          <w:tcPr>
            <w:tcW w:w="960" w:type="dxa"/>
            <w:vAlign w:val="bottom"/>
          </w:tcPr>
          <w:p>
            <w:pPr>
              <w:jc w:val="right"/>
              <w:ind w:right="55"/>
              <w:spacing w:after="0"/>
              <w:rPr>
                <w:sz w:val="20"/>
                <w:szCs w:val="20"/>
                <w:color w:val="auto"/>
              </w:rPr>
            </w:pPr>
            <w:r>
              <w:rPr>
                <w:rFonts w:ascii="Arial" w:cs="Arial" w:eastAsia="Arial" w:hAnsi="Arial"/>
                <w:sz w:val="13"/>
                <w:szCs w:val="13"/>
                <w:color w:val="auto"/>
              </w:rPr>
              <w:t>687</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1140" w:type="dxa"/>
            <w:vAlign w:val="bottom"/>
          </w:tcPr>
          <w:p>
            <w:pPr>
              <w:jc w:val="right"/>
              <w:ind w:right="35"/>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22"/>
                <w:szCs w:val="22"/>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color w:val="auto"/>
              </w:rPr>
              <w:t>734</w:t>
            </w:r>
          </w:p>
        </w:tc>
      </w:tr>
      <w:tr>
        <w:trPr>
          <w:trHeight w:val="278"/>
        </w:trPr>
        <w:tc>
          <w:tcPr>
            <w:tcW w:w="45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Consumer direct</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5"/>
              <w:spacing w:after="0"/>
              <w:rPr>
                <w:sz w:val="20"/>
                <w:szCs w:val="20"/>
                <w:color w:val="auto"/>
              </w:rPr>
            </w:pPr>
            <w:r>
              <w:rPr>
                <w:rFonts w:ascii="Arial" w:cs="Arial" w:eastAsia="Arial" w:hAnsi="Arial"/>
                <w:sz w:val="13"/>
                <w:szCs w:val="13"/>
                <w:color w:val="auto"/>
              </w:rPr>
              <w:t>493</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3"/>
                <w:szCs w:val="13"/>
                <w:color w:val="auto"/>
              </w:rPr>
              <w:t>533</w:t>
            </w:r>
          </w:p>
        </w:tc>
      </w:tr>
      <w:tr>
        <w:trPr>
          <w:trHeight w:val="264"/>
        </w:trPr>
        <w:tc>
          <w:tcPr>
            <w:tcW w:w="4580" w:type="dxa"/>
            <w:vAlign w:val="bottom"/>
            <w:tcBorders>
              <w:bottom w:val="single" w:sz="8" w:color="CCEEFF"/>
            </w:tcBorders>
            <w:gridSpan w:val="2"/>
          </w:tcPr>
          <w:p>
            <w:pPr>
              <w:ind w:left="40"/>
              <w:spacing w:after="0"/>
              <w:rPr>
                <w:sz w:val="20"/>
                <w:szCs w:val="20"/>
                <w:color w:val="auto"/>
              </w:rPr>
            </w:pPr>
            <w:r>
              <w:rPr>
                <w:rFonts w:ascii="Arial" w:cs="Arial" w:eastAsia="Arial" w:hAnsi="Arial"/>
                <w:sz w:val="13"/>
                <w:szCs w:val="13"/>
                <w:color w:val="auto"/>
              </w:rPr>
              <w:t>Indirect auto</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
              <w:spacing w:after="0"/>
              <w:rPr>
                <w:sz w:val="20"/>
                <w:szCs w:val="20"/>
                <w:color w:val="auto"/>
              </w:rPr>
            </w:pPr>
            <w:r>
              <w:rPr>
                <w:rFonts w:ascii="Arial" w:cs="Arial" w:eastAsia="Arial" w:hAnsi="Arial"/>
                <w:sz w:val="13"/>
                <w:szCs w:val="13"/>
                <w:color w:val="auto"/>
              </w:rPr>
              <w:t>—</w:t>
            </w:r>
          </w:p>
        </w:tc>
      </w:tr>
      <w:tr>
        <w:trPr>
          <w:trHeight w:val="250"/>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Total PCI loans</w:t>
            </w:r>
          </w:p>
        </w:tc>
        <w:tc>
          <w:tcPr>
            <w:tcW w:w="3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3"/>
                <w:szCs w:val="13"/>
                <w:color w:val="auto"/>
              </w:rPr>
              <w:t>47,862</w:t>
            </w:r>
          </w:p>
        </w:tc>
        <w:tc>
          <w:tcPr>
            <w:tcW w:w="14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16,413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10,174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3"/>
                <w:szCs w:val="13"/>
                <w:color w:val="auto"/>
              </w:rPr>
              <w:t>74,449</w:t>
            </w:r>
          </w:p>
        </w:tc>
      </w:tr>
    </w:tbl>
    <w:p>
      <w:pPr>
        <w:sectPr>
          <w:pgSz w:w="11900" w:h="16838" w:orient="portrait"/>
          <w:cols w:equalWidth="0" w:num="1">
            <w:col w:w="11420"/>
          </w:cols>
          <w:pgMar w:left="240" w:top="121" w:right="239" w:bottom="0" w:gutter="0" w:footer="0" w:header="0"/>
        </w:sectPr>
      </w:pPr>
    </w:p>
    <w:bookmarkStart w:id="31" w:name="page32"/>
    <w:bookmarkEnd w:id="31"/>
    <w:p>
      <w:pPr>
        <w:spacing w:after="0"/>
        <w:tabs>
          <w:tab w:leader="none" w:pos="4320" w:val="left"/>
          <w:tab w:leader="none" w:pos="4920" w:val="left"/>
          <w:tab w:leader="none" w:pos="5720" w:val="left"/>
          <w:tab w:leader="none" w:pos="6500" w:val="left"/>
          <w:tab w:leader="none" w:pos="7100" w:val="left"/>
          <w:tab w:leader="none" w:pos="7900" w:val="left"/>
          <w:tab w:leader="none" w:pos="8560" w:val="left"/>
          <w:tab w:leader="none" w:pos="9540" w:val="left"/>
          <w:tab w:leader="none" w:pos="9900" w:val="left"/>
          <w:tab w:leader="none" w:pos="1050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157480</wp:posOffset>
            </wp:positionH>
            <wp:positionV relativeFrom="page">
              <wp:posOffset>149225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t>Total loan portfolio</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8,201,872</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66,969</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114,560</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1"/>
          <w:szCs w:val="11"/>
          <w:color w:val="auto"/>
        </w:rPr>
        <w:t>8,383,401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2734310</wp:posOffset>
            </wp:positionH>
            <wp:positionV relativeFrom="paragraph">
              <wp:posOffset>36830</wp:posOffset>
            </wp:positionV>
            <wp:extent cx="43395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ectPr>
          <w:pgSz w:w="11900" w:h="16838" w:orient="portrait"/>
          <w:cols w:equalWidth="0" w:num="1">
            <w:col w:w="11040"/>
          </w:cols>
          <w:pgMar w:left="520" w:top="31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040"/>
          </w:cols>
          <w:pgMar w:left="520" w:top="310" w:right="3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Reclassifications Out of Accumulated Other Comprehensive Income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presents the details regarding amounts reclassified out of accumulated other comprehensive income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0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Six Months Ended</w:t>
            </w:r>
          </w:p>
        </w:tc>
        <w:tc>
          <w:tcPr>
            <w:tcW w:w="3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0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Details about Accumulated Other</w:t>
            </w:r>
          </w:p>
        </w:tc>
        <w:tc>
          <w:tcPr>
            <w:tcW w:w="320" w:type="dxa"/>
            <w:vAlign w:val="bottom"/>
            <w:vMerge w:val="restart"/>
          </w:tcPr>
          <w:p>
            <w:pPr>
              <w:spacing w:after="0"/>
              <w:rPr>
                <w:sz w:val="18"/>
                <w:szCs w:val="18"/>
                <w:color w:val="auto"/>
              </w:rPr>
            </w:pPr>
          </w:p>
        </w:tc>
        <w:tc>
          <w:tcPr>
            <w:tcW w:w="210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June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Pr>
          <w:p>
            <w:pPr>
              <w:spacing w:after="0"/>
              <w:rPr>
                <w:sz w:val="18"/>
                <w:szCs w:val="18"/>
                <w:color w:val="auto"/>
              </w:rPr>
            </w:pPr>
          </w:p>
        </w:tc>
        <w:tc>
          <w:tcPr>
            <w:tcW w:w="3060" w:type="dxa"/>
            <w:vAlign w:val="bottom"/>
            <w:vMerge w:val="restart"/>
          </w:tcPr>
          <w:p>
            <w:pPr>
              <w:ind w:left="340"/>
              <w:spacing w:after="0"/>
              <w:rPr>
                <w:sz w:val="20"/>
                <w:szCs w:val="20"/>
                <w:color w:val="auto"/>
              </w:rPr>
            </w:pPr>
            <w:r>
              <w:rPr>
                <w:rFonts w:ascii="Arial" w:cs="Arial" w:eastAsia="Arial" w:hAnsi="Arial"/>
                <w:sz w:val="16"/>
                <w:szCs w:val="16"/>
                <w:b w:val="1"/>
                <w:bCs w:val="1"/>
                <w:color w:val="auto"/>
              </w:rPr>
              <w:t>Affected Line Item in the Statement</w:t>
            </w:r>
          </w:p>
        </w:tc>
        <w:tc>
          <w:tcPr>
            <w:tcW w:w="0" w:type="dxa"/>
            <w:vAlign w:val="bottom"/>
          </w:tcPr>
          <w:p>
            <w:pPr>
              <w:spacing w:after="0"/>
              <w:rPr>
                <w:sz w:val="1"/>
                <w:szCs w:val="1"/>
                <w:color w:val="auto"/>
              </w:rPr>
            </w:pPr>
          </w:p>
        </w:tc>
      </w:tr>
      <w:tr>
        <w:trPr>
          <w:trHeight w:val="33"/>
        </w:trPr>
        <w:tc>
          <w:tcPr>
            <w:tcW w:w="3000" w:type="dxa"/>
            <w:vAlign w:val="bottom"/>
            <w:vMerge w:val="continue"/>
          </w:tcPr>
          <w:p>
            <w:pPr>
              <w:spacing w:after="0"/>
              <w:rPr>
                <w:sz w:val="2"/>
                <w:szCs w:val="2"/>
                <w:color w:val="auto"/>
              </w:rPr>
            </w:pPr>
          </w:p>
        </w:tc>
        <w:tc>
          <w:tcPr>
            <w:tcW w:w="320" w:type="dxa"/>
            <w:vAlign w:val="bottom"/>
            <w:tcBorders>
              <w:bottom w:val="single" w:sz="8" w:color="auto"/>
            </w:tcBorders>
            <w:vMerge w:val="continue"/>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320" w:type="dxa"/>
            <w:vAlign w:val="bottom"/>
            <w:gridSpan w:val="2"/>
          </w:tcPr>
          <w:p>
            <w:pPr>
              <w:jc w:val="right"/>
              <w:ind w:right="519"/>
              <w:spacing w:after="0"/>
              <w:rPr>
                <w:sz w:val="20"/>
                <w:szCs w:val="20"/>
                <w:color w:val="auto"/>
              </w:rPr>
            </w:pPr>
            <w:r>
              <w:rPr>
                <w:rFonts w:ascii="Arial" w:cs="Arial" w:eastAsia="Arial" w:hAnsi="Arial"/>
                <w:sz w:val="16"/>
                <w:szCs w:val="16"/>
                <w:b w:val="1"/>
                <w:bCs w:val="1"/>
                <w:color w:val="auto"/>
                <w:w w:val="95"/>
              </w:rPr>
              <w:t>Comprehensive Income Components</w:t>
            </w: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3060" w:type="dxa"/>
            <w:vAlign w:val="bottom"/>
          </w:tcPr>
          <w:p>
            <w:pPr>
              <w:ind w:left="500"/>
              <w:spacing w:after="0"/>
              <w:rPr>
                <w:sz w:val="20"/>
                <w:szCs w:val="20"/>
                <w:color w:val="auto"/>
              </w:rPr>
            </w:pPr>
            <w:r>
              <w:rPr>
                <w:rFonts w:ascii="Arial" w:cs="Arial" w:eastAsia="Arial" w:hAnsi="Arial"/>
                <w:sz w:val="16"/>
                <w:szCs w:val="16"/>
                <w:b w:val="1"/>
                <w:bCs w:val="1"/>
                <w:color w:val="auto"/>
              </w:rPr>
              <w:t>Where Net Income is Presented</w:t>
            </w:r>
          </w:p>
        </w:tc>
        <w:tc>
          <w:tcPr>
            <w:tcW w:w="0" w:type="dxa"/>
            <w:vAlign w:val="bottom"/>
          </w:tcPr>
          <w:p>
            <w:pPr>
              <w:spacing w:after="0"/>
              <w:rPr>
                <w:sz w:val="1"/>
                <w:szCs w:val="1"/>
                <w:color w:val="auto"/>
              </w:rPr>
            </w:pPr>
          </w:p>
        </w:tc>
      </w:tr>
      <w:tr>
        <w:trPr>
          <w:trHeight w:val="33"/>
        </w:trPr>
        <w:tc>
          <w:tcPr>
            <w:tcW w:w="4500" w:type="dxa"/>
            <w:vAlign w:val="bottom"/>
            <w:tcBorders>
              <w:bottom w:val="single" w:sz="8" w:color="auto"/>
            </w:tcBorders>
            <w:gridSpan w:val="4"/>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00" w:type="dxa"/>
            <w:vAlign w:val="bottom"/>
            <w:gridSpan w:val="4"/>
          </w:tcPr>
          <w:p>
            <w:pPr>
              <w:ind w:left="40"/>
              <w:spacing w:after="0"/>
              <w:rPr>
                <w:sz w:val="20"/>
                <w:szCs w:val="20"/>
                <w:color w:val="auto"/>
              </w:rPr>
            </w:pPr>
            <w:r>
              <w:rPr>
                <w:rFonts w:ascii="Arial" w:cs="Arial" w:eastAsia="Arial" w:hAnsi="Arial"/>
                <w:sz w:val="16"/>
                <w:szCs w:val="16"/>
                <w:color w:val="auto"/>
              </w:rPr>
              <w:t>Realized gains (losses) on available-for-sale securities:</w:t>
            </w: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(1,304)</w:t>
            </w:r>
          </w:p>
        </w:tc>
        <w:tc>
          <w:tcPr>
            <w:tcW w:w="3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Securities gains (losses), net</w:t>
            </w:r>
          </w:p>
        </w:tc>
        <w:tc>
          <w:tcPr>
            <w:tcW w:w="0" w:type="dxa"/>
            <w:vAlign w:val="bottom"/>
          </w:tcPr>
          <w:p>
            <w:pPr>
              <w:spacing w:after="0"/>
              <w:rPr>
                <w:sz w:val="1"/>
                <w:szCs w:val="1"/>
                <w:color w:val="auto"/>
              </w:rPr>
            </w:pPr>
          </w:p>
        </w:tc>
      </w:tr>
      <w:tr>
        <w:trPr>
          <w:trHeight w:val="237"/>
        </w:trPr>
        <w:tc>
          <w:tcPr>
            <w:tcW w:w="3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8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317</w:t>
            </w:r>
          </w:p>
        </w:tc>
        <w:tc>
          <w:tcPr>
            <w:tcW w:w="3060" w:type="dxa"/>
            <w:vAlign w:val="bottom"/>
          </w:tcPr>
          <w:p>
            <w:pPr>
              <w:ind w:left="120"/>
              <w:spacing w:after="0"/>
              <w:rPr>
                <w:sz w:val="20"/>
                <w:szCs w:val="20"/>
                <w:color w:val="auto"/>
              </w:rPr>
            </w:pPr>
            <w:r>
              <w:rPr>
                <w:rFonts w:ascii="Arial" w:cs="Arial" w:eastAsia="Arial" w:hAnsi="Arial"/>
                <w:sz w:val="16"/>
                <w:szCs w:val="16"/>
                <w:color w:val="auto"/>
              </w:rPr>
              <w:t>Income tax (expense) benefit</w:t>
            </w:r>
          </w:p>
        </w:tc>
        <w:tc>
          <w:tcPr>
            <w:tcW w:w="0" w:type="dxa"/>
            <w:vAlign w:val="bottom"/>
          </w:tcPr>
          <w:p>
            <w:pPr>
              <w:spacing w:after="0"/>
              <w:rPr>
                <w:sz w:val="1"/>
                <w:szCs w:val="1"/>
                <w:color w:val="auto"/>
              </w:rPr>
            </w:pPr>
          </w:p>
        </w:tc>
      </w:tr>
      <w:tr>
        <w:trPr>
          <w:trHeight w:val="33"/>
        </w:trPr>
        <w:tc>
          <w:tcPr>
            <w:tcW w:w="3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3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300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8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Borders>
              <w:top w:val="single" w:sz="8" w:color="auto"/>
            </w:tcBorders>
          </w:tcPr>
          <w:p>
            <w:pPr>
              <w:spacing w:after="0"/>
              <w:rPr>
                <w:sz w:val="23"/>
                <w:szCs w:val="23"/>
                <w:color w:val="auto"/>
              </w:rPr>
            </w:pPr>
          </w:p>
        </w:tc>
        <w:tc>
          <w:tcPr>
            <w:tcW w:w="800" w:type="dxa"/>
            <w:vAlign w:val="bottom"/>
            <w:tcBorders>
              <w:top w:val="single" w:sz="8" w:color="auto"/>
            </w:tcBorders>
          </w:tcPr>
          <w:p>
            <w:pPr>
              <w:spacing w:after="0"/>
              <w:rPr>
                <w:sz w:val="23"/>
                <w:szCs w:val="23"/>
                <w:color w:val="auto"/>
              </w:rPr>
            </w:pPr>
          </w:p>
        </w:tc>
        <w:tc>
          <w:tcPr>
            <w:tcW w:w="3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color w:val="auto"/>
                <w:w w:val="94"/>
              </w:rPr>
              <w:t>Amortization of losses included in net income on available-for-sale securities transferred to held-to-maturity:</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(439)</w:t>
            </w:r>
          </w:p>
        </w:tc>
        <w:tc>
          <w:tcPr>
            <w:tcW w:w="3060" w:type="dxa"/>
            <w:vAlign w:val="bottom"/>
          </w:tcPr>
          <w:p>
            <w:pPr>
              <w:ind w:left="120"/>
              <w:spacing w:after="0"/>
              <w:rPr>
                <w:sz w:val="20"/>
                <w:szCs w:val="20"/>
                <w:color w:val="auto"/>
              </w:rPr>
            </w:pPr>
            <w:r>
              <w:rPr>
                <w:rFonts w:ascii="Arial" w:cs="Arial" w:eastAsia="Arial" w:hAnsi="Arial"/>
                <w:sz w:val="16"/>
                <w:szCs w:val="16"/>
                <w:color w:val="auto"/>
              </w:rPr>
              <w:t>Investment securities interest revenue</w:t>
            </w:r>
          </w:p>
        </w:tc>
        <w:tc>
          <w:tcPr>
            <w:tcW w:w="0" w:type="dxa"/>
            <w:vAlign w:val="bottom"/>
          </w:tcPr>
          <w:p>
            <w:pPr>
              <w:spacing w:after="0"/>
              <w:rPr>
                <w:sz w:val="1"/>
                <w:szCs w:val="1"/>
                <w:color w:val="auto"/>
              </w:rPr>
            </w:pPr>
          </w:p>
        </w:tc>
      </w:tr>
      <w:tr>
        <w:trPr>
          <w:trHeight w:val="33"/>
        </w:trPr>
        <w:tc>
          <w:tcPr>
            <w:tcW w:w="3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w:t>
            </w:r>
          </w:p>
        </w:tc>
        <w:tc>
          <w:tcPr>
            <w:tcW w:w="3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tax benefit</w:t>
            </w:r>
          </w:p>
        </w:tc>
        <w:tc>
          <w:tcPr>
            <w:tcW w:w="0" w:type="dxa"/>
            <w:vAlign w:val="bottom"/>
          </w:tcPr>
          <w:p>
            <w:pPr>
              <w:spacing w:after="0"/>
              <w:rPr>
                <w:sz w:val="1"/>
                <w:szCs w:val="1"/>
                <w:color w:val="auto"/>
              </w:rPr>
            </w:pPr>
          </w:p>
        </w:tc>
      </w:tr>
      <w:tr>
        <w:trPr>
          <w:trHeight w:val="284"/>
        </w:trPr>
        <w:tc>
          <w:tcPr>
            <w:tcW w:w="30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30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71"/>
        </w:trPr>
        <w:tc>
          <w:tcPr>
            <w:tcW w:w="3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3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losses included in net income on derivative financial instruments accounted for as cash flow hedges: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losses on de-</w:t>
            </w:r>
          </w:p>
        </w:tc>
        <w:tc>
          <w:tcPr>
            <w:tcW w:w="5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r>
      <w:tr>
        <w:trPr>
          <w:trHeight w:val="219"/>
        </w:trPr>
        <w:tc>
          <w:tcPr>
            <w:tcW w:w="3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designated positions</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3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Money market deposit interest expense</w:t>
            </w:r>
          </w:p>
        </w:tc>
      </w:tr>
      <w:tr>
        <w:trPr>
          <w:trHeight w:val="220"/>
        </w:trPr>
        <w:tc>
          <w:tcPr>
            <w:tcW w:w="3000" w:type="dxa"/>
            <w:vAlign w:val="bottom"/>
          </w:tcPr>
          <w:p>
            <w:pPr>
              <w:ind w:left="280"/>
              <w:spacing w:after="0"/>
              <w:rPr>
                <w:sz w:val="20"/>
                <w:szCs w:val="20"/>
                <w:color w:val="auto"/>
              </w:rPr>
            </w:pPr>
            <w:r>
              <w:rPr>
                <w:rFonts w:ascii="Arial" w:cs="Arial" w:eastAsia="Arial" w:hAnsi="Arial"/>
                <w:sz w:val="16"/>
                <w:szCs w:val="16"/>
                <w:color w:val="auto"/>
              </w:rPr>
              <w:t>Amortization of losses on de-</w:t>
            </w: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206"/>
        </w:trPr>
        <w:tc>
          <w:tcPr>
            <w:tcW w:w="3000" w:type="dxa"/>
            <w:vAlign w:val="bottom"/>
          </w:tcPr>
          <w:p>
            <w:pPr>
              <w:ind w:left="280"/>
              <w:spacing w:after="0"/>
              <w:rPr>
                <w:sz w:val="20"/>
                <w:szCs w:val="20"/>
                <w:color w:val="auto"/>
              </w:rPr>
            </w:pPr>
            <w:r>
              <w:rPr>
                <w:rFonts w:ascii="Arial" w:cs="Arial" w:eastAsia="Arial" w:hAnsi="Arial"/>
                <w:sz w:val="16"/>
                <w:szCs w:val="16"/>
                <w:color w:val="auto"/>
              </w:rPr>
              <w:t>designated positions</w:t>
            </w: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60" w:type="dxa"/>
            <w:vAlign w:val="bottom"/>
          </w:tcPr>
          <w:p>
            <w:pPr>
              <w:ind w:left="120"/>
              <w:spacing w:after="0"/>
              <w:rPr>
                <w:sz w:val="20"/>
                <w:szCs w:val="20"/>
                <w:color w:val="auto"/>
              </w:rPr>
            </w:pPr>
            <w:r>
              <w:rPr>
                <w:rFonts w:ascii="Arial" w:cs="Arial" w:eastAsia="Arial" w:hAnsi="Arial"/>
                <w:sz w:val="16"/>
                <w:szCs w:val="16"/>
                <w:color w:val="auto"/>
              </w:rPr>
              <w:t>Other expense</w:t>
            </w:r>
          </w:p>
        </w:tc>
      </w:tr>
      <w:tr>
        <w:trPr>
          <w:trHeight w:val="33"/>
        </w:trPr>
        <w:tc>
          <w:tcPr>
            <w:tcW w:w="30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30"/>
        </w:trPr>
        <w:tc>
          <w:tcPr>
            <w:tcW w:w="30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3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before tax</w:t>
            </w:r>
          </w:p>
        </w:tc>
      </w:tr>
      <w:tr>
        <w:trPr>
          <w:trHeight w:val="237"/>
        </w:trPr>
        <w:tc>
          <w:tcPr>
            <w:tcW w:w="3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76</w:t>
            </w:r>
          </w:p>
        </w:tc>
        <w:tc>
          <w:tcPr>
            <w:tcW w:w="3060" w:type="dxa"/>
            <w:vAlign w:val="bottom"/>
          </w:tcPr>
          <w:p>
            <w:pPr>
              <w:ind w:left="120"/>
              <w:spacing w:after="0"/>
              <w:rPr>
                <w:sz w:val="20"/>
                <w:szCs w:val="20"/>
                <w:color w:val="auto"/>
              </w:rPr>
            </w:pPr>
            <w:r>
              <w:rPr>
                <w:rFonts w:ascii="Arial" w:cs="Arial" w:eastAsia="Arial" w:hAnsi="Arial"/>
                <w:sz w:val="16"/>
                <w:szCs w:val="16"/>
                <w:color w:val="auto"/>
              </w:rPr>
              <w:t>Income tax benefit</w:t>
            </w:r>
          </w:p>
        </w:tc>
      </w:tr>
      <w:tr>
        <w:trPr>
          <w:trHeight w:val="33"/>
        </w:trPr>
        <w:tc>
          <w:tcPr>
            <w:tcW w:w="30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r>
      <w:tr>
        <w:trPr>
          <w:trHeight w:val="244"/>
        </w:trPr>
        <w:tc>
          <w:tcPr>
            <w:tcW w:w="3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3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of tax</w:t>
            </w:r>
          </w:p>
        </w:tc>
      </w:tr>
      <w:tr>
        <w:trPr>
          <w:trHeight w:val="20"/>
        </w:trPr>
        <w:tc>
          <w:tcPr>
            <w:tcW w:w="30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2660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36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prior service cost and actuarial losses included in net periodic pension cost for defined benefit pension plan: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000" w:type="dxa"/>
            <w:vAlign w:val="bottom"/>
          </w:tcPr>
          <w:p>
            <w:pPr>
              <w:ind w:left="280"/>
              <w:spacing w:after="0"/>
              <w:rPr>
                <w:sz w:val="20"/>
                <w:szCs w:val="20"/>
                <w:color w:val="auto"/>
              </w:rPr>
            </w:pPr>
            <w:r>
              <w:rPr>
                <w:rFonts w:ascii="Arial" w:cs="Arial" w:eastAsia="Arial" w:hAnsi="Arial"/>
                <w:sz w:val="16"/>
                <w:szCs w:val="16"/>
                <w:color w:val="auto"/>
              </w:rPr>
              <w:t>Prior service cost</w:t>
            </w: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(159)</w:t>
            </w:r>
          </w:p>
        </w:tc>
        <w:tc>
          <w:tcPr>
            <w:tcW w:w="120" w:type="dxa"/>
            <w:vAlign w:val="bottom"/>
          </w:tcPr>
          <w:p>
            <w:pPr>
              <w:spacing w:after="0"/>
              <w:rPr>
                <w:sz w:val="17"/>
                <w:szCs w:val="17"/>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7"/>
                <w:szCs w:val="17"/>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(334)</w:t>
            </w:r>
          </w:p>
        </w:tc>
        <w:tc>
          <w:tcPr>
            <w:tcW w:w="3060" w:type="dxa"/>
            <w:vAlign w:val="bottom"/>
          </w:tcPr>
          <w:p>
            <w:pPr>
              <w:ind w:left="120"/>
              <w:spacing w:after="0"/>
              <w:rPr>
                <w:sz w:val="20"/>
                <w:szCs w:val="20"/>
                <w:color w:val="auto"/>
              </w:rPr>
            </w:pPr>
            <w:r>
              <w:rPr>
                <w:rFonts w:ascii="Arial" w:cs="Arial" w:eastAsia="Arial" w:hAnsi="Arial"/>
                <w:sz w:val="16"/>
                <w:szCs w:val="16"/>
                <w:color w:val="auto"/>
              </w:rPr>
              <w:t>Salaries and employee benefits expense</w:t>
            </w:r>
          </w:p>
        </w:tc>
      </w:tr>
      <w:tr>
        <w:trPr>
          <w:trHeight w:val="33"/>
        </w:trPr>
        <w:tc>
          <w:tcPr>
            <w:tcW w:w="3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Actuarial losses</w:t>
            </w:r>
          </w:p>
        </w:tc>
        <w:tc>
          <w:tcPr>
            <w:tcW w:w="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3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expense</w:t>
            </w:r>
          </w:p>
        </w:tc>
      </w:tr>
      <w:tr>
        <w:trPr>
          <w:trHeight w:val="217"/>
        </w:trPr>
        <w:tc>
          <w:tcPr>
            <w:tcW w:w="30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3060" w:type="dxa"/>
            <w:vAlign w:val="bottom"/>
          </w:tcPr>
          <w:p>
            <w:pPr>
              <w:ind w:left="120"/>
              <w:spacing w:after="0"/>
              <w:rPr>
                <w:sz w:val="20"/>
                <w:szCs w:val="20"/>
                <w:color w:val="auto"/>
              </w:rPr>
            </w:pPr>
            <w:r>
              <w:rPr>
                <w:rFonts w:ascii="Arial" w:cs="Arial" w:eastAsia="Arial" w:hAnsi="Arial"/>
                <w:sz w:val="16"/>
                <w:szCs w:val="16"/>
                <w:color w:val="auto"/>
              </w:rPr>
              <w:t>Total before tax</w:t>
            </w:r>
          </w:p>
        </w:tc>
      </w:tr>
      <w:tr>
        <w:trPr>
          <w:trHeight w:val="33"/>
        </w:trPr>
        <w:tc>
          <w:tcPr>
            <w:tcW w:w="3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60" w:type="dxa"/>
            <w:vAlign w:val="bottom"/>
          </w:tcPr>
          <w:p>
            <w:pPr>
              <w:spacing w:after="0"/>
              <w:rPr>
                <w:sz w:val="2"/>
                <w:szCs w:val="2"/>
                <w:color w:val="auto"/>
              </w:rPr>
            </w:pPr>
          </w:p>
        </w:tc>
      </w:tr>
      <w:tr>
        <w:trPr>
          <w:trHeight w:val="270"/>
        </w:trPr>
        <w:tc>
          <w:tcPr>
            <w:tcW w:w="30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131</w:t>
            </w:r>
          </w:p>
        </w:tc>
        <w:tc>
          <w:tcPr>
            <w:tcW w:w="3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Income tax benefit</w:t>
            </w:r>
          </w:p>
        </w:tc>
      </w:tr>
      <w:tr>
        <w:trPr>
          <w:trHeight w:val="284"/>
        </w:trPr>
        <w:tc>
          <w:tcPr>
            <w:tcW w:w="30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30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Net of tax</w:t>
            </w:r>
          </w:p>
        </w:tc>
      </w:tr>
      <w:tr>
        <w:trPr>
          <w:trHeight w:val="271"/>
        </w:trPr>
        <w:tc>
          <w:tcPr>
            <w:tcW w:w="30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3060" w:type="dxa"/>
            <w:vAlign w:val="bottom"/>
            <w:shd w:val="clear" w:color="auto" w:fill="CCEEFF"/>
          </w:tcPr>
          <w:p>
            <w:pPr>
              <w:spacing w:after="0"/>
              <w:rPr>
                <w:sz w:val="23"/>
                <w:szCs w:val="23"/>
                <w:color w:val="auto"/>
              </w:rPr>
            </w:pPr>
          </w:p>
        </w:tc>
      </w:tr>
      <w:tr>
        <w:trPr>
          <w:trHeight w:val="250"/>
        </w:trPr>
        <w:tc>
          <w:tcPr>
            <w:tcW w:w="3000" w:type="dxa"/>
            <w:vAlign w:val="bottom"/>
          </w:tcPr>
          <w:p>
            <w:pPr>
              <w:ind w:left="40"/>
              <w:spacing w:after="0"/>
              <w:rPr>
                <w:sz w:val="20"/>
                <w:szCs w:val="20"/>
                <w:color w:val="auto"/>
              </w:rPr>
            </w:pPr>
            <w:r>
              <w:rPr>
                <w:rFonts w:ascii="Arial" w:cs="Arial" w:eastAsia="Arial" w:hAnsi="Arial"/>
                <w:sz w:val="16"/>
                <w:szCs w:val="16"/>
                <w:color w:val="auto"/>
              </w:rPr>
              <w:t>Total reclassifications for the period</w:t>
            </w: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21"/>
                <w:szCs w:val="21"/>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(1,854)</w:t>
            </w:r>
          </w:p>
        </w:tc>
        <w:tc>
          <w:tcPr>
            <w:tcW w:w="3060" w:type="dxa"/>
            <w:vAlign w:val="bottom"/>
          </w:tcPr>
          <w:p>
            <w:pPr>
              <w:ind w:left="120"/>
              <w:spacing w:after="0"/>
              <w:rPr>
                <w:sz w:val="20"/>
                <w:szCs w:val="20"/>
                <w:color w:val="auto"/>
              </w:rPr>
            </w:pPr>
            <w:r>
              <w:rPr>
                <w:rFonts w:ascii="Arial" w:cs="Arial" w:eastAsia="Arial" w:hAnsi="Arial"/>
                <w:sz w:val="16"/>
                <w:szCs w:val="16"/>
                <w:color w:val="auto"/>
              </w:rPr>
              <w:t>Net of tax</w:t>
            </w:r>
          </w:p>
        </w:tc>
      </w:tr>
      <w:tr>
        <w:trPr>
          <w:trHeight w:val="20"/>
        </w:trPr>
        <w:tc>
          <w:tcPr>
            <w:tcW w:w="30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Amounts shown above in parentheses reduce earnings.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table sets forth the computation of basic and diluted earnings per share for the periods indicated </w:t>
      </w:r>
      <w:r>
        <w:rPr>
          <w:rFonts w:ascii="Arial" w:cs="Arial" w:eastAsia="Arial" w:hAnsi="Arial"/>
          <w:sz w:val="17"/>
          <w:szCs w:val="17"/>
          <w:i w:val="1"/>
          <w:iCs w:val="1"/>
          <w:color w:val="auto"/>
        </w:rPr>
        <w:t>(in thousands, except per share data)</w:t>
      </w:r>
      <w:r>
        <w:rPr>
          <w:rFonts w:ascii="Arial" w:cs="Arial" w:eastAsia="Arial" w:hAnsi="Arial"/>
          <w:sz w:val="17"/>
          <w:szCs w:val="17"/>
          <w:color w:val="auto"/>
        </w:rPr>
        <w: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54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June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6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44,085</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39,634</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88,347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77,292</w:t>
            </w: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Dividends and undistributed earnings allocated to unvested shares</w:t>
            </w: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(552)</w:t>
            </w: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available to common shareholders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43,769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39,359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87,716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76,740</w:t>
            </w: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1"/>
        </w:trPr>
        <w:tc>
          <w:tcPr>
            <w:tcW w:w="5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Weighted average shares outstanding:</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Basic</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79,673</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79,745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79,739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79,477</w:t>
            </w: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Effect of dilutive securities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280"/>
              <w:spacing w:after="0"/>
              <w:rPr>
                <w:sz w:val="20"/>
                <w:szCs w:val="20"/>
                <w:color w:val="auto"/>
              </w:rPr>
            </w:pPr>
            <w:r>
              <w:rPr>
                <w:rFonts w:ascii="Arial" w:cs="Arial" w:eastAsia="Arial" w:hAnsi="Arial"/>
                <w:sz w:val="16"/>
                <w:szCs w:val="16"/>
                <w:color w:val="auto"/>
              </w:rPr>
              <w:t>Stock options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Restricted stock units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Diluted</w:t>
            </w:r>
          </w:p>
        </w:tc>
        <w:tc>
          <w:tcPr>
            <w:tcW w:w="92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79,678</w:t>
            </w:r>
          </w:p>
        </w:tc>
        <w:tc>
          <w:tcPr>
            <w:tcW w:w="12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79,755</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79,745</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79,487</w:t>
            </w:r>
          </w:p>
        </w:tc>
      </w:tr>
      <w:tr>
        <w:trPr>
          <w:trHeight w:val="271"/>
        </w:trPr>
        <w:tc>
          <w:tcPr>
            <w:tcW w:w="5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Net income per common share:</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0.97</w:t>
            </w: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Diluted</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0.55</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0.49</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0.97</w:t>
            </w: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2019, United excluded 1,000 potentially dilutive shares of common stock issuable upon exercise of stock options with a weighted average exercise price of $30.45 from the computation of diluted earnings per share because of their antidilutive effect.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June 30, 2018, United had potentially dilutive warrants outstanding to purchase 219,909 shares of common stock at $61.40 per share. At June 30, 2018, there were no shares of potentially dilutive common stock issuable upon exercise of stock options granted to employees.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Management Objective of Using Derivatives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through a combination of pricing and term structure of deposit product offerings, the amount and duration of its investment securities portfolio and wholesale funding and, to a lesser degree, through the use of derivative financial instruments. From time to time, United enters into derivative financial instruments to manage interest rate risk exposures that arise from business activities that result in the receipt or payment of future known and uncertain cash amounts, the value of which are determined by interest rates. Derivative financial instruments are used to manage differences in the amount, timing, and duration of known or expected cash receipts and known or expected cash payments principally related to loans, investment securities, wholesale borrowings and deposits.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conjunction with the FASB’s fair value measurement guidance, United made an accounting policy election to measure the credit risk of its derivative financial instruments that are subject to master netting arrangements on a gross basis.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United clears certain derivatives centrally through the Chicago Mercantile Exchange (“CME”). CME rules legally characterize variation margin payments for centrally cleared derivatives as settlements of the derivatives’ exposure rather than as collateral. As a result, the variation margin payment and the related derivative instruments are considered a single unit of account for accounting purposes. Variation margin, as determined by the CME, is settled daily. As a result, derivative contracts that clear through the CME have an estimated fair value of zero. The table below presents the fair value of derivative financial instruments as of the dates indicated as well as their classification on the consolidated balance sheets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gridSpan w:val="2"/>
          </w:tcPr>
          <w:p>
            <w:pPr>
              <w:ind w:left="1620"/>
              <w:spacing w:after="0"/>
              <w:rPr>
                <w:sz w:val="20"/>
                <w:szCs w:val="20"/>
                <w:color w:val="auto"/>
              </w:rPr>
            </w:pPr>
            <w:r>
              <w:rPr>
                <w:rFonts w:ascii="Arial" w:cs="Arial" w:eastAsia="Arial" w:hAnsi="Arial"/>
                <w:sz w:val="16"/>
                <w:szCs w:val="16"/>
                <w:b w:val="1"/>
                <w:bCs w:val="1"/>
                <w:color w:val="auto"/>
              </w:rPr>
              <w:t>Interest Rate Products</w:t>
            </w:r>
          </w:p>
        </w:tc>
        <w:tc>
          <w:tcPr>
            <w:tcW w:w="2640" w:type="dxa"/>
            <w:vAlign w:val="bottom"/>
            <w:gridSpan w:val="2"/>
          </w:tcPr>
          <w:p>
            <w:pPr>
              <w:ind w:left="440"/>
              <w:spacing w:after="0"/>
              <w:rPr>
                <w:sz w:val="20"/>
                <w:szCs w:val="20"/>
                <w:color w:val="auto"/>
              </w:rPr>
            </w:pPr>
            <w:r>
              <w:rPr>
                <w:rFonts w:ascii="Arial" w:cs="Arial" w:eastAsia="Arial" w:hAnsi="Arial"/>
                <w:sz w:val="16"/>
                <w:szCs w:val="16"/>
                <w:b w:val="1"/>
                <w:bCs w:val="1"/>
                <w:color w:val="auto"/>
              </w:rPr>
              <w:t>Balance Sheet Location</w:t>
            </w:r>
          </w:p>
        </w:tc>
        <w:tc>
          <w:tcPr>
            <w:tcW w:w="30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2019</w:t>
            </w:r>
          </w:p>
        </w:tc>
        <w:tc>
          <w:tcPr>
            <w:tcW w:w="180" w:type="dxa"/>
            <w:vAlign w:val="bottom"/>
          </w:tcPr>
          <w:p>
            <w:pPr>
              <w:spacing w:after="0"/>
              <w:rPr>
                <w:sz w:val="18"/>
                <w:szCs w:val="18"/>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31, 2018</w:t>
            </w:r>
          </w:p>
        </w:tc>
      </w:tr>
      <w:tr>
        <w:trPr>
          <w:trHeight w:val="33"/>
        </w:trPr>
        <w:tc>
          <w:tcPr>
            <w:tcW w:w="4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Fair value hedge of brokered CDs</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liabilities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1,682</w:t>
            </w:r>
          </w:p>
        </w:tc>
      </w:tr>
      <w:tr>
        <w:trPr>
          <w:trHeight w:val="217"/>
        </w:trPr>
        <w:tc>
          <w:tcPr>
            <w:tcW w:w="4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806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1,682</w:t>
            </w: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gridSpan w:val="2"/>
          </w:tcPr>
          <w:p>
            <w:pPr>
              <w:ind w:left="1620"/>
              <w:spacing w:after="0"/>
              <w:rPr>
                <w:sz w:val="20"/>
                <w:szCs w:val="20"/>
                <w:color w:val="auto"/>
              </w:rPr>
            </w:pPr>
            <w:r>
              <w:rPr>
                <w:rFonts w:ascii="Arial" w:cs="Arial" w:eastAsia="Arial" w:hAnsi="Arial"/>
                <w:sz w:val="16"/>
                <w:szCs w:val="16"/>
                <w:b w:val="1"/>
                <w:bCs w:val="1"/>
                <w:color w:val="auto"/>
              </w:rPr>
              <w:t>Interest Rate Products</w:t>
            </w:r>
          </w:p>
        </w:tc>
        <w:tc>
          <w:tcPr>
            <w:tcW w:w="2640" w:type="dxa"/>
            <w:vAlign w:val="bottom"/>
            <w:gridSpan w:val="2"/>
          </w:tcPr>
          <w:p>
            <w:pPr>
              <w:ind w:left="440"/>
              <w:spacing w:after="0"/>
              <w:rPr>
                <w:sz w:val="20"/>
                <w:szCs w:val="20"/>
                <w:color w:val="auto"/>
              </w:rPr>
            </w:pPr>
            <w:r>
              <w:rPr>
                <w:rFonts w:ascii="Arial" w:cs="Arial" w:eastAsia="Arial" w:hAnsi="Arial"/>
                <w:sz w:val="16"/>
                <w:szCs w:val="16"/>
                <w:b w:val="1"/>
                <w:bCs w:val="1"/>
                <w:color w:val="auto"/>
              </w:rPr>
              <w:t>Balance Sheet Location</w:t>
            </w:r>
          </w:p>
        </w:tc>
        <w:tc>
          <w:tcPr>
            <w:tcW w:w="30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2019</w:t>
            </w:r>
          </w:p>
        </w:tc>
        <w:tc>
          <w:tcPr>
            <w:tcW w:w="180" w:type="dxa"/>
            <w:vAlign w:val="bottom"/>
          </w:tcPr>
          <w:p>
            <w:pPr>
              <w:spacing w:after="0"/>
              <w:rPr>
                <w:sz w:val="18"/>
                <w:szCs w:val="18"/>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2"/>
              </w:rPr>
              <w:t>December 31, 2018</w:t>
            </w:r>
          </w:p>
        </w:tc>
      </w:tr>
      <w:tr>
        <w:trPr>
          <w:trHeight w:val="33"/>
        </w:trPr>
        <w:tc>
          <w:tcPr>
            <w:tcW w:w="4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Customer derivative positions</w:t>
            </w:r>
          </w:p>
        </w:tc>
        <w:tc>
          <w:tcPr>
            <w:tcW w:w="2640" w:type="dxa"/>
            <w:vAlign w:val="bottom"/>
            <w:gridSpan w:val="2"/>
          </w:tcPr>
          <w:p>
            <w:pPr>
              <w:ind w:left="40"/>
              <w:spacing w:after="0"/>
              <w:rPr>
                <w:sz w:val="20"/>
                <w:szCs w:val="20"/>
                <w:color w:val="auto"/>
              </w:rPr>
            </w:pPr>
            <w:r>
              <w:rPr>
                <w:rFonts w:ascii="Arial" w:cs="Arial" w:eastAsia="Arial" w:hAnsi="Arial"/>
                <w:sz w:val="16"/>
                <w:szCs w:val="16"/>
                <w:color w:val="auto"/>
              </w:rPr>
              <w:t>Derivative assets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26,401</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5,216</w:t>
            </w: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Dealer offsets to customer derivative positions</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assets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7,620</w:t>
            </w: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Mortgage banking - loan commitment</w:t>
            </w:r>
          </w:p>
        </w:tc>
        <w:tc>
          <w:tcPr>
            <w:tcW w:w="2640" w:type="dxa"/>
            <w:vAlign w:val="bottom"/>
            <w:gridSpan w:val="2"/>
          </w:tcPr>
          <w:p>
            <w:pPr>
              <w:ind w:left="40"/>
              <w:spacing w:after="0"/>
              <w:rPr>
                <w:sz w:val="20"/>
                <w:szCs w:val="20"/>
                <w:color w:val="auto"/>
              </w:rPr>
            </w:pPr>
            <w:r>
              <w:rPr>
                <w:rFonts w:ascii="Arial" w:cs="Arial" w:eastAsia="Arial" w:hAnsi="Arial"/>
                <w:sz w:val="16"/>
                <w:szCs w:val="16"/>
                <w:color w:val="auto"/>
              </w:rPr>
              <w:t>Derivative assets</w:t>
            </w:r>
          </w:p>
        </w:tc>
        <w:tc>
          <w:tcPr>
            <w:tcW w:w="3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2,062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1,190</w:t>
            </w: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Mortgage banking - forward sales commitment</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assets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Bifurcated embedded derivatives</w:t>
            </w:r>
          </w:p>
        </w:tc>
        <w:tc>
          <w:tcPr>
            <w:tcW w:w="2640" w:type="dxa"/>
            <w:vAlign w:val="bottom"/>
            <w:gridSpan w:val="2"/>
          </w:tcPr>
          <w:p>
            <w:pPr>
              <w:ind w:left="40"/>
              <w:spacing w:after="0"/>
              <w:rPr>
                <w:sz w:val="20"/>
                <w:szCs w:val="20"/>
                <w:color w:val="auto"/>
              </w:rPr>
            </w:pPr>
            <w:r>
              <w:rPr>
                <w:rFonts w:ascii="Arial" w:cs="Arial" w:eastAsia="Arial" w:hAnsi="Arial"/>
                <w:sz w:val="16"/>
                <w:szCs w:val="16"/>
                <w:color w:val="auto"/>
              </w:rPr>
              <w:t>Derivative assets</w:t>
            </w:r>
          </w:p>
        </w:tc>
        <w:tc>
          <w:tcPr>
            <w:tcW w:w="3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5,682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10,651</w:t>
            </w:r>
          </w:p>
        </w:tc>
      </w:tr>
      <w:tr>
        <w:trPr>
          <w:trHeight w:val="33"/>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5"/>
        </w:trPr>
        <w:tc>
          <w:tcPr>
            <w:tcW w:w="4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24,705</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Customer derivative positions</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liabilities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9,661</w:t>
            </w: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Dealer offsets to customer derivative positions</w:t>
            </w:r>
          </w:p>
        </w:tc>
        <w:tc>
          <w:tcPr>
            <w:tcW w:w="2640" w:type="dxa"/>
            <w:vAlign w:val="bottom"/>
            <w:gridSpan w:val="2"/>
          </w:tcPr>
          <w:p>
            <w:pPr>
              <w:ind w:left="40"/>
              <w:spacing w:after="0"/>
              <w:rPr>
                <w:sz w:val="20"/>
                <w:szCs w:val="20"/>
                <w:color w:val="auto"/>
              </w:rPr>
            </w:pPr>
            <w:r>
              <w:rPr>
                <w:rFonts w:ascii="Arial" w:cs="Arial" w:eastAsia="Arial" w:hAnsi="Arial"/>
                <w:sz w:val="16"/>
                <w:szCs w:val="16"/>
                <w:color w:val="auto"/>
              </w:rPr>
              <w:t>Derivative liabilities</w:t>
            </w:r>
          </w:p>
        </w:tc>
        <w:tc>
          <w:tcPr>
            <w:tcW w:w="3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905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781</w:t>
            </w: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Risk participations</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Mortgage banking - forward sales commitment</w:t>
            </w:r>
          </w:p>
        </w:tc>
        <w:tc>
          <w:tcPr>
            <w:tcW w:w="2640" w:type="dxa"/>
            <w:vAlign w:val="bottom"/>
            <w:gridSpan w:val="2"/>
          </w:tcPr>
          <w:p>
            <w:pPr>
              <w:ind w:left="40"/>
              <w:spacing w:after="0"/>
              <w:rPr>
                <w:sz w:val="20"/>
                <w:szCs w:val="20"/>
                <w:color w:val="auto"/>
              </w:rPr>
            </w:pPr>
            <w:r>
              <w:rPr>
                <w:rFonts w:ascii="Arial" w:cs="Arial" w:eastAsia="Arial" w:hAnsi="Arial"/>
                <w:sz w:val="16"/>
                <w:szCs w:val="16"/>
                <w:color w:val="auto"/>
              </w:rPr>
              <w:t>Derivative liabilities</w:t>
            </w:r>
          </w:p>
        </w:tc>
        <w:tc>
          <w:tcPr>
            <w:tcW w:w="30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513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259</w:t>
            </w:r>
          </w:p>
        </w:tc>
      </w:tr>
      <w:tr>
        <w:trPr>
          <w:trHeight w:val="33"/>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Dealer offsets to bifurcated embedded derivatives</w:t>
            </w:r>
          </w:p>
        </w:tc>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13,339</w:t>
            </w:r>
          </w:p>
        </w:tc>
      </w:tr>
      <w:tr>
        <w:trPr>
          <w:trHeight w:val="237"/>
        </w:trPr>
        <w:tc>
          <w:tcPr>
            <w:tcW w:w="4920" w:type="dxa"/>
            <w:vAlign w:val="bottom"/>
            <w:gridSpan w:val="2"/>
          </w:tcPr>
          <w:p>
            <w:pPr>
              <w:ind w:left="40"/>
              <w:spacing w:after="0"/>
              <w:rPr>
                <w:sz w:val="20"/>
                <w:szCs w:val="20"/>
                <w:color w:val="auto"/>
              </w:rPr>
            </w:pPr>
            <w:r>
              <w:rPr>
                <w:rFonts w:ascii="Arial" w:cs="Arial" w:eastAsia="Arial" w:hAnsi="Arial"/>
                <w:sz w:val="16"/>
                <w:szCs w:val="16"/>
                <w:color w:val="auto"/>
              </w:rPr>
              <w:t>De-designated hedges</w:t>
            </w:r>
          </w:p>
        </w:tc>
        <w:tc>
          <w:tcPr>
            <w:tcW w:w="2640" w:type="dxa"/>
            <w:vAlign w:val="bottom"/>
            <w:gridSpan w:val="2"/>
          </w:tcPr>
          <w:p>
            <w:pPr>
              <w:ind w:left="40"/>
              <w:spacing w:after="0"/>
              <w:rPr>
                <w:sz w:val="20"/>
                <w:szCs w:val="20"/>
                <w:color w:val="auto"/>
              </w:rPr>
            </w:pPr>
            <w:r>
              <w:rPr>
                <w:rFonts w:ascii="Arial" w:cs="Arial" w:eastAsia="Arial" w:hAnsi="Arial"/>
                <w:sz w:val="16"/>
                <w:szCs w:val="16"/>
                <w:color w:val="auto"/>
              </w:rPr>
              <w:t>Derivative liabilities</w:t>
            </w:r>
          </w:p>
        </w:tc>
        <w:tc>
          <w:tcPr>
            <w:tcW w:w="30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703</w:t>
            </w:r>
          </w:p>
        </w:tc>
      </w:tr>
      <w:tr>
        <w:trPr>
          <w:trHeight w:val="33"/>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5"/>
        </w:trPr>
        <w:tc>
          <w:tcPr>
            <w:tcW w:w="4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24,751</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Customer derivative positions are between United and certain commercial loan customers with offsetting positions to dealers under a back-to-back swap/cap program. In addition, to accommodate customers, United occasionally enters into credit risk participation agreements with counterparty banks to accept a portion of the credit risk related to interest rate swaps. The agreements, which are typically executed in conjunction with a participation in a loan with the same customer, allow customers to execute an interest rate swap with one bank while allowing for the distribution of the credit risk among participating members. Collateral used to support the credit risk for the underlying lending relationship is also available to offset the risk of credit risk participations and customer derivative positions.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also has three interest rate swap contracts that are not designated as hedging instruments but are economic hedges of market-linked brokered certificates of deposit. The market-linked brokered certificates of deposit contain embedded derivatives that are bifurcated from the host instruments and are marked to market through earnings. The fair value marks on the market linked swaps and the bifurcated embedded derivatives tend to move in opposite directions with changes in 90-day London Interbank Offered Rate (“LIBOR”) and therefore provide an economic hedge.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United originates certain residential mortgage loans with the intention of selling these loans. Between the time United enters into an interest-rate lock commitment to originate a residential mortgage loan that is to be held for sale and the time the loan is funded and eventually sold, United is subject to the risk of variability in market prices. United enters into forward sale agreements to mitigate risk and to protect the expected gain on the eventual loan sale. The commitments to originate residential mortgage loans and forward loan sales commitments are freestanding derivative instruments. United accounts for most newly originated mortgage loans at fair value pursuant to the fair value option, and these loans are not reflected in the table above. Fair value adjustments on these derivative instruments are recorded within mortgage loan and other related fee income in the consolidated statements of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Hedges of Interest Rate Risk</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June 30, 2019 and December 31, 2018 United did not have any active cash flow hedges. Changes in balance sheet composition and interest rate risk position made cash flow hedges not currently necessary as protection against rising interest rates. The loss remaining in other comprehensive income from prior hedges that had previously been de-designated was being amortized into earnings over the original term of the swaps as the forecasted transactions that the swaps were originally designated to hedge were still expected to occur. During the second quarter of 2019, United amortized the remaining balance of losses on terminated hedging positions from other comprehensive income, which was the only effect of cash flow hedges on the consolidated statements of income for the three and six months ended June 30, 2019 and 2018. See Note 7 for further detail.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Hedges of Interest Rate Risk</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United is exposed to changes in the fair value of certain of its fixed-rate obligations due to changes in interest rates. United uses interest rate swaps to manage its exposure to changes in fair value on these instruments attributable to changes in interest rates. Interest rate swaps designated as fair value hedges of brokered deposits involve the receipt of fixed-rate amounts from a counterparty in exchange for United making variable rate payments over the life of the agreements without the exchange of the underlying notional amount. At June 30, 2019, United had four interest rate swaps with a notional amount of $37.9 million that were designated as fair value hedges of interest rate risk and were pay-variable / receive-fixed swaps hedging the changes in the fair value of fixed-rate brokered time deposits resulting from changes in interest rates. As of June 30, 2019, the hedged brokered time deposits, which were included in brokered deposits on the consolidated balance sheet, had a carrying value of $36.1 million, which included cumulative fair value hedging adjustments of $713,000. At December 31, 2018, United had four interest rate swaps with an aggregate notional amount of $39.0 million that were designated as</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fair value hedges of interest rate risk and were pay-variable / receive-fixed, hedging the changes in the fair value of fixed-rate brokered time deposits resulting from changes in interest rates.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United also recognized a net increase in interest expense of $102,000 and $203,000, respectively, for the three and six months ended June 30, 2019 and a net increase in interest expense of $66,000 and $80,000, respectively, for the three and six months ended June 30, 2018 related to fair value hedges of brokered time deposits, which includes net settlements on the derivatives. United recognized an increase in interest revenue on securities during the six months ended June 30, 2018 of $17,000 related to fair value hedges of corporate bonds which were terminated during the first quarter of 2018.</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effect of derivatives in fair value hedging relationships on the consolidated statement of income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2"/>
              </w:rPr>
              <w:t>Amount of Gain (Loss)</w:t>
            </w:r>
          </w:p>
        </w:tc>
        <w:tc>
          <w:tcPr>
            <w:tcW w:w="300" w:type="dxa"/>
            <w:vAlign w:val="bottom"/>
          </w:tcPr>
          <w:p>
            <w:pPr>
              <w:spacing w:after="0"/>
              <w:rPr>
                <w:sz w:val="17"/>
                <w:szCs w:val="17"/>
                <w:color w:val="auto"/>
              </w:rPr>
            </w:pPr>
          </w:p>
        </w:tc>
        <w:tc>
          <w:tcPr>
            <w:tcW w:w="2300" w:type="dxa"/>
            <w:vAlign w:val="bottom"/>
            <w:gridSpan w:val="4"/>
          </w:tcPr>
          <w:p>
            <w:pPr>
              <w:jc w:val="center"/>
              <w:ind w:right="179"/>
              <w:spacing w:after="0"/>
              <w:rPr>
                <w:sz w:val="20"/>
                <w:szCs w:val="20"/>
                <w:color w:val="auto"/>
              </w:rPr>
            </w:pPr>
            <w:r>
              <w:rPr>
                <w:rFonts w:ascii="Arial" w:cs="Arial" w:eastAsia="Arial" w:hAnsi="Arial"/>
                <w:sz w:val="16"/>
                <w:szCs w:val="16"/>
                <w:b w:val="1"/>
                <w:bCs w:val="1"/>
                <w:color w:val="auto"/>
                <w:w w:val="92"/>
              </w:rPr>
              <w:t>Amount of Gain (Loss)</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26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Location of Gain</w:t>
            </w:r>
          </w:p>
        </w:tc>
        <w:tc>
          <w:tcPr>
            <w:tcW w:w="300" w:type="dxa"/>
            <w:vAlign w:val="bottom"/>
          </w:tcPr>
          <w:p>
            <w:pPr>
              <w:spacing w:after="0"/>
              <w:rPr>
                <w:sz w:val="17"/>
                <w:szCs w:val="17"/>
                <w:color w:val="auto"/>
              </w:rPr>
            </w:pPr>
          </w:p>
        </w:tc>
        <w:tc>
          <w:tcPr>
            <w:tcW w:w="24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89"/>
              </w:rPr>
              <w:t>Recognized in Income</w:t>
            </w:r>
          </w:p>
        </w:tc>
        <w:tc>
          <w:tcPr>
            <w:tcW w:w="300" w:type="dxa"/>
            <w:vAlign w:val="bottom"/>
          </w:tcPr>
          <w:p>
            <w:pPr>
              <w:spacing w:after="0"/>
              <w:rPr>
                <w:sz w:val="17"/>
                <w:szCs w:val="17"/>
                <w:color w:val="auto"/>
              </w:rPr>
            </w:pPr>
          </w:p>
        </w:tc>
        <w:tc>
          <w:tcPr>
            <w:tcW w:w="2300" w:type="dxa"/>
            <w:vAlign w:val="bottom"/>
            <w:gridSpan w:val="4"/>
          </w:tcPr>
          <w:p>
            <w:pPr>
              <w:jc w:val="center"/>
              <w:ind w:right="179"/>
              <w:spacing w:after="0"/>
              <w:rPr>
                <w:sz w:val="20"/>
                <w:szCs w:val="20"/>
                <w:color w:val="auto"/>
              </w:rPr>
            </w:pPr>
            <w:r>
              <w:rPr>
                <w:rFonts w:ascii="Arial" w:cs="Arial" w:eastAsia="Arial" w:hAnsi="Arial"/>
                <w:sz w:val="16"/>
                <w:szCs w:val="16"/>
                <w:b w:val="1"/>
                <w:bCs w:val="1"/>
                <w:color w:val="auto"/>
                <w:w w:val="89"/>
              </w:rPr>
              <w:t>Recognized in Income</w:t>
            </w:r>
          </w:p>
        </w:tc>
        <w:tc>
          <w:tcPr>
            <w:tcW w:w="0" w:type="dxa"/>
            <w:vAlign w:val="bottom"/>
          </w:tcPr>
          <w:p>
            <w:pPr>
              <w:spacing w:after="0"/>
              <w:rPr>
                <w:sz w:val="1"/>
                <w:szCs w:val="1"/>
                <w:color w:val="auto"/>
              </w:rPr>
            </w:pPr>
          </w:p>
        </w:tc>
      </w:tr>
      <w:tr>
        <w:trPr>
          <w:trHeight w:val="81"/>
        </w:trPr>
        <w:tc>
          <w:tcPr>
            <w:tcW w:w="3460" w:type="dxa"/>
            <w:vAlign w:val="bottom"/>
          </w:tcPr>
          <w:p>
            <w:pPr>
              <w:spacing w:after="0"/>
              <w:rPr>
                <w:sz w:val="7"/>
                <w:szCs w:val="7"/>
                <w:color w:val="auto"/>
              </w:rPr>
            </w:pPr>
          </w:p>
        </w:tc>
        <w:tc>
          <w:tcPr>
            <w:tcW w:w="26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520" w:type="dxa"/>
            <w:vAlign w:val="bottom"/>
            <w:gridSpan w:val="3"/>
            <w:vMerge w:val="restart"/>
          </w:tcPr>
          <w:p>
            <w:pPr>
              <w:jc w:val="center"/>
              <w:ind w:left="479"/>
              <w:spacing w:after="0"/>
              <w:rPr>
                <w:sz w:val="20"/>
                <w:szCs w:val="20"/>
                <w:color w:val="auto"/>
              </w:rPr>
            </w:pPr>
            <w:r>
              <w:rPr>
                <w:rFonts w:ascii="Arial" w:cs="Arial" w:eastAsia="Arial" w:hAnsi="Arial"/>
                <w:sz w:val="16"/>
                <w:szCs w:val="16"/>
                <w:b w:val="1"/>
                <w:bCs w:val="1"/>
                <w:color w:val="auto"/>
                <w:w w:val="91"/>
              </w:rPr>
              <w:t>on Derivative</w:t>
            </w: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00" w:type="dxa"/>
            <w:vAlign w:val="bottom"/>
            <w:gridSpan w:val="4"/>
            <w:vMerge w:val="restart"/>
          </w:tcPr>
          <w:p>
            <w:pPr>
              <w:jc w:val="center"/>
              <w:ind w:right="179"/>
              <w:spacing w:after="0"/>
              <w:rPr>
                <w:sz w:val="20"/>
                <w:szCs w:val="20"/>
                <w:color w:val="auto"/>
              </w:rPr>
            </w:pPr>
            <w:r>
              <w:rPr>
                <w:rFonts w:ascii="Arial" w:cs="Arial" w:eastAsia="Arial" w:hAnsi="Arial"/>
                <w:sz w:val="16"/>
                <w:szCs w:val="16"/>
                <w:b w:val="1"/>
                <w:bCs w:val="1"/>
                <w:color w:val="auto"/>
                <w:w w:val="93"/>
              </w:rPr>
              <w:t>on Hedged Item</w:t>
            </w:r>
          </w:p>
        </w:tc>
        <w:tc>
          <w:tcPr>
            <w:tcW w:w="0" w:type="dxa"/>
            <w:vAlign w:val="bottom"/>
          </w:tcPr>
          <w:p>
            <w:pPr>
              <w:spacing w:after="0"/>
              <w:rPr>
                <w:sz w:val="1"/>
                <w:szCs w:val="1"/>
                <w:color w:val="auto"/>
              </w:rPr>
            </w:pPr>
          </w:p>
        </w:tc>
      </w:tr>
      <w:tr>
        <w:trPr>
          <w:trHeight w:val="129"/>
        </w:trPr>
        <w:tc>
          <w:tcPr>
            <w:tcW w:w="3460" w:type="dxa"/>
            <w:vAlign w:val="bottom"/>
          </w:tcPr>
          <w:p>
            <w:pPr>
              <w:spacing w:after="0"/>
              <w:rPr>
                <w:sz w:val="11"/>
                <w:szCs w:val="11"/>
                <w:color w:val="auto"/>
              </w:rPr>
            </w:pPr>
          </w:p>
        </w:tc>
        <w:tc>
          <w:tcPr>
            <w:tcW w:w="2620" w:type="dxa"/>
            <w:vAlign w:val="bottom"/>
            <w:gridSpan w:val="2"/>
            <w:vMerge w:val="restart"/>
          </w:tcPr>
          <w:p>
            <w:pPr>
              <w:jc w:val="center"/>
              <w:ind w:right="120"/>
              <w:spacing w:after="0" w:line="142" w:lineRule="exact"/>
              <w:rPr>
                <w:sz w:val="20"/>
                <w:szCs w:val="20"/>
                <w:color w:val="auto"/>
              </w:rPr>
            </w:pPr>
            <w:r>
              <w:rPr>
                <w:rFonts w:ascii="Arial" w:cs="Arial" w:eastAsia="Arial" w:hAnsi="Arial"/>
                <w:sz w:val="16"/>
                <w:szCs w:val="16"/>
                <w:b w:val="1"/>
                <w:bCs w:val="1"/>
                <w:color w:val="auto"/>
                <w:w w:val="88"/>
              </w:rPr>
              <w:t>(Loss) Recognized</w:t>
            </w:r>
          </w:p>
        </w:tc>
        <w:tc>
          <w:tcPr>
            <w:tcW w:w="30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2620" w:type="dxa"/>
            <w:vAlign w:val="bottom"/>
            <w:gridSpan w:val="2"/>
            <w:vMerge w:val="continue"/>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60" w:type="dxa"/>
            <w:vAlign w:val="bottom"/>
          </w:tcPr>
          <w:p>
            <w:pPr>
              <w:spacing w:after="0"/>
              <w:rPr>
                <w:sz w:val="20"/>
                <w:szCs w:val="20"/>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in Income on Derivative</w:t>
            </w: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37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346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Fair value hedges of brokered CDs</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346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46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4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Fair value hedges of brokered CDs</w:t>
            </w:r>
          </w:p>
        </w:tc>
        <w:tc>
          <w:tcPr>
            <w:tcW w:w="262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(837)</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Fair value hedges of corporate bonds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revenue</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217"/>
        </w:trPr>
        <w:tc>
          <w:tcPr>
            <w:tcW w:w="34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600</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(1,173)</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certain cases, the estate of deceased brokered certificate of deposit holders may put the certificate of deposit back to United at par upon the death of the holder. When these estate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estate puts.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Derivatives Not Designated as Hedging Instruments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table below presents the gains and losses recognized in income on derivatives not designated as hedging instruments for the periods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27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0"/>
              </w:rPr>
              <w:t>Location of Gain (Loss)</w:t>
            </w:r>
          </w:p>
        </w:tc>
        <w:tc>
          <w:tcPr>
            <w:tcW w:w="180" w:type="dxa"/>
            <w:vAlign w:val="bottom"/>
          </w:tcPr>
          <w:p>
            <w:pPr>
              <w:spacing w:after="0"/>
              <w:rPr>
                <w:sz w:val="17"/>
                <w:szCs w:val="17"/>
                <w:color w:val="auto"/>
              </w:rPr>
            </w:pPr>
          </w:p>
        </w:tc>
        <w:tc>
          <w:tcPr>
            <w:tcW w:w="288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w w:val="92"/>
              </w:rPr>
              <w:t>Amount of Gain (Loss) Recognized in</w:t>
            </w:r>
          </w:p>
        </w:tc>
        <w:tc>
          <w:tcPr>
            <w:tcW w:w="0" w:type="dxa"/>
            <w:vAlign w:val="bottom"/>
          </w:tcPr>
          <w:p>
            <w:pPr>
              <w:spacing w:after="0"/>
              <w:rPr>
                <w:sz w:val="1"/>
                <w:szCs w:val="1"/>
                <w:color w:val="auto"/>
              </w:rPr>
            </w:pPr>
          </w:p>
        </w:tc>
      </w:tr>
      <w:tr>
        <w:trPr>
          <w:trHeight w:val="81"/>
        </w:trPr>
        <w:tc>
          <w:tcPr>
            <w:tcW w:w="5620" w:type="dxa"/>
            <w:vAlign w:val="bottom"/>
          </w:tcPr>
          <w:p>
            <w:pPr>
              <w:spacing w:after="0"/>
              <w:rPr>
                <w:sz w:val="7"/>
                <w:szCs w:val="7"/>
                <w:color w:val="auto"/>
              </w:rPr>
            </w:pPr>
          </w:p>
        </w:tc>
        <w:tc>
          <w:tcPr>
            <w:tcW w:w="27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2880" w:type="dxa"/>
            <w:vAlign w:val="bottom"/>
            <w:gridSpan w:val="4"/>
            <w:vMerge w:val="restart"/>
          </w:tcPr>
          <w:p>
            <w:pPr>
              <w:jc w:val="right"/>
              <w:ind w:right="679"/>
              <w:spacing w:after="0"/>
              <w:rPr>
                <w:sz w:val="20"/>
                <w:szCs w:val="20"/>
                <w:color w:val="auto"/>
              </w:rPr>
            </w:pPr>
            <w:r>
              <w:rPr>
                <w:rFonts w:ascii="Arial" w:cs="Arial" w:eastAsia="Arial" w:hAnsi="Arial"/>
                <w:sz w:val="16"/>
                <w:szCs w:val="16"/>
                <w:b w:val="1"/>
                <w:bCs w:val="1"/>
                <w:color w:val="auto"/>
              </w:rPr>
              <w:t>Income on Derivative</w:t>
            </w: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2740" w:type="dxa"/>
            <w:vAlign w:val="bottom"/>
            <w:gridSpan w:val="2"/>
            <w:vMerge w:val="restart"/>
          </w:tcPr>
          <w:p>
            <w:pPr>
              <w:jc w:val="center"/>
              <w:spacing w:after="0" w:line="142" w:lineRule="exact"/>
              <w:rPr>
                <w:sz w:val="20"/>
                <w:szCs w:val="20"/>
                <w:color w:val="auto"/>
              </w:rPr>
            </w:pPr>
            <w:r>
              <w:rPr>
                <w:rFonts w:ascii="Arial" w:cs="Arial" w:eastAsia="Arial" w:hAnsi="Arial"/>
                <w:sz w:val="16"/>
                <w:szCs w:val="16"/>
                <w:b w:val="1"/>
                <w:bCs w:val="1"/>
                <w:color w:val="auto"/>
                <w:w w:val="90"/>
              </w:rPr>
              <w:t>Recognized in Income on</w:t>
            </w:r>
          </w:p>
        </w:tc>
        <w:tc>
          <w:tcPr>
            <w:tcW w:w="180" w:type="dxa"/>
            <w:vAlign w:val="bottom"/>
          </w:tcPr>
          <w:p>
            <w:pPr>
              <w:spacing w:after="0"/>
              <w:rPr>
                <w:sz w:val="11"/>
                <w:szCs w:val="11"/>
                <w:color w:val="auto"/>
              </w:rPr>
            </w:pPr>
          </w:p>
        </w:tc>
        <w:tc>
          <w:tcPr>
            <w:tcW w:w="288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740" w:type="dxa"/>
            <w:vAlign w:val="bottom"/>
            <w:gridSpan w:val="2"/>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Pr>
          <w:p>
            <w:pPr>
              <w:spacing w:after="0"/>
              <w:rPr>
                <w:sz w:val="20"/>
                <w:szCs w:val="20"/>
                <w:color w:val="auto"/>
              </w:rPr>
            </w:pPr>
          </w:p>
        </w:tc>
        <w:tc>
          <w:tcPr>
            <w:tcW w:w="27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Derivative</w:t>
            </w:r>
          </w:p>
        </w:tc>
        <w:tc>
          <w:tcPr>
            <w:tcW w:w="180" w:type="dxa"/>
            <w:vAlign w:val="bottom"/>
          </w:tcPr>
          <w:p>
            <w:pPr>
              <w:spacing w:after="0"/>
              <w:rPr>
                <w:sz w:val="20"/>
                <w:szCs w:val="20"/>
                <w:color w:val="auto"/>
              </w:rPr>
            </w:pPr>
          </w:p>
        </w:tc>
        <w:tc>
          <w:tcPr>
            <w:tcW w:w="13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June 30,</w:t>
            </w:r>
          </w:p>
        </w:tc>
        <w:tc>
          <w:tcPr>
            <w:tcW w:w="2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Customer derivatives and dealer offsets</w:t>
            </w:r>
          </w:p>
        </w:tc>
        <w:tc>
          <w:tcPr>
            <w:tcW w:w="2740" w:type="dxa"/>
            <w:vAlign w:val="bottom"/>
            <w:gridSpan w:val="2"/>
          </w:tcPr>
          <w:p>
            <w:pPr>
              <w:ind w:left="140"/>
              <w:spacing w:after="0"/>
              <w:rPr>
                <w:sz w:val="20"/>
                <w:szCs w:val="20"/>
                <w:color w:val="auto"/>
              </w:rPr>
            </w:pPr>
            <w:r>
              <w:rPr>
                <w:rFonts w:ascii="Arial" w:cs="Arial" w:eastAsia="Arial" w:hAnsi="Arial"/>
                <w:sz w:val="16"/>
                <w:szCs w:val="16"/>
                <w:color w:val="auto"/>
              </w:rPr>
              <w:t>Other noninterest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1,224</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Bifurcated embedded derivatives and dealer offsets</w:t>
            </w:r>
          </w:p>
        </w:tc>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De-designated hedges</w:t>
            </w:r>
          </w:p>
        </w:tc>
        <w:tc>
          <w:tcPr>
            <w:tcW w:w="2740" w:type="dxa"/>
            <w:vAlign w:val="bottom"/>
            <w:gridSpan w:val="2"/>
          </w:tcPr>
          <w:p>
            <w:pPr>
              <w:ind w:left="140"/>
              <w:spacing w:after="0"/>
              <w:rPr>
                <w:sz w:val="20"/>
                <w:szCs w:val="20"/>
                <w:color w:val="auto"/>
              </w:rPr>
            </w:pPr>
            <w:r>
              <w:rPr>
                <w:rFonts w:ascii="Arial" w:cs="Arial" w:eastAsia="Arial" w:hAnsi="Arial"/>
                <w:sz w:val="16"/>
                <w:szCs w:val="16"/>
                <w:color w:val="auto"/>
              </w:rPr>
              <w:t>Other noninterest income</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banking derivatives</w:t>
            </w:r>
          </w:p>
        </w:tc>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Mortgage loan revenue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Risk participations</w:t>
            </w:r>
          </w:p>
        </w:tc>
        <w:tc>
          <w:tcPr>
            <w:tcW w:w="2740" w:type="dxa"/>
            <w:vAlign w:val="bottom"/>
            <w:gridSpan w:val="2"/>
          </w:tcPr>
          <w:p>
            <w:pPr>
              <w:ind w:left="140"/>
              <w:spacing w:after="0"/>
              <w:rPr>
                <w:sz w:val="20"/>
                <w:szCs w:val="20"/>
                <w:color w:val="auto"/>
              </w:rPr>
            </w:pPr>
            <w:r>
              <w:rPr>
                <w:rFonts w:ascii="Arial" w:cs="Arial" w:eastAsia="Arial" w:hAnsi="Arial"/>
                <w:sz w:val="16"/>
                <w:szCs w:val="16"/>
                <w:color w:val="auto"/>
              </w:rPr>
              <w:t>Other noninterest income</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562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62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6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Six Months Ended June 30,</w:t>
            </w:r>
          </w:p>
        </w:tc>
        <w:tc>
          <w:tcPr>
            <w:tcW w:w="2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Customer derivatives and dealer offsets</w:t>
            </w:r>
          </w:p>
        </w:tc>
        <w:tc>
          <w:tcPr>
            <w:tcW w:w="2740" w:type="dxa"/>
            <w:vAlign w:val="bottom"/>
            <w:gridSpan w:val="2"/>
          </w:tcPr>
          <w:p>
            <w:pPr>
              <w:ind w:left="140"/>
              <w:spacing w:after="0"/>
              <w:rPr>
                <w:sz w:val="20"/>
                <w:szCs w:val="20"/>
                <w:color w:val="auto"/>
              </w:rPr>
            </w:pPr>
            <w:r>
              <w:rPr>
                <w:rFonts w:ascii="Arial" w:cs="Arial" w:eastAsia="Arial" w:hAnsi="Arial"/>
                <w:sz w:val="16"/>
                <w:szCs w:val="16"/>
                <w:color w:val="auto"/>
              </w:rPr>
              <w:t>Other noninterest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1,727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1,417</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Bifurcated embedded derivatives and dealer offsets</w:t>
            </w:r>
          </w:p>
        </w:tc>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Interest rate caps</w:t>
            </w:r>
          </w:p>
        </w:tc>
        <w:tc>
          <w:tcPr>
            <w:tcW w:w="2740" w:type="dxa"/>
            <w:vAlign w:val="bottom"/>
            <w:gridSpan w:val="2"/>
          </w:tcPr>
          <w:p>
            <w:pPr>
              <w:ind w:left="140"/>
              <w:spacing w:after="0"/>
              <w:rPr>
                <w:sz w:val="20"/>
                <w:szCs w:val="20"/>
                <w:color w:val="auto"/>
              </w:rPr>
            </w:pPr>
            <w:r>
              <w:rPr>
                <w:rFonts w:ascii="Arial" w:cs="Arial" w:eastAsia="Arial" w:hAnsi="Arial"/>
                <w:sz w:val="16"/>
                <w:szCs w:val="16"/>
                <w:color w:val="auto"/>
              </w:rPr>
              <w:t>Other noninterest income</w:t>
            </w: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De-designated hedges</w:t>
            </w:r>
          </w:p>
        </w:tc>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Mortgage banking derivatives</w:t>
            </w:r>
          </w:p>
        </w:tc>
        <w:tc>
          <w:tcPr>
            <w:tcW w:w="2740" w:type="dxa"/>
            <w:vAlign w:val="bottom"/>
            <w:gridSpan w:val="2"/>
          </w:tcPr>
          <w:p>
            <w:pPr>
              <w:ind w:left="140"/>
              <w:spacing w:after="0"/>
              <w:rPr>
                <w:sz w:val="20"/>
                <w:szCs w:val="20"/>
                <w:color w:val="auto"/>
              </w:rPr>
            </w:pPr>
            <w:r>
              <w:rPr>
                <w:rFonts w:ascii="Arial" w:cs="Arial" w:eastAsia="Arial" w:hAnsi="Arial"/>
                <w:sz w:val="16"/>
                <w:szCs w:val="16"/>
                <w:color w:val="auto"/>
              </w:rPr>
              <w:t>Mortgage loan revenue</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(938)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1,420</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Risk participations</w:t>
            </w:r>
          </w:p>
        </w:tc>
        <w:tc>
          <w:tcPr>
            <w:tcW w:w="27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noninterest income</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56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3,423</w:t>
            </w: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Credit-Risk-Related Contingent Features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United manages its credit exposure on derivatives transactions by entering into a bilateral credit support agreement with each non-customer counterparty. The credit support agreements require collateralization of exposures beyond specified minimum threshold amounts. The details of these agreements, including the minimum thresholds, vary by counterparty. As of June 30, 2019, collateral totaling $14.8 million was pledged toward derivatives in a liability position.</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agreements with each of its derivative counterparties provide that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provide that if United fails to maintain its status as a well-capitalized institution or is subject to a prompt corrective action directive, the counterparty could terminate the derivative positions and United would be required to settle its obligations under the agreements. Derivatives that are centrally cleared do not have credit-risk-related features that would require additional collateral if United’s credit rating were downgraded.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United has an equity compensation plan that allows for grants of incentive stock options, nonqualified stock options, restricted stock and restricted stock unit awards (also referred to as “nonvested stock” awards), stock awards, performance share awards or stock appreciation rights. Options granted under the plan have an exercise price no less than the fair market value of the underlying stock at the date of grant. The general terms of the plan include a vesting period (usually four years, although certain acquisition-related performance grants may have periods of less than four years and up to ten years) with an exercisable period not to exceed ten years. Certain options, restricted stock and restricted stock unit awards provide for accelerated vesting if there is a change in control (as defined in the plan). Through June 30, 2019, incentive stock options, nonqualified stock options, restricted stock and restricted stock unit awards, base salary stock grants and performance share awards have been granted under the plan. As of June 30, 2019, 1.51 million additional awards remained available for grant under the plan.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stock option activity for the first six months of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00" w:type="dxa"/>
            <w:vAlign w:val="bottom"/>
          </w:tcPr>
          <w:p>
            <w:pPr>
              <w:spacing w:after="0"/>
              <w:rPr>
                <w:sz w:val="17"/>
                <w:szCs w:val="17"/>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00" w:type="dxa"/>
            <w:vAlign w:val="bottom"/>
          </w:tcPr>
          <w:p>
            <w:pPr>
              <w:spacing w:after="0"/>
              <w:rPr>
                <w:sz w:val="17"/>
                <w:szCs w:val="17"/>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Intrinsic</w:t>
            </w:r>
          </w:p>
        </w:tc>
      </w:tr>
      <w:tr>
        <w:trPr>
          <w:trHeight w:val="210"/>
        </w:trPr>
        <w:tc>
          <w:tcPr>
            <w:tcW w:w="5160" w:type="dxa"/>
            <w:vAlign w:val="bottom"/>
            <w:gridSpan w:val="2"/>
          </w:tcPr>
          <w:p>
            <w:pPr>
              <w:ind w:left="2240"/>
              <w:spacing w:after="0"/>
              <w:rPr>
                <w:sz w:val="20"/>
                <w:szCs w:val="20"/>
                <w:color w:val="auto"/>
              </w:rPr>
            </w:pPr>
            <w:r>
              <w:rPr>
                <w:rFonts w:ascii="Arial" w:cs="Arial" w:eastAsia="Arial" w:hAnsi="Arial"/>
                <w:sz w:val="16"/>
                <w:szCs w:val="16"/>
                <w:b w:val="1"/>
                <w:bCs w:val="1"/>
                <w:color w:val="auto"/>
              </w:rPr>
              <w:t>Options</w:t>
            </w:r>
          </w:p>
        </w:tc>
        <w:tc>
          <w:tcPr>
            <w:tcW w:w="1500" w:type="dxa"/>
            <w:vAlign w:val="bottom"/>
          </w:tcPr>
          <w:p>
            <w:pPr>
              <w:jc w:val="right"/>
              <w:ind w:right="43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Term (Years)</w:t>
            </w:r>
          </w:p>
        </w:tc>
        <w:tc>
          <w:tcPr>
            <w:tcW w:w="200" w:type="dxa"/>
            <w:vAlign w:val="bottom"/>
          </w:tcPr>
          <w:p>
            <w:pPr>
              <w:spacing w:after="0"/>
              <w:rPr>
                <w:sz w:val="18"/>
                <w:szCs w:val="18"/>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Value ($000)</w:t>
            </w:r>
          </w:p>
        </w:tc>
      </w:tr>
      <w:tr>
        <w:trPr>
          <w:trHeight w:val="33"/>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December 31, 2018</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47,139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Exercised</w:t>
            </w:r>
          </w:p>
        </w:tc>
        <w:tc>
          <w:tcPr>
            <w:tcW w:w="1500" w:type="dxa"/>
            <w:vAlign w:val="bottom"/>
          </w:tcPr>
          <w:p>
            <w:pPr>
              <w:jc w:val="right"/>
              <w:spacing w:after="0"/>
              <w:rPr>
                <w:sz w:val="20"/>
                <w:szCs w:val="20"/>
                <w:color w:val="auto"/>
              </w:rPr>
            </w:pPr>
            <w:r>
              <w:rPr>
                <w:rFonts w:ascii="Arial" w:cs="Arial" w:eastAsia="Arial" w:hAnsi="Arial"/>
                <w:sz w:val="16"/>
                <w:szCs w:val="16"/>
                <w:color w:val="auto"/>
              </w:rPr>
              <w:t>(12,000)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16.44</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Cancelled/forfeited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Expired</w:t>
            </w:r>
          </w:p>
        </w:tc>
        <w:tc>
          <w:tcPr>
            <w:tcW w:w="1500" w:type="dxa"/>
            <w:vAlign w:val="bottom"/>
          </w:tcPr>
          <w:p>
            <w:pPr>
              <w:jc w:val="right"/>
              <w:spacing w:after="0"/>
              <w:rPr>
                <w:sz w:val="20"/>
                <w:szCs w:val="20"/>
                <w:color w:val="auto"/>
              </w:rPr>
            </w:pPr>
            <w:r>
              <w:rPr>
                <w:rFonts w:ascii="Arial" w:cs="Arial" w:eastAsia="Arial" w:hAnsi="Arial"/>
                <w:sz w:val="16"/>
                <w:szCs w:val="16"/>
                <w:color w:val="auto"/>
              </w:rPr>
              <w:t>(30,243)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31.43</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June 30, 2019</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1"/>
        </w:trPr>
        <w:tc>
          <w:tcPr>
            <w:tcW w:w="5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Exercisable at June 30, 2019</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each option is estimated on the date of grant using the Black-Scholes model. No stock options were granted during the six months ended June 30, 2019 and 2018.</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recognized $12,000 in compensation expense related to stock options during the six months ended June 30, 2018, and no compensation expense related to stock options in the same period of 2019. The amount of compensation expense was determined based on the fair value of the options at the time of grant, multiplied by the number of options granted that were expected to vest, which was then amortized over the vesting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restricted stock units activity for the first six months of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26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260" w:type="dxa"/>
            <w:vAlign w:val="bottom"/>
          </w:tcPr>
          <w:p>
            <w:pPr>
              <w:spacing w:after="0"/>
              <w:rPr>
                <w:sz w:val="17"/>
                <w:szCs w:val="17"/>
                <w:color w:val="auto"/>
              </w:rPr>
            </w:pPr>
          </w:p>
        </w:tc>
      </w:t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Weighted-</w:t>
            </w:r>
          </w:p>
        </w:tc>
        <w:tc>
          <w:tcPr>
            <w:tcW w:w="17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2"/>
              </w:rPr>
              <w:t>Remaining</w:t>
            </w: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Average Grant-</w:t>
            </w:r>
          </w:p>
        </w:tc>
        <w:tc>
          <w:tcPr>
            <w:tcW w:w="17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4"/>
              </w:rPr>
              <w:t>Contractual</w:t>
            </w: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Intrinsic</w:t>
            </w:r>
          </w:p>
        </w:tc>
      </w:tr>
      <w:tr>
        <w:trPr>
          <w:trHeight w:val="210"/>
        </w:trPr>
        <w:tc>
          <w:tcPr>
            <w:tcW w:w="5160" w:type="dxa"/>
            <w:vAlign w:val="bottom"/>
            <w:gridSpan w:val="2"/>
          </w:tcPr>
          <w:p>
            <w:pPr>
              <w:ind w:left="1500"/>
              <w:spacing w:after="0"/>
              <w:rPr>
                <w:sz w:val="20"/>
                <w:szCs w:val="20"/>
                <w:color w:val="auto"/>
              </w:rPr>
            </w:pPr>
            <w:r>
              <w:rPr>
                <w:rFonts w:ascii="Arial" w:cs="Arial" w:eastAsia="Arial" w:hAnsi="Arial"/>
                <w:sz w:val="16"/>
                <w:szCs w:val="16"/>
                <w:b w:val="1"/>
                <w:bCs w:val="1"/>
                <w:color w:val="auto"/>
              </w:rPr>
              <w:t>Restricted Stock Unit Awards</w:t>
            </w:r>
          </w:p>
        </w:tc>
        <w:tc>
          <w:tcPr>
            <w:tcW w:w="1500" w:type="dxa"/>
            <w:vAlign w:val="bottom"/>
          </w:tcPr>
          <w:p>
            <w:pPr>
              <w:jc w:val="right"/>
              <w:ind w:right="43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Date Fair Value</w:t>
            </w:r>
          </w:p>
        </w:tc>
        <w:tc>
          <w:tcPr>
            <w:tcW w:w="17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4"/>
              </w:rPr>
              <w:t>Term (Years)</w:t>
            </w:r>
          </w:p>
        </w:tc>
        <w:tc>
          <w:tcPr>
            <w:tcW w:w="1260" w:type="dxa"/>
            <w:vAlign w:val="bottom"/>
          </w:tcPr>
          <w:p>
            <w:pPr>
              <w:jc w:val="center"/>
              <w:ind w:right="119"/>
              <w:spacing w:after="0"/>
              <w:rPr>
                <w:sz w:val="20"/>
                <w:szCs w:val="20"/>
                <w:color w:val="auto"/>
              </w:rPr>
            </w:pPr>
            <w:r>
              <w:rPr>
                <w:rFonts w:ascii="Arial" w:cs="Arial" w:eastAsia="Arial" w:hAnsi="Arial"/>
                <w:sz w:val="16"/>
                <w:szCs w:val="16"/>
                <w:b w:val="1"/>
                <w:bCs w:val="1"/>
                <w:color w:val="auto"/>
                <w:w w:val="92"/>
              </w:rPr>
              <w:t>Value ($000)</w:t>
            </w:r>
          </w:p>
        </w:tc>
      </w:tr>
      <w:tr>
        <w:trPr>
          <w:trHeight w:val="33"/>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December 31, 2018</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759,746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91,139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26.80</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26.16</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2,026</w:t>
            </w: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Cancelled</w:t>
            </w:r>
          </w:p>
        </w:tc>
        <w:tc>
          <w:tcPr>
            <w:tcW w:w="1500" w:type="dxa"/>
            <w:vAlign w:val="bottom"/>
          </w:tcPr>
          <w:p>
            <w:pPr>
              <w:jc w:val="right"/>
              <w:spacing w:after="0"/>
              <w:rPr>
                <w:sz w:val="20"/>
                <w:szCs w:val="20"/>
                <w:color w:val="auto"/>
              </w:rPr>
            </w:pPr>
            <w:r>
              <w:rPr>
                <w:rFonts w:ascii="Arial" w:cs="Arial" w:eastAsia="Arial" w:hAnsi="Arial"/>
                <w:sz w:val="16"/>
                <w:szCs w:val="16"/>
                <w:color w:val="auto"/>
              </w:rPr>
              <w:t>(20,887)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25.83</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June 30, 2019</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758,382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27.74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21,649</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Compensation expense for restricted stock units without market conditions is based on the market value of United’s common stock on the date of grant. United recognizes the impact of forfeitures as they occur. The value of restricted stock unit awards is amortized into expense over the service period. For the six months ended June 30, 2019 and 2018, expense of $5.83 million and $2.11 million, respectively, was recognized related to restricted stock unit awards granted to United employees. Of the expense related to restricted stock unit awards during the six months ended June 30, 2019, $1.38 million related to the modification of existing awards resulting from an acceleration of vesting of awards due to retirement and $740,000 related to awards granted in conjunction with an acquisition, both of which were recognized in merger-related and other charges in the consolidated statement of income. The remaining expense of $3.71 million for the six months ended June 30, 2019 was recognized in salaries and employee benefits expense, as was the entire amount for the six months ended June 30, 2018. In addition, for the six months ended June 30, 2019 and 2018, $169,000 and $156,000, respectively, was recognized in other operating expense for restricted stock unit awards granted to members of United’s board of directors.</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deferred income tax benefit related to stock-based compensation expense of $1.53 million and $581,000 was included in the determination of income tax expense for the six months ended June 30, 2019 and 2018, respectively. As of June 30, 2019, there was $13.0 million of unrecognized expense related to non-vested restricted stock unit awards granted under the plan. That cost is expected to be recognized over a weighted-average period of 2.3 years. As of June 30, 2019, there was no unrecognized expense related to non-vested stock options granted under the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Common Stock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of 2018, United’s Board of Directors approved an increase and extension of the existing common stock repurchase plan through December 31, 2019. Under the program, up to $50 million may be repurchased periodically in open market transactions at prevailing market prices, in privately negotiated transactions, or by other means in accordance with federal securities laws. The actual timing, number and value of shares repurchased depends on a number of factors, including the market price of United’s common stock,</w:t>
      </w:r>
    </w:p>
    <w:p>
      <w:pPr>
        <w:sectPr>
          <w:pgSz w:w="11900" w:h="16838" w:orient="portrait"/>
          <w:cols w:equalWidth="0" w:num="1">
            <w:col w:w="11420"/>
          </w:cols>
          <w:pgMar w:left="240" w:top="12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1" w:right="239" w:bottom="1440" w:gutter="0" w:footer="0" w:header="0"/>
          <w:type w:val="continuous"/>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market and economic conditions, and applicable legal requirements. During the six months ended June 30, 2019, 305,052 shares were repurchased under the program. During the six months ended June 30, 2018, no shares were repurchased under the program. As of June 30, 2019, United had remaining authorization to repurchase up to $42.2 million of outstanding common stock under the program.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income tax provision for the three and six months ended June 30, 2019 was $13.2 million and $26.1 million, respectively, which represented effective tax rates of 23.0% and 22.8%, respectively, for those periods. The income tax provision for the three and six months ended June 30, 2018 was $13.5 million and $24.3 million, respectively, which represented effective tax rates of 25.5% and 23.9%, respectively, for those periods.</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June 30, 2019 and December 31, 2018, United maintained a valuation allowance on its net deferred tax asset of $3.37 million.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valuation allowance could fluctuate in future periods based on the assessment of the positive and negative evidence. Management’s conclusion at June 30, 2019 that it was more likely than not that the net deferred tax asset of $40.9 million will be realized is based upon management’s estimate of future taxable income. Management’s estimate of future taxable income is based 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of the net deferred tax asset.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2015. Although it is not possible to know the ultimate outcome of future examinations, management believes that the liability recorded for uncertain tax positions is appropriate. At June 30, 2019 and December 31, 2018, unrecognized income tax benefits related to uncertain tax positions totaled $3.51 million and $3.26 million,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Assets and Liabilities Measured at Fair Value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 United has processes in place to review the significant valuation inputs and to reassess how the instruments are classified in the valuation framework.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Hierarchy</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Valuation is based upon quoted prices (unadjusted) in active markets for identical assets or liabilities that United has the ability to access.</w:t>
      </w:r>
    </w:p>
    <w:p>
      <w:pPr>
        <w:spacing w:after="0" w:line="23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 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(other than quoted prices), such as interest rates, foreign exchange rates, and yield curves that are observable at commonly quoted intervals.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which are typically based on an entity’s own assumptions, as there is little, if any, related market activity.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instances when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The assessment of the significance of a particular input to the fair value measurement in its entirety requires judgment and considers factors specific to the asset or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Securities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Debt securities available-for-sale and equity securities with readily determinable fair values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include: quoted market prices for similar assets, quoted market prices that are not in an active market, or other inputs that are observable in the market and can be corroborated by observable market data for substantially the full term of the securities. Securities classified as Level 3 include those traded in less liquid markets and are valued based on estimates obtained from broker-dealers that are not directly observable.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 Assets and Liabilities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Loans Held for Sale</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United has elected the fair value option for most of its newly originated mortgage loans held for sale in order to reduce certain timing differences and better match changes in fair values of the loans with changes in the value of derivative instruments used to economically hedge them. The fair value of mortgage loans held for sale is determined using quoted prices for a similar asset, adjusted for specific attributes of that loan (Level 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United uses interest rate swaps and interest rate floors to manage its interest rate risk. The valuation of these instruments is typically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 United also uses best effort and mandatory delivery forward loan sale commitments to hedge risk in its mortgage lending business.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management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management had assessed the significance of the effect of the credit valuation adjustments on the overall valuation of its derivative positions and has determined that the credit valuation adjustments are not significant to the overall valuation of its derivatives. Derivatives classified as Level 3 included structured derivatives for which broker quotes, used as a key valuation input, were not observable consistent with a Level 2 disclosure. The fair value of risk participations incorporates Level 3 inputs to evaluate the likelihood of customer default. The fair value of interest rate lock commitments, which is related to mortgage loan commitments, is categorized as Level 3 based on unobservable inputs for commitments that United does not expect to fund.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Servicing Rights for SBA/USDA Loans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United recognizes servicing rights upon the sale of SBA/USDA loans sold with servicing retained. Management has elected to carry this asset at fair value.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Given the nature of the asset, the key valuation inputs are unobservable, and management classifies this asset as Level 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Residential Mortgage Servicing Rights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United recognizes servicing rights upon the sale of residential mortgage loans sold with servicing retained. Management has elected to carry this asset at fair value. Given the nature of the asset, the key valuation inputs are unobservable, and management classifies this asset as Level 3.</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Pension Plan Assets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on the fair value of pension plan assets, see Note 17 in the 2018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Recurring Basis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the dates indicated,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Debt securities available for sale:</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153,939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153,939</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U.S. Government agencies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3,711</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3,711</w:t>
            </w: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State and political subdivisions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225,525</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225,525</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Residential mortgage-backed securities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1,333,231</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1,333,231</w:t>
            </w: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Commercial mortgage-backed securities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339,717</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339,717</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Corporate bonds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200,174</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201,169</w:t>
            </w: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Asset-backed securities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109,210</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109,210</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Equity securities with readily available fair values</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1,816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1,816</w:t>
            </w:r>
          </w:p>
        </w:tc>
      </w:tr>
      <w:tr>
        <w:trPr>
          <w:trHeight w:val="27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Mortgage loans held for sale</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46,285</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46,285</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Deferred compensation plan assets</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7,185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7,185</w:t>
            </w:r>
          </w:p>
        </w:tc>
      </w:tr>
      <w:tr>
        <w:trPr>
          <w:trHeight w:val="27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Servicing rights for SBA/USDA loans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7,380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7,380</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Residential mortgage servicing rights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w w:val="88"/>
              </w:rPr>
              <w:t>10,679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10,679</w:t>
            </w:r>
          </w:p>
        </w:tc>
      </w:tr>
      <w:tr>
        <w:trPr>
          <w:trHeight w:val="27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27,465</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7,744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35,209</w:t>
            </w:r>
          </w:p>
        </w:tc>
      </w:tr>
      <w:tr>
        <w:trPr>
          <w:trHeight w:val="283"/>
        </w:trPr>
        <w:tc>
          <w:tcPr>
            <w:tcW w:w="5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162,940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2,285,318</w:t>
            </w:r>
          </w:p>
        </w:tc>
        <w:tc>
          <w:tcPr>
            <w:tcW w:w="12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88"/>
              </w:rPr>
              <w:t>26,798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2,475,056</w:t>
            </w:r>
          </w:p>
        </w:tc>
      </w:tr>
      <w:tr>
        <w:trPr>
          <w:trHeight w:val="278"/>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7,204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7,204</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7,757</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9,012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16,769</w:t>
            </w:r>
          </w:p>
        </w:tc>
      </w:tr>
      <w:tr>
        <w:trPr>
          <w:trHeight w:val="243"/>
        </w:trPr>
        <w:tc>
          <w:tcPr>
            <w:tcW w:w="516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7,204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9,012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23,973</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80"/>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Level 2</w:t>
            </w:r>
          </w:p>
        </w:tc>
        <w:tc>
          <w:tcPr>
            <w:tcW w:w="12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256"/>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Debt securities available for sale</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U.S. Treasuries</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149,307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149,307</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U.S. Agencies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25,553</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25,553</w:t>
            </w: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State and political subdivisions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233,941</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233,941</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Residential mortgage-backed securities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1,445,910</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1,445,910</w:t>
            </w: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Commercial mortgage-backed securities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391,917</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391,917</w:t>
            </w:r>
          </w:p>
        </w:tc>
      </w:tr>
      <w:tr>
        <w:trPr>
          <w:trHeight w:val="264"/>
        </w:trPr>
        <w:tc>
          <w:tcPr>
            <w:tcW w:w="5160" w:type="dxa"/>
            <w:vAlign w:val="bottom"/>
            <w:gridSpan w:val="2"/>
          </w:tcPr>
          <w:p>
            <w:pPr>
              <w:ind w:left="280"/>
              <w:spacing w:after="0"/>
              <w:rPr>
                <w:sz w:val="20"/>
                <w:szCs w:val="20"/>
                <w:color w:val="auto"/>
              </w:rPr>
            </w:pPr>
            <w:r>
              <w:rPr>
                <w:rFonts w:ascii="Arial" w:cs="Arial" w:eastAsia="Arial" w:hAnsi="Arial"/>
                <w:sz w:val="14"/>
                <w:szCs w:val="14"/>
                <w:color w:val="auto"/>
              </w:rPr>
              <w:t>Corporate bonds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198,168</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199,163</w:t>
            </w:r>
          </w:p>
        </w:tc>
      </w:tr>
      <w:tr>
        <w:trPr>
          <w:trHeight w:val="276"/>
        </w:trPr>
        <w:tc>
          <w:tcPr>
            <w:tcW w:w="516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Asset-backed securities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182,676</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182,676</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Equity securities with readily available fair values</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1,076</w:t>
            </w:r>
          </w:p>
        </w:tc>
      </w:tr>
      <w:tr>
        <w:trPr>
          <w:trHeight w:val="27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Mortgage loans held for sale</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18,935</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18,935</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Deferred compensation plan assets</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6,404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2"/>
                <w:szCs w:val="22"/>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6,404</w:t>
            </w:r>
          </w:p>
        </w:tc>
      </w:tr>
      <w:tr>
        <w:trPr>
          <w:trHeight w:val="27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Servicing rights for SBA/USDA loans</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7,510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7,510</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Residential mortgage servicing rights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w w:val="88"/>
              </w:rPr>
              <w:t>11,877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11,877</w:t>
            </w:r>
          </w:p>
        </w:tc>
      </w:tr>
      <w:tr>
        <w:trPr>
          <w:trHeight w:val="270"/>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12,864</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8"/>
              </w:rPr>
              <w:t>11,841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24,705</w:t>
            </w:r>
          </w:p>
        </w:tc>
      </w:tr>
      <w:tr>
        <w:trPr>
          <w:trHeight w:val="283"/>
        </w:trPr>
        <w:tc>
          <w:tcPr>
            <w:tcW w:w="516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156,787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2,509,964</w:t>
            </w:r>
          </w:p>
        </w:tc>
        <w:tc>
          <w:tcPr>
            <w:tcW w:w="120" w:type="dxa"/>
            <w:vAlign w:val="bottom"/>
            <w:tcBorders>
              <w:bottom w:val="single" w:sz="8" w:color="CCEEFF"/>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88"/>
              </w:rPr>
              <w:t>32,223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2,698,974</w:t>
            </w:r>
          </w:p>
        </w:tc>
      </w:tr>
      <w:tr>
        <w:trPr>
          <w:trHeight w:val="278"/>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4"/>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Deferred compensation plan liability</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6,404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6,404</w:t>
            </w:r>
          </w:p>
        </w:tc>
      </w:tr>
      <w:tr>
        <w:trPr>
          <w:trHeight w:val="264"/>
        </w:trPr>
        <w:tc>
          <w:tcPr>
            <w:tcW w:w="5160" w:type="dxa"/>
            <w:vAlign w:val="bottom"/>
            <w:gridSpan w:val="2"/>
          </w:tcPr>
          <w:p>
            <w:pPr>
              <w:ind w:left="180"/>
              <w:spacing w:after="0"/>
              <w:rPr>
                <w:sz w:val="20"/>
                <w:szCs w:val="20"/>
                <w:color w:val="auto"/>
              </w:rPr>
            </w:pPr>
            <w:r>
              <w:rPr>
                <w:rFonts w:ascii="Arial" w:cs="Arial" w:eastAsia="Arial" w:hAnsi="Arial"/>
                <w:sz w:val="14"/>
                <w:szCs w:val="14"/>
                <w:color w:val="auto"/>
              </w:rPr>
              <w:t>Derivative financial instruments</w:t>
            </w:r>
          </w:p>
        </w:tc>
        <w:tc>
          <w:tcPr>
            <w:tcW w:w="300" w:type="dxa"/>
            <w:vAlign w:val="bottom"/>
          </w:tcPr>
          <w:p>
            <w:pPr>
              <w:spacing w:after="0"/>
              <w:rPr>
                <w:sz w:val="22"/>
                <w:szCs w:val="2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10,701</w:t>
            </w: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w w:val="88"/>
              </w:rPr>
              <w:t>15,732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26,433</w:t>
            </w:r>
          </w:p>
        </w:tc>
      </w:tr>
      <w:tr>
        <w:trPr>
          <w:trHeight w:val="243"/>
        </w:trPr>
        <w:tc>
          <w:tcPr>
            <w:tcW w:w="516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8"/>
              </w:rPr>
              <w:t>15,732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32,837</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568"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1" w:right="239" w:bottom="568" w:gutter="0" w:footer="0" w:header="0"/>
          <w:type w:val="continuous"/>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the periods indicated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2019</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2018</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Servicing</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Residential</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Servicing</w:t>
            </w:r>
          </w:p>
        </w:tc>
        <w:tc>
          <w:tcPr>
            <w:tcW w:w="12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Residential</w:t>
            </w:r>
          </w:p>
        </w:tc>
        <w:tc>
          <w:tcPr>
            <w:tcW w:w="140" w:type="dxa"/>
            <w:vAlign w:val="bottom"/>
          </w:tcPr>
          <w:p>
            <w:pPr>
              <w:spacing w:after="0"/>
              <w:rPr>
                <w:sz w:val="14"/>
                <w:szCs w:val="14"/>
                <w:color w:val="auto"/>
              </w:rPr>
            </w:pPr>
          </w:p>
        </w:tc>
        <w:tc>
          <w:tcPr>
            <w:tcW w:w="76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Debt</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rights for</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mortgage</w:t>
            </w: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Debt Securities</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rights for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mortgage</w:t>
            </w:r>
          </w:p>
        </w:tc>
        <w:tc>
          <w:tcPr>
            <w:tcW w:w="140" w:type="dxa"/>
            <w:vAlign w:val="bottom"/>
          </w:tcPr>
          <w:p>
            <w:pPr>
              <w:spacing w:after="0"/>
              <w:rPr>
                <w:sz w:val="12"/>
                <w:szCs w:val="12"/>
                <w:color w:val="auto"/>
              </w:rPr>
            </w:pPr>
          </w:p>
        </w:tc>
        <w:tc>
          <w:tcPr>
            <w:tcW w:w="76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83"/>
              </w:rPr>
              <w:t>Securities</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12"/>
                <w:szCs w:val="12"/>
                <w:color w:val="auto"/>
              </w:rPr>
            </w:pPr>
          </w:p>
        </w:tc>
        <w:tc>
          <w:tcPr>
            <w:tcW w:w="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Derivative</w:t>
            </w: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SBA/USDA</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1"/>
              </w:rPr>
              <w:t>servicing</w:t>
            </w:r>
          </w:p>
        </w:tc>
        <w:tc>
          <w:tcPr>
            <w:tcW w:w="10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Available-for-</w:t>
            </w:r>
          </w:p>
        </w:tc>
        <w:tc>
          <w:tcPr>
            <w:tcW w:w="12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Derivative</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SBA/USDA</w:t>
            </w: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servicing</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Available-for-</w:t>
            </w:r>
          </w:p>
        </w:tc>
        <w:tc>
          <w:tcPr>
            <w:tcW w:w="0" w:type="dxa"/>
            <w:vAlign w:val="bottom"/>
          </w:tcPr>
          <w:p>
            <w:pPr>
              <w:spacing w:after="0"/>
              <w:rPr>
                <w:sz w:val="1"/>
                <w:szCs w:val="1"/>
                <w:color w:val="auto"/>
              </w:rPr>
            </w:pPr>
          </w:p>
        </w:tc>
      </w:tr>
      <w:tr>
        <w:trPr>
          <w:trHeight w:val="182"/>
        </w:trPr>
        <w:tc>
          <w:tcPr>
            <w:tcW w:w="1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Asset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Liability</w:t>
            </w: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1"/>
              </w:rPr>
              <w:t>loans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7"/>
              </w:rPr>
              <w:t>rights</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Sale</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Asset</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Liability</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1"/>
              </w:rPr>
              <w:t>loans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7"/>
              </w:rPr>
              <w:t>rights</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3"/>
              </w:rPr>
              <w:t>Sale</w:t>
            </w:r>
          </w:p>
        </w:tc>
        <w:tc>
          <w:tcPr>
            <w:tcW w:w="0" w:type="dxa"/>
            <w:vAlign w:val="bottom"/>
          </w:tcPr>
          <w:p>
            <w:pPr>
              <w:spacing w:after="0"/>
              <w:rPr>
                <w:sz w:val="1"/>
                <w:szCs w:val="1"/>
                <w:color w:val="auto"/>
              </w:rPr>
            </w:pPr>
          </w:p>
        </w:tc>
      </w:tr>
      <w:tr>
        <w:trPr>
          <w:trHeight w:val="250"/>
        </w:trPr>
        <w:tc>
          <w:tcPr>
            <w:tcW w:w="232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1"/>
              </w:rPr>
              <w:t>Balance at beginning</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9,561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11,444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7,401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11,447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995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13,877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17,788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7,470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9,718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263"/>
        </w:trPr>
        <w:tc>
          <w:tcPr>
            <w:tcW w:w="1260" w:type="dxa"/>
            <w:vAlign w:val="bottom"/>
          </w:tcPr>
          <w:p>
            <w:pPr>
              <w:ind w:left="180"/>
              <w:spacing w:after="0"/>
              <w:rPr>
                <w:sz w:val="20"/>
                <w:szCs w:val="20"/>
                <w:color w:val="auto"/>
              </w:rPr>
            </w:pPr>
            <w:r>
              <w:rPr>
                <w:rFonts w:ascii="Arial" w:cs="Arial" w:eastAsia="Arial" w:hAnsi="Arial"/>
                <w:sz w:val="14"/>
                <w:szCs w:val="14"/>
                <w:color w:val="auto"/>
              </w:rPr>
              <w:t>Additions</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52"/>
              <w:spacing w:after="0"/>
              <w:rPr>
                <w:sz w:val="20"/>
                <w:szCs w:val="20"/>
                <w:color w:val="auto"/>
              </w:rPr>
            </w:pPr>
            <w:r>
              <w:rPr>
                <w:rFonts w:ascii="Arial" w:cs="Arial" w:eastAsia="Arial" w:hAnsi="Arial"/>
                <w:sz w:val="14"/>
                <w:szCs w:val="14"/>
                <w:color w:val="auto"/>
              </w:rPr>
              <w:t>1,228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613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1,182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and</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settlements</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260" w:type="dxa"/>
            <w:vAlign w:val="bottom"/>
          </w:tcPr>
          <w:p>
            <w:pPr>
              <w:ind w:left="18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tcPr>
          <w:p>
            <w:pPr>
              <w:ind w:left="180"/>
              <w:spacing w:after="0" w:line="149" w:lineRule="exact"/>
              <w:rPr>
                <w:sz w:val="20"/>
                <w:szCs w:val="20"/>
                <w:color w:val="auto"/>
              </w:rPr>
            </w:pPr>
            <w:r>
              <w:rPr>
                <w:rFonts w:ascii="Arial" w:cs="Arial" w:eastAsia="Arial" w:hAnsi="Arial"/>
                <w:sz w:val="14"/>
                <w:szCs w:val="14"/>
                <w:color w:val="auto"/>
              </w:rPr>
              <w:t>comprehensive</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1260" w:type="dxa"/>
            <w:vAlign w:val="bottom"/>
          </w:tcPr>
          <w:p>
            <w:pPr>
              <w:ind w:left="180"/>
              <w:spacing w:after="0"/>
              <w:rPr>
                <w:sz w:val="20"/>
                <w:szCs w:val="20"/>
                <w:color w:val="auto"/>
              </w:rPr>
            </w:pPr>
            <w:r>
              <w:rPr>
                <w:rFonts w:ascii="Arial" w:cs="Arial" w:eastAsia="Arial" w:hAnsi="Arial"/>
                <w:sz w:val="14"/>
                <w:szCs w:val="14"/>
                <w:color w:val="auto"/>
              </w:rPr>
              <w:t>income</w:t>
            </w:r>
          </w:p>
        </w:tc>
        <w:tc>
          <w:tcPr>
            <w:tcW w:w="1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72"/>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Amounts included</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 earnings - fair</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value adjustments</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(1,817)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(238)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(1,843)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633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578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5"/>
        </w:trPr>
        <w:tc>
          <w:tcPr>
            <w:tcW w:w="1260" w:type="dxa"/>
            <w:vAlign w:val="bottom"/>
          </w:tcPr>
          <w:p>
            <w:pPr>
              <w:ind w:left="40"/>
              <w:spacing w:after="0" w:line="145" w:lineRule="exact"/>
              <w:rPr>
                <w:sz w:val="20"/>
                <w:szCs w:val="20"/>
                <w:color w:val="auto"/>
              </w:rPr>
            </w:pPr>
            <w:r>
              <w:rPr>
                <w:rFonts w:ascii="Arial" w:cs="Arial" w:eastAsia="Arial" w:hAnsi="Arial"/>
                <w:sz w:val="14"/>
                <w:szCs w:val="14"/>
                <w:color w:val="auto"/>
              </w:rPr>
              <w:t>Balance at end of</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7,744</w:t>
            </w:r>
          </w:p>
        </w:tc>
        <w:tc>
          <w:tcPr>
            <w:tcW w:w="1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9,012</w:t>
            </w:r>
          </w:p>
        </w:tc>
        <w:tc>
          <w:tcPr>
            <w:tcW w:w="14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7,380</w:t>
            </w:r>
          </w:p>
        </w:tc>
        <w:tc>
          <w:tcPr>
            <w:tcW w:w="1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10,679</w:t>
            </w:r>
          </w:p>
        </w:tc>
        <w:tc>
          <w:tcPr>
            <w:tcW w:w="120" w:type="dxa"/>
            <w:vAlign w:val="bottom"/>
          </w:tcPr>
          <w:p>
            <w:pPr>
              <w:spacing w:after="0"/>
              <w:rPr>
                <w:sz w:val="12"/>
                <w:szCs w:val="12"/>
                <w:color w:val="auto"/>
              </w:rPr>
            </w:pPr>
          </w:p>
        </w:tc>
        <w:tc>
          <w:tcPr>
            <w:tcW w:w="2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995</w:t>
            </w:r>
          </w:p>
        </w:tc>
        <w:tc>
          <w:tcPr>
            <w:tcW w:w="14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14,510</w:t>
            </w:r>
          </w:p>
        </w:tc>
        <w:tc>
          <w:tcPr>
            <w:tcW w:w="1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18,366</w:t>
            </w: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7,509</w:t>
            </w:r>
          </w:p>
        </w:tc>
        <w:tc>
          <w:tcPr>
            <w:tcW w:w="10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10,801</w:t>
            </w:r>
          </w:p>
        </w:tc>
        <w:tc>
          <w:tcPr>
            <w:tcW w:w="10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990</w:t>
            </w:r>
          </w:p>
        </w:tc>
        <w:tc>
          <w:tcPr>
            <w:tcW w:w="0" w:type="dxa"/>
            <w:vAlign w:val="bottom"/>
          </w:tcPr>
          <w:p>
            <w:pPr>
              <w:spacing w:after="0"/>
              <w:rPr>
                <w:sz w:val="1"/>
                <w:szCs w:val="1"/>
                <w:color w:val="auto"/>
              </w:rPr>
            </w:pPr>
          </w:p>
        </w:tc>
      </w:tr>
      <w:tr>
        <w:trPr>
          <w:trHeight w:val="213"/>
        </w:trPr>
        <w:tc>
          <w:tcPr>
            <w:tcW w:w="1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period</w:t>
            </w:r>
          </w:p>
        </w:tc>
        <w:tc>
          <w:tcPr>
            <w:tcW w:w="14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1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320" w:type="dxa"/>
            <w:vAlign w:val="bottom"/>
            <w:gridSpan w:val="4"/>
          </w:tcPr>
          <w:p>
            <w:pPr>
              <w:ind w:left="40"/>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Balance at</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w w:val="91"/>
              </w:rPr>
              <w:t>beginning of period $</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11,841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15,732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7,510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11,877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995</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12,207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16,744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7,740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8,262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165"/>
        </w:trPr>
        <w:tc>
          <w:tcPr>
            <w:tcW w:w="1260" w:type="dxa"/>
            <w:vAlign w:val="bottom"/>
          </w:tcPr>
          <w:p>
            <w:pPr>
              <w:ind w:left="180"/>
              <w:spacing w:after="0"/>
              <w:rPr>
                <w:sz w:val="20"/>
                <w:szCs w:val="20"/>
                <w:color w:val="auto"/>
              </w:rPr>
            </w:pPr>
            <w:r>
              <w:rPr>
                <w:rFonts w:ascii="Arial" w:cs="Arial" w:eastAsia="Arial" w:hAnsi="Arial"/>
                <w:sz w:val="14"/>
                <w:szCs w:val="14"/>
                <w:color w:val="auto"/>
              </w:rPr>
              <w:t>Business</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260" w:type="dxa"/>
            <w:vAlign w:val="bottom"/>
          </w:tcPr>
          <w:p>
            <w:pPr>
              <w:ind w:left="180"/>
              <w:spacing w:after="0"/>
              <w:rPr>
                <w:sz w:val="20"/>
                <w:szCs w:val="20"/>
                <w:color w:val="auto"/>
              </w:rPr>
            </w:pPr>
            <w:r>
              <w:rPr>
                <w:rFonts w:ascii="Arial" w:cs="Arial" w:eastAsia="Arial" w:hAnsi="Arial"/>
                <w:sz w:val="14"/>
                <w:szCs w:val="14"/>
                <w:color w:val="auto"/>
              </w:rPr>
              <w:t>combinations</w:t>
            </w:r>
          </w:p>
        </w:tc>
        <w:tc>
          <w:tcPr>
            <w:tcW w:w="14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7"/>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Additions</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2,091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1,092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2,108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1260" w:type="dxa"/>
            <w:vAlign w:val="bottom"/>
          </w:tcPr>
          <w:p>
            <w:pPr>
              <w:ind w:left="180"/>
              <w:spacing w:after="0"/>
              <w:rPr>
                <w:sz w:val="20"/>
                <w:szCs w:val="20"/>
                <w:color w:val="auto"/>
              </w:rPr>
            </w:pPr>
            <w:r>
              <w:rPr>
                <w:rFonts w:ascii="Arial" w:cs="Arial" w:eastAsia="Arial" w:hAnsi="Arial"/>
                <w:sz w:val="14"/>
                <w:szCs w:val="14"/>
                <w:color w:val="auto"/>
              </w:rPr>
              <w:t>Sales and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260" w:type="dxa"/>
            <w:vAlign w:val="bottom"/>
          </w:tcPr>
          <w:p>
            <w:pPr>
              <w:ind w:left="180"/>
              <w:spacing w:after="0"/>
              <w:rPr>
                <w:sz w:val="20"/>
                <w:szCs w:val="20"/>
                <w:color w:val="auto"/>
              </w:rPr>
            </w:pPr>
            <w:r>
              <w:rPr>
                <w:rFonts w:ascii="Arial" w:cs="Arial" w:eastAsia="Arial" w:hAnsi="Arial"/>
                <w:sz w:val="14"/>
                <w:szCs w:val="14"/>
                <w:color w:val="auto"/>
              </w:rPr>
              <w:t>settlements</w:t>
            </w:r>
          </w:p>
        </w:tc>
        <w:tc>
          <w:tcPr>
            <w:tcW w:w="140" w:type="dxa"/>
            <w:vAlign w:val="bottom"/>
          </w:tcPr>
          <w:p>
            <w:pPr>
              <w:spacing w:after="0"/>
              <w:rPr>
                <w:sz w:val="15"/>
                <w:szCs w:val="15"/>
                <w:color w:val="auto"/>
              </w:rPr>
            </w:pP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(1,135)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(2,330)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(551)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(1,029)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comprehensive</w:t>
            </w: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65"/>
        </w:trPr>
        <w:tc>
          <w:tcPr>
            <w:tcW w:w="1260" w:type="dxa"/>
            <w:vAlign w:val="bottom"/>
          </w:tcPr>
          <w:p>
            <w:pPr>
              <w:ind w:left="180"/>
              <w:spacing w:after="0"/>
              <w:rPr>
                <w:sz w:val="20"/>
                <w:szCs w:val="20"/>
                <w:color w:val="auto"/>
              </w:rPr>
            </w:pPr>
            <w:r>
              <w:rPr>
                <w:rFonts w:ascii="Arial" w:cs="Arial" w:eastAsia="Arial" w:hAnsi="Arial"/>
                <w:sz w:val="14"/>
                <w:szCs w:val="14"/>
                <w:color w:val="auto"/>
                <w:w w:val="95"/>
              </w:rPr>
              <w:t>Amounts included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60" w:type="dxa"/>
            <w:vAlign w:val="bottom"/>
          </w:tcPr>
          <w:p>
            <w:pPr>
              <w:ind w:left="180"/>
              <w:spacing w:after="0" w:line="149" w:lineRule="exact"/>
              <w:rPr>
                <w:sz w:val="20"/>
                <w:szCs w:val="20"/>
                <w:color w:val="auto"/>
              </w:rPr>
            </w:pPr>
            <w:r>
              <w:rPr>
                <w:rFonts w:ascii="Arial" w:cs="Arial" w:eastAsia="Arial" w:hAnsi="Arial"/>
                <w:sz w:val="14"/>
                <w:szCs w:val="14"/>
                <w:color w:val="auto"/>
              </w:rPr>
              <w:t>in earnings - fair</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260" w:type="dxa"/>
            <w:vAlign w:val="bottom"/>
          </w:tcPr>
          <w:p>
            <w:pPr>
              <w:ind w:left="180"/>
              <w:spacing w:after="0"/>
              <w:rPr>
                <w:sz w:val="20"/>
                <w:szCs w:val="20"/>
                <w:color w:val="auto"/>
              </w:rPr>
            </w:pPr>
            <w:r>
              <w:rPr>
                <w:rFonts w:ascii="Arial" w:cs="Arial" w:eastAsia="Arial" w:hAnsi="Arial"/>
                <w:sz w:val="14"/>
                <w:szCs w:val="14"/>
                <w:color w:val="auto"/>
                <w:w w:val="93"/>
              </w:rPr>
              <w:t>value adjustments</w:t>
            </w:r>
          </w:p>
        </w:tc>
        <w:tc>
          <w:tcPr>
            <w:tcW w:w="140" w:type="dxa"/>
            <w:vAlign w:val="bottom"/>
          </w:tcPr>
          <w:p>
            <w:pPr>
              <w:spacing w:after="0"/>
              <w:rPr>
                <w:sz w:val="15"/>
                <w:szCs w:val="15"/>
                <w:color w:val="auto"/>
              </w:rPr>
            </w:pPr>
          </w:p>
        </w:tc>
        <w:tc>
          <w:tcPr>
            <w:tcW w:w="800" w:type="dxa"/>
            <w:vAlign w:val="bottom"/>
          </w:tcPr>
          <w:p>
            <w:pPr>
              <w:jc w:val="right"/>
              <w:ind w:right="12"/>
              <w:spacing w:after="0"/>
              <w:rPr>
                <w:sz w:val="20"/>
                <w:szCs w:val="20"/>
                <w:color w:val="auto"/>
              </w:rPr>
            </w:pPr>
            <w:r>
              <w:rPr>
                <w:rFonts w:ascii="Arial" w:cs="Arial" w:eastAsia="Arial" w:hAnsi="Arial"/>
                <w:sz w:val="14"/>
                <w:szCs w:val="14"/>
                <w:color w:val="auto"/>
              </w:rPr>
              <w:t>(2,962)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(4,390)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(2,986)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3,332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2,969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32"/>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1"/>
        </w:trPr>
        <w:tc>
          <w:tcPr>
            <w:tcW w:w="1260" w:type="dxa"/>
            <w:vAlign w:val="bottom"/>
            <w:tcBorders>
              <w:top w:val="single" w:sz="8" w:color="CCEEFF"/>
            </w:tcBorders>
            <w:shd w:val="clear" w:color="auto" w:fill="CCEEFF"/>
          </w:tcPr>
          <w:p>
            <w:pPr>
              <w:ind w:left="40"/>
              <w:spacing w:after="0" w:line="151" w:lineRule="exact"/>
              <w:rPr>
                <w:sz w:val="20"/>
                <w:szCs w:val="20"/>
                <w:color w:val="auto"/>
              </w:rPr>
            </w:pPr>
            <w:r>
              <w:rPr>
                <w:rFonts w:ascii="Arial" w:cs="Arial" w:eastAsia="Arial" w:hAnsi="Arial"/>
                <w:sz w:val="14"/>
                <w:szCs w:val="14"/>
                <w:color w:val="auto"/>
              </w:rPr>
              <w:t>Balance at end of</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7,744</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9,012</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7,380</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10,679</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995</w:t>
            </w:r>
          </w:p>
        </w:tc>
        <w:tc>
          <w:tcPr>
            <w:tcW w:w="1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14,510</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18,366</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7,509</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10,801</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990</w:t>
            </w:r>
          </w:p>
        </w:tc>
        <w:tc>
          <w:tcPr>
            <w:tcW w:w="0" w:type="dxa"/>
            <w:vAlign w:val="bottom"/>
          </w:tcPr>
          <w:p>
            <w:pPr>
              <w:spacing w:after="0"/>
              <w:rPr>
                <w:sz w:val="1"/>
                <w:szCs w:val="1"/>
                <w:color w:val="auto"/>
              </w:rPr>
            </w:pPr>
          </w:p>
        </w:tc>
      </w:tr>
      <w:tr>
        <w:trPr>
          <w:trHeight w:val="173"/>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period</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quantitative information about Level 3 fair value measurements for fair value on a recurring basis as of the dates indicated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6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Level 3 Assets and Liabilities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6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Valuation Technique</w:t>
            </w:r>
          </w:p>
        </w:tc>
        <w:tc>
          <w:tcPr>
            <w:tcW w:w="0" w:type="dxa"/>
            <w:vAlign w:val="bottom"/>
          </w:tcPr>
          <w:p>
            <w:pPr>
              <w:spacing w:after="0"/>
              <w:rPr>
                <w:sz w:val="1"/>
                <w:szCs w:val="1"/>
                <w:color w:val="auto"/>
              </w:rPr>
            </w:pPr>
          </w:p>
        </w:tc>
      </w:tr>
      <w:tr>
        <w:trPr>
          <w:trHeight w:val="216"/>
        </w:trPr>
        <w:tc>
          <w:tcPr>
            <w:tcW w:w="2760" w:type="dxa"/>
            <w:vAlign w:val="bottom"/>
            <w:gridSpan w:val="2"/>
          </w:tcPr>
          <w:p>
            <w:pPr>
              <w:ind w:left="40"/>
              <w:spacing w:after="0"/>
              <w:rPr>
                <w:sz w:val="20"/>
                <w:szCs w:val="20"/>
                <w:color w:val="auto"/>
              </w:rPr>
            </w:pPr>
            <w:r>
              <w:rPr>
                <w:rFonts w:ascii="Arial" w:cs="Arial" w:eastAsia="Arial" w:hAnsi="Arial"/>
                <w:sz w:val="14"/>
                <w:szCs w:val="14"/>
                <w:color w:val="auto"/>
              </w:rPr>
              <w:t>Servicing rights for SBA/USDA loans</w:t>
            </w:r>
          </w:p>
        </w:tc>
        <w:tc>
          <w:tcPr>
            <w:tcW w:w="18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7,380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7,510</w:t>
            </w:r>
          </w:p>
        </w:tc>
        <w:tc>
          <w:tcPr>
            <w:tcW w:w="100" w:type="dxa"/>
            <w:vAlign w:val="bottom"/>
          </w:tcPr>
          <w:p>
            <w:pPr>
              <w:spacing w:after="0"/>
              <w:rPr>
                <w:sz w:val="18"/>
                <w:szCs w:val="18"/>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Discounted cash flow</w:t>
            </w:r>
          </w:p>
        </w:tc>
        <w:tc>
          <w:tcPr>
            <w:tcW w:w="0" w:type="dxa"/>
            <w:vAlign w:val="bottom"/>
          </w:tcPr>
          <w:p>
            <w:pPr>
              <w:spacing w:after="0"/>
              <w:rPr>
                <w:sz w:val="1"/>
                <w:szCs w:val="1"/>
                <w:color w:val="auto"/>
              </w:rPr>
            </w:pPr>
          </w:p>
        </w:tc>
      </w:tr>
      <w:tr>
        <w:trPr>
          <w:trHeight w:val="527"/>
        </w:trPr>
        <w:tc>
          <w:tcPr>
            <w:tcW w:w="2760" w:type="dxa"/>
            <w:vAlign w:val="bottom"/>
            <w:gridSpan w:val="2"/>
          </w:tcPr>
          <w:p>
            <w:pPr>
              <w:ind w:left="40"/>
              <w:spacing w:after="0"/>
              <w:rPr>
                <w:sz w:val="20"/>
                <w:szCs w:val="20"/>
                <w:color w:val="auto"/>
              </w:rPr>
            </w:pPr>
            <w:r>
              <w:rPr>
                <w:rFonts w:ascii="Arial" w:cs="Arial" w:eastAsia="Arial" w:hAnsi="Arial"/>
                <w:sz w:val="14"/>
                <w:szCs w:val="14"/>
                <w:color w:val="auto"/>
              </w:rPr>
              <w:t>Residential mortgage servicing rights</w:t>
            </w:r>
          </w:p>
        </w:tc>
        <w:tc>
          <w:tcPr>
            <w:tcW w:w="180" w:type="dxa"/>
            <w:vAlign w:val="bottom"/>
          </w:tcPr>
          <w:p>
            <w:pPr>
              <w:spacing w:after="0"/>
              <w:rPr>
                <w:sz w:val="24"/>
                <w:szCs w:val="24"/>
                <w:color w:val="auto"/>
              </w:rPr>
            </w:pPr>
          </w:p>
        </w:tc>
        <w:tc>
          <w:tcPr>
            <w:tcW w:w="840" w:type="dxa"/>
            <w:vAlign w:val="bottom"/>
          </w:tcPr>
          <w:p>
            <w:pPr>
              <w:jc w:val="right"/>
              <w:ind w:right="52"/>
              <w:spacing w:after="0"/>
              <w:rPr>
                <w:sz w:val="20"/>
                <w:szCs w:val="20"/>
                <w:color w:val="auto"/>
              </w:rPr>
            </w:pPr>
            <w:r>
              <w:rPr>
                <w:rFonts w:ascii="Arial" w:cs="Arial" w:eastAsia="Arial" w:hAnsi="Arial"/>
                <w:sz w:val="14"/>
                <w:szCs w:val="14"/>
                <w:color w:val="auto"/>
              </w:rPr>
              <w:t>10,679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11,877</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rPr>
              <w:t>Discounted cash flow</w:t>
            </w:r>
          </w:p>
        </w:tc>
        <w:tc>
          <w:tcPr>
            <w:tcW w:w="0" w:type="dxa"/>
            <w:vAlign w:val="bottom"/>
          </w:tcPr>
          <w:p>
            <w:pPr>
              <w:spacing w:after="0"/>
              <w:rPr>
                <w:sz w:val="1"/>
                <w:szCs w:val="1"/>
                <w:color w:val="auto"/>
              </w:rPr>
            </w:pPr>
          </w:p>
        </w:tc>
      </w:tr>
      <w:tr>
        <w:trPr>
          <w:trHeight w:val="706"/>
        </w:trPr>
        <w:tc>
          <w:tcPr>
            <w:tcW w:w="2760" w:type="dxa"/>
            <w:vAlign w:val="bottom"/>
            <w:gridSpan w:val="2"/>
            <w:vMerge w:val="restart"/>
          </w:tcPr>
          <w:p>
            <w:pPr>
              <w:ind w:left="40"/>
              <w:spacing w:after="0"/>
              <w:rPr>
                <w:sz w:val="20"/>
                <w:szCs w:val="20"/>
                <w:color w:val="auto"/>
              </w:rPr>
            </w:pPr>
            <w:r>
              <w:rPr>
                <w:rFonts w:ascii="Arial" w:cs="Arial" w:eastAsia="Arial" w:hAnsi="Arial"/>
                <w:sz w:val="14"/>
                <w:szCs w:val="14"/>
                <w:color w:val="auto"/>
              </w:rPr>
              <w:t>Corporate bonds</w:t>
            </w:r>
          </w:p>
        </w:tc>
        <w:tc>
          <w:tcPr>
            <w:tcW w:w="180" w:type="dxa"/>
            <w:vAlign w:val="bottom"/>
          </w:tcPr>
          <w:p>
            <w:pPr>
              <w:spacing w:after="0"/>
              <w:rPr>
                <w:sz w:val="24"/>
                <w:szCs w:val="24"/>
                <w:color w:val="auto"/>
              </w:rPr>
            </w:pPr>
          </w:p>
        </w:tc>
        <w:tc>
          <w:tcPr>
            <w:tcW w:w="840" w:type="dxa"/>
            <w:vAlign w:val="bottom"/>
            <w:vMerge w:val="restart"/>
          </w:tcPr>
          <w:p>
            <w:pPr>
              <w:jc w:val="right"/>
              <w:ind w:right="52"/>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vMerge w:val="restart"/>
          </w:tcPr>
          <w:p>
            <w:pPr>
              <w:jc w:val="right"/>
              <w:ind w:right="52"/>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24"/>
                <w:szCs w:val="24"/>
                <w:color w:val="auto"/>
              </w:rPr>
            </w:pPr>
          </w:p>
        </w:tc>
        <w:tc>
          <w:tcPr>
            <w:tcW w:w="1600" w:type="dxa"/>
            <w:vAlign w:val="bottom"/>
          </w:tcPr>
          <w:p>
            <w:pPr>
              <w:ind w:left="40"/>
              <w:spacing w:after="0"/>
              <w:rPr>
                <w:sz w:val="20"/>
                <w:szCs w:val="20"/>
                <w:color w:val="auto"/>
              </w:rPr>
            </w:pPr>
            <w:r>
              <w:rPr>
                <w:rFonts w:ascii="Arial" w:cs="Arial" w:eastAsia="Arial" w:hAnsi="Arial"/>
                <w:sz w:val="14"/>
                <w:szCs w:val="14"/>
                <w:color w:val="auto"/>
                <w:w w:val="90"/>
              </w:rPr>
              <w:t>Indicative bid provided by a</w:t>
            </w:r>
          </w:p>
        </w:tc>
        <w:tc>
          <w:tcPr>
            <w:tcW w:w="0" w:type="dxa"/>
            <w:vAlign w:val="bottom"/>
          </w:tcPr>
          <w:p>
            <w:pPr>
              <w:spacing w:after="0"/>
              <w:rPr>
                <w:sz w:val="1"/>
                <w:szCs w:val="1"/>
                <w:color w:val="auto"/>
              </w:rPr>
            </w:pPr>
          </w:p>
        </w:tc>
      </w:tr>
      <w:tr>
        <w:trPr>
          <w:trHeight w:val="105"/>
        </w:trPr>
        <w:tc>
          <w:tcPr>
            <w:tcW w:w="27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00" w:type="dxa"/>
            <w:vAlign w:val="bottom"/>
            <w:vMerge w:val="restart"/>
          </w:tcPr>
          <w:p>
            <w:pPr>
              <w:ind w:left="40"/>
              <w:spacing w:after="0"/>
              <w:rPr>
                <w:sz w:val="20"/>
                <w:szCs w:val="20"/>
                <w:color w:val="auto"/>
              </w:rPr>
            </w:pPr>
            <w:r>
              <w:rPr>
                <w:rFonts w:ascii="Arial" w:cs="Arial" w:eastAsia="Arial" w:hAnsi="Arial"/>
                <w:sz w:val="14"/>
                <w:szCs w:val="14"/>
                <w:color w:val="auto"/>
              </w:rPr>
              <w:t>broker</w:t>
            </w:r>
          </w:p>
        </w:tc>
        <w:tc>
          <w:tcPr>
            <w:tcW w:w="0" w:type="dxa"/>
            <w:vAlign w:val="bottom"/>
          </w:tcPr>
          <w:p>
            <w:pPr>
              <w:spacing w:after="0"/>
              <w:rPr>
                <w:sz w:val="1"/>
                <w:szCs w:val="1"/>
                <w:color w:val="auto"/>
              </w:rPr>
            </w:pPr>
          </w:p>
        </w:tc>
      </w:tr>
      <w:tr>
        <w:trPr>
          <w:trHeight w:val="68"/>
        </w:trPr>
        <w:tc>
          <w:tcPr>
            <w:tcW w:w="2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-1036955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506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06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Weighted Average</w:t>
            </w:r>
          </w:p>
        </w:tc>
      </w:tr>
      <w:tr>
        <w:trPr>
          <w:trHeight w:val="352"/>
        </w:trPr>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June 30,</w:t>
            </w:r>
          </w:p>
        </w:tc>
        <w:tc>
          <w:tcPr>
            <w:tcW w:w="1060" w:type="dxa"/>
            <w:vAlign w:val="bottom"/>
          </w:tcPr>
          <w:p>
            <w:pPr>
              <w:ind w:left="140"/>
              <w:spacing w:after="0"/>
              <w:rPr>
                <w:sz w:val="20"/>
                <w:szCs w:val="20"/>
                <w:color w:val="auto"/>
              </w:rPr>
            </w:pPr>
            <w:r>
              <w:rPr>
                <w:rFonts w:ascii="Arial" w:cs="Arial" w:eastAsia="Arial" w:hAnsi="Arial"/>
                <w:sz w:val="14"/>
                <w:szCs w:val="14"/>
                <w:b w:val="1"/>
                <w:bCs w:val="1"/>
                <w:color w:val="auto"/>
                <w:w w:val="98"/>
              </w:rPr>
              <w:t>December 31,</w:t>
            </w:r>
          </w:p>
        </w:tc>
      </w:tr>
      <w:tr>
        <w:trPr>
          <w:trHeight w:val="182"/>
        </w:trPr>
        <w:tc>
          <w:tcPr>
            <w:tcW w:w="240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Unobservable Inputs</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2018</w:t>
            </w:r>
          </w:p>
        </w:tc>
      </w:tr>
      <w:tr>
        <w:trPr>
          <w:trHeight w:val="216"/>
        </w:trPr>
        <w:tc>
          <w:tcPr>
            <w:tcW w:w="2400" w:type="dxa"/>
            <w:vAlign w:val="bottom"/>
          </w:tcPr>
          <w:p>
            <w:pPr>
              <w:ind w:left="40"/>
              <w:spacing w:after="0"/>
              <w:rPr>
                <w:sz w:val="20"/>
                <w:szCs w:val="20"/>
                <w:color w:val="auto"/>
              </w:rPr>
            </w:pPr>
            <w:r>
              <w:rPr>
                <w:rFonts w:ascii="Arial" w:cs="Arial" w:eastAsia="Arial" w:hAnsi="Arial"/>
                <w:sz w:val="14"/>
                <w:szCs w:val="14"/>
                <w:color w:val="auto"/>
              </w:rPr>
              <w:t>Discount rate</w:t>
            </w:r>
          </w:p>
        </w:tc>
        <w:tc>
          <w:tcPr>
            <w:tcW w:w="1160" w:type="dxa"/>
            <w:vAlign w:val="bottom"/>
            <w:gridSpan w:val="2"/>
          </w:tcPr>
          <w:p>
            <w:pPr>
              <w:ind w:left="780"/>
              <w:spacing w:after="0"/>
              <w:rPr>
                <w:sz w:val="20"/>
                <w:szCs w:val="20"/>
                <w:color w:val="auto"/>
              </w:rPr>
            </w:pPr>
            <w:r>
              <w:rPr>
                <w:rFonts w:ascii="Arial" w:cs="Arial" w:eastAsia="Arial" w:hAnsi="Arial"/>
                <w:sz w:val="14"/>
                <w:szCs w:val="14"/>
                <w:color w:val="auto"/>
                <w:w w:val="90"/>
              </w:rPr>
              <w:t>12.7%</w:t>
            </w:r>
          </w:p>
        </w:tc>
        <w:tc>
          <w:tcPr>
            <w:tcW w:w="100" w:type="dxa"/>
            <w:vAlign w:val="bottom"/>
          </w:tcPr>
          <w:p>
            <w:pPr>
              <w:spacing w:after="0"/>
              <w:rPr>
                <w:sz w:val="18"/>
                <w:szCs w:val="18"/>
                <w:color w:val="auto"/>
              </w:rPr>
            </w:pPr>
          </w:p>
        </w:tc>
        <w:tc>
          <w:tcPr>
            <w:tcW w:w="1060" w:type="dxa"/>
            <w:vAlign w:val="bottom"/>
          </w:tcPr>
          <w:p>
            <w:pPr>
              <w:ind w:left="680"/>
              <w:spacing w:after="0"/>
              <w:rPr>
                <w:sz w:val="20"/>
                <w:szCs w:val="20"/>
                <w:color w:val="auto"/>
              </w:rPr>
            </w:pPr>
            <w:r>
              <w:rPr>
                <w:rFonts w:ascii="Arial" w:cs="Arial" w:eastAsia="Arial" w:hAnsi="Arial"/>
                <w:sz w:val="14"/>
                <w:szCs w:val="14"/>
                <w:color w:val="auto"/>
                <w:w w:val="90"/>
              </w:rPr>
              <w:t>14.5%</w:t>
            </w:r>
          </w:p>
        </w:tc>
      </w:tr>
      <w:tr>
        <w:trPr>
          <w:trHeight w:val="257"/>
        </w:trPr>
        <w:tc>
          <w:tcPr>
            <w:tcW w:w="2400" w:type="dxa"/>
            <w:vAlign w:val="bottom"/>
          </w:tcPr>
          <w:p>
            <w:pPr>
              <w:ind w:left="40"/>
              <w:spacing w:after="0"/>
              <w:rPr>
                <w:sz w:val="20"/>
                <w:szCs w:val="20"/>
                <w:color w:val="auto"/>
              </w:rPr>
            </w:pPr>
            <w:r>
              <w:rPr>
                <w:rFonts w:ascii="Arial" w:cs="Arial" w:eastAsia="Arial" w:hAnsi="Arial"/>
                <w:sz w:val="14"/>
                <w:szCs w:val="14"/>
                <w:color w:val="auto"/>
              </w:rPr>
              <w:t>Prepayment rate</w:t>
            </w:r>
          </w:p>
        </w:tc>
        <w:tc>
          <w:tcPr>
            <w:tcW w:w="1160" w:type="dxa"/>
            <w:vAlign w:val="bottom"/>
            <w:gridSpan w:val="2"/>
          </w:tcPr>
          <w:p>
            <w:pPr>
              <w:ind w:left="780"/>
              <w:spacing w:after="0"/>
              <w:rPr>
                <w:sz w:val="20"/>
                <w:szCs w:val="20"/>
                <w:color w:val="auto"/>
              </w:rPr>
            </w:pPr>
            <w:r>
              <w:rPr>
                <w:rFonts w:ascii="Arial" w:cs="Arial" w:eastAsia="Arial" w:hAnsi="Arial"/>
                <w:sz w:val="14"/>
                <w:szCs w:val="14"/>
                <w:color w:val="auto"/>
                <w:w w:val="90"/>
              </w:rPr>
              <w:t>13.8%</w:t>
            </w:r>
          </w:p>
        </w:tc>
        <w:tc>
          <w:tcPr>
            <w:tcW w:w="100" w:type="dxa"/>
            <w:vAlign w:val="bottom"/>
          </w:tcPr>
          <w:p>
            <w:pPr>
              <w:spacing w:after="0"/>
              <w:rPr>
                <w:sz w:val="22"/>
                <w:szCs w:val="22"/>
                <w:color w:val="auto"/>
              </w:rPr>
            </w:pPr>
          </w:p>
        </w:tc>
        <w:tc>
          <w:tcPr>
            <w:tcW w:w="1060" w:type="dxa"/>
            <w:vAlign w:val="bottom"/>
          </w:tcPr>
          <w:p>
            <w:pPr>
              <w:ind w:left="680"/>
              <w:spacing w:after="0"/>
              <w:rPr>
                <w:sz w:val="20"/>
                <w:szCs w:val="20"/>
                <w:color w:val="auto"/>
              </w:rPr>
            </w:pPr>
            <w:r>
              <w:rPr>
                <w:rFonts w:ascii="Arial" w:cs="Arial" w:eastAsia="Arial" w:hAnsi="Arial"/>
                <w:sz w:val="14"/>
                <w:szCs w:val="14"/>
                <w:color w:val="auto"/>
                <w:w w:val="90"/>
              </w:rPr>
              <w:t>12.1%</w:t>
            </w:r>
          </w:p>
        </w:tc>
      </w:tr>
      <w:tr>
        <w:trPr>
          <w:trHeight w:val="270"/>
        </w:trPr>
        <w:tc>
          <w:tcPr>
            <w:tcW w:w="2400" w:type="dxa"/>
            <w:vAlign w:val="bottom"/>
          </w:tcPr>
          <w:p>
            <w:pPr>
              <w:ind w:left="40"/>
              <w:spacing w:after="0"/>
              <w:rPr>
                <w:sz w:val="20"/>
                <w:szCs w:val="20"/>
                <w:color w:val="auto"/>
              </w:rPr>
            </w:pPr>
            <w:r>
              <w:rPr>
                <w:rFonts w:ascii="Arial" w:cs="Arial" w:eastAsia="Arial" w:hAnsi="Arial"/>
                <w:sz w:val="14"/>
                <w:szCs w:val="14"/>
                <w:color w:val="auto"/>
              </w:rPr>
              <w:t>Discount rate</w:t>
            </w:r>
          </w:p>
        </w:tc>
        <w:tc>
          <w:tcPr>
            <w:tcW w:w="1160" w:type="dxa"/>
            <w:vAlign w:val="bottom"/>
            <w:gridSpan w:val="2"/>
          </w:tcPr>
          <w:p>
            <w:pPr>
              <w:ind w:left="780"/>
              <w:spacing w:after="0"/>
              <w:rPr>
                <w:sz w:val="20"/>
                <w:szCs w:val="20"/>
                <w:color w:val="auto"/>
              </w:rPr>
            </w:pPr>
            <w:r>
              <w:rPr>
                <w:rFonts w:ascii="Arial" w:cs="Arial" w:eastAsia="Arial" w:hAnsi="Arial"/>
                <w:sz w:val="14"/>
                <w:szCs w:val="14"/>
                <w:color w:val="auto"/>
                <w:w w:val="90"/>
              </w:rPr>
              <w:t>10.0%</w:t>
            </w:r>
          </w:p>
        </w:tc>
        <w:tc>
          <w:tcPr>
            <w:tcW w:w="100" w:type="dxa"/>
            <w:vAlign w:val="bottom"/>
          </w:tcPr>
          <w:p>
            <w:pPr>
              <w:spacing w:after="0"/>
              <w:rPr>
                <w:sz w:val="23"/>
                <w:szCs w:val="23"/>
                <w:color w:val="auto"/>
              </w:rPr>
            </w:pPr>
          </w:p>
        </w:tc>
        <w:tc>
          <w:tcPr>
            <w:tcW w:w="1060" w:type="dxa"/>
            <w:vAlign w:val="bottom"/>
          </w:tcPr>
          <w:p>
            <w:pPr>
              <w:ind w:left="680"/>
              <w:spacing w:after="0"/>
              <w:rPr>
                <w:sz w:val="20"/>
                <w:szCs w:val="20"/>
                <w:color w:val="auto"/>
              </w:rPr>
            </w:pPr>
            <w:r>
              <w:rPr>
                <w:rFonts w:ascii="Arial" w:cs="Arial" w:eastAsia="Arial" w:hAnsi="Arial"/>
                <w:sz w:val="14"/>
                <w:szCs w:val="14"/>
                <w:color w:val="auto"/>
                <w:w w:val="90"/>
              </w:rPr>
              <w:t>10.0%</w:t>
            </w:r>
          </w:p>
        </w:tc>
      </w:tr>
      <w:tr>
        <w:trPr>
          <w:trHeight w:val="270"/>
        </w:trPr>
        <w:tc>
          <w:tcPr>
            <w:tcW w:w="2400" w:type="dxa"/>
            <w:vAlign w:val="bottom"/>
          </w:tcPr>
          <w:p>
            <w:pPr>
              <w:ind w:left="40"/>
              <w:spacing w:after="0"/>
              <w:rPr>
                <w:sz w:val="20"/>
                <w:szCs w:val="20"/>
                <w:color w:val="auto"/>
              </w:rPr>
            </w:pPr>
            <w:r>
              <w:rPr>
                <w:rFonts w:ascii="Arial" w:cs="Arial" w:eastAsia="Arial" w:hAnsi="Arial"/>
                <w:sz w:val="14"/>
                <w:szCs w:val="14"/>
                <w:color w:val="auto"/>
              </w:rPr>
              <w:t>Prepayment rate</w:t>
            </w:r>
          </w:p>
        </w:tc>
        <w:tc>
          <w:tcPr>
            <w:tcW w:w="1160" w:type="dxa"/>
            <w:vAlign w:val="bottom"/>
            <w:gridSpan w:val="2"/>
          </w:tcPr>
          <w:p>
            <w:pPr>
              <w:ind w:left="780"/>
              <w:spacing w:after="0"/>
              <w:rPr>
                <w:sz w:val="20"/>
                <w:szCs w:val="20"/>
                <w:color w:val="auto"/>
              </w:rPr>
            </w:pPr>
            <w:r>
              <w:rPr>
                <w:rFonts w:ascii="Arial" w:cs="Arial" w:eastAsia="Arial" w:hAnsi="Arial"/>
                <w:sz w:val="14"/>
                <w:szCs w:val="14"/>
                <w:color w:val="auto"/>
                <w:w w:val="90"/>
              </w:rPr>
              <w:t>15.7%</w:t>
            </w:r>
          </w:p>
        </w:tc>
        <w:tc>
          <w:tcPr>
            <w:tcW w:w="100" w:type="dxa"/>
            <w:vAlign w:val="bottom"/>
          </w:tcPr>
          <w:p>
            <w:pPr>
              <w:spacing w:after="0"/>
              <w:rPr>
                <w:sz w:val="23"/>
                <w:szCs w:val="23"/>
                <w:color w:val="auto"/>
              </w:rPr>
            </w:pPr>
          </w:p>
        </w:tc>
        <w:tc>
          <w:tcPr>
            <w:tcW w:w="1060" w:type="dxa"/>
            <w:vAlign w:val="bottom"/>
          </w:tcPr>
          <w:p>
            <w:pPr>
              <w:ind w:left="680"/>
              <w:spacing w:after="0"/>
              <w:rPr>
                <w:sz w:val="20"/>
                <w:szCs w:val="20"/>
                <w:color w:val="auto"/>
              </w:rPr>
            </w:pPr>
            <w:r>
              <w:rPr>
                <w:rFonts w:ascii="Arial" w:cs="Arial" w:eastAsia="Arial" w:hAnsi="Arial"/>
                <w:sz w:val="14"/>
                <w:szCs w:val="14"/>
                <w:color w:val="auto"/>
                <w:w w:val="90"/>
              </w:rPr>
              <w:t>10.6%</w:t>
            </w:r>
          </w:p>
        </w:tc>
      </w:tr>
      <w:tr>
        <w:trPr>
          <w:trHeight w:val="219"/>
        </w:trPr>
        <w:tc>
          <w:tcPr>
            <w:tcW w:w="2400" w:type="dxa"/>
            <w:vAlign w:val="bottom"/>
          </w:tcPr>
          <w:p>
            <w:pPr>
              <w:ind w:left="40"/>
              <w:spacing w:after="0"/>
              <w:rPr>
                <w:sz w:val="20"/>
                <w:szCs w:val="20"/>
                <w:color w:val="auto"/>
              </w:rPr>
            </w:pPr>
            <w:r>
              <w:rPr>
                <w:rFonts w:ascii="Arial" w:cs="Arial" w:eastAsia="Arial" w:hAnsi="Arial"/>
                <w:sz w:val="14"/>
                <w:szCs w:val="14"/>
                <w:color w:val="auto"/>
                <w:w w:val="94"/>
              </w:rPr>
              <w:t>Multiple factors, including but not limited</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149"/>
        </w:trPr>
        <w:tc>
          <w:tcPr>
            <w:tcW w:w="2400" w:type="dxa"/>
            <w:vAlign w:val="bottom"/>
          </w:tcPr>
          <w:p>
            <w:pPr>
              <w:ind w:left="40"/>
              <w:spacing w:after="0" w:line="149" w:lineRule="exact"/>
              <w:rPr>
                <w:sz w:val="20"/>
                <w:szCs w:val="20"/>
                <w:color w:val="auto"/>
              </w:rPr>
            </w:pPr>
            <w:r>
              <w:rPr>
                <w:rFonts w:ascii="Arial" w:cs="Arial" w:eastAsia="Arial" w:hAnsi="Arial"/>
                <w:sz w:val="14"/>
                <w:szCs w:val="14"/>
                <w:color w:val="auto"/>
                <w:w w:val="91"/>
              </w:rPr>
              <w:t>to, current operations, financial condition,</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9"/>
        </w:trPr>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cash flows, and recently executed</w:t>
            </w:r>
          </w:p>
        </w:tc>
        <w:tc>
          <w:tcPr>
            <w:tcW w:w="100" w:type="dxa"/>
            <w:vAlign w:val="bottom"/>
          </w:tcPr>
          <w:p>
            <w:pPr>
              <w:spacing w:after="0"/>
              <w:rPr>
                <w:sz w:val="12"/>
                <w:szCs w:val="12"/>
                <w:color w:val="auto"/>
              </w:rPr>
            </w:pPr>
          </w:p>
        </w:tc>
        <w:tc>
          <w:tcPr>
            <w:tcW w:w="1160" w:type="dxa"/>
            <w:vAlign w:val="bottom"/>
            <w:gridSpan w:val="2"/>
          </w:tcPr>
          <w:p>
            <w:pPr>
              <w:ind w:left="680"/>
              <w:spacing w:after="0" w:line="149" w:lineRule="exact"/>
              <w:rPr>
                <w:sz w:val="20"/>
                <w:szCs w:val="20"/>
                <w:color w:val="auto"/>
              </w:rPr>
            </w:pPr>
            <w:r>
              <w:rPr>
                <w:rFonts w:ascii="Arial" w:cs="Arial" w:eastAsia="Arial" w:hAnsi="Arial"/>
                <w:sz w:val="14"/>
                <w:szCs w:val="14"/>
                <w:color w:val="auto"/>
              </w:rPr>
              <w:t>N/A</w:t>
            </w:r>
          </w:p>
        </w:tc>
        <w:tc>
          <w:tcPr>
            <w:tcW w:w="1060" w:type="dxa"/>
            <w:vAlign w:val="bottom"/>
          </w:tcPr>
          <w:p>
            <w:pPr>
              <w:ind w:left="680"/>
              <w:spacing w:after="0" w:line="149" w:lineRule="exact"/>
              <w:rPr>
                <w:sz w:val="20"/>
                <w:szCs w:val="20"/>
                <w:color w:val="auto"/>
              </w:rPr>
            </w:pPr>
            <w:r>
              <w:rPr>
                <w:rFonts w:ascii="Arial" w:cs="Arial" w:eastAsia="Arial" w:hAnsi="Arial"/>
                <w:sz w:val="14"/>
                <w:szCs w:val="14"/>
                <w:color w:val="auto"/>
              </w:rPr>
              <w:t>N/A</w:t>
            </w:r>
          </w:p>
        </w:tc>
      </w:tr>
      <w:tr>
        <w:trPr>
          <w:trHeight w:val="149"/>
        </w:trPr>
        <w:tc>
          <w:tcPr>
            <w:tcW w:w="2400" w:type="dxa"/>
            <w:vAlign w:val="bottom"/>
          </w:tcPr>
          <w:p>
            <w:pPr>
              <w:ind w:left="40"/>
              <w:spacing w:after="0" w:line="149" w:lineRule="exact"/>
              <w:rPr>
                <w:sz w:val="20"/>
                <w:szCs w:val="20"/>
                <w:color w:val="auto"/>
              </w:rPr>
            </w:pPr>
            <w:r>
              <w:rPr>
                <w:rFonts w:ascii="Arial" w:cs="Arial" w:eastAsia="Arial" w:hAnsi="Arial"/>
                <w:sz w:val="14"/>
                <w:szCs w:val="14"/>
                <w:color w:val="auto"/>
              </w:rPr>
              <w:t>financing transactions related to the</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72"/>
        </w:trPr>
        <w:tc>
          <w:tcPr>
            <w:tcW w:w="2400" w:type="dxa"/>
            <w:vAlign w:val="bottom"/>
          </w:tcPr>
          <w:p>
            <w:pPr>
              <w:ind w:left="40"/>
              <w:spacing w:after="0"/>
              <w:rPr>
                <w:sz w:val="20"/>
                <w:szCs w:val="20"/>
                <w:color w:val="auto"/>
              </w:rPr>
            </w:pPr>
            <w:r>
              <w:rPr>
                <w:rFonts w:ascii="Arial" w:cs="Arial" w:eastAsia="Arial" w:hAnsi="Arial"/>
                <w:sz w:val="14"/>
                <w:szCs w:val="14"/>
                <w:color w:val="auto"/>
              </w:rPr>
              <w:t>company</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57" w:lineRule="exact"/>
        <w:rPr>
          <w:sz w:val="20"/>
          <w:szCs w:val="20"/>
          <w:color w:val="auto"/>
        </w:rPr>
      </w:pPr>
    </w:p>
    <w:p>
      <w:pPr>
        <w:sectPr>
          <w:pgSz w:w="11900" w:h="16838" w:orient="portrait"/>
          <w:cols w:equalWidth="0" w:num="2">
            <w:col w:w="6600" w:space="100"/>
            <w:col w:w="472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800" w:type="dxa"/>
            <w:vAlign w:val="bottom"/>
          </w:tcPr>
          <w:p>
            <w:pPr>
              <w:ind w:left="40"/>
              <w:spacing w:after="0"/>
              <w:rPr>
                <w:sz w:val="20"/>
                <w:szCs w:val="20"/>
                <w:color w:val="auto"/>
              </w:rPr>
            </w:pPr>
            <w:r>
              <w:rPr>
                <w:rFonts w:ascii="Arial" w:cs="Arial" w:eastAsia="Arial" w:hAnsi="Arial"/>
                <w:sz w:val="14"/>
                <w:szCs w:val="14"/>
                <w:color w:val="auto"/>
              </w:rPr>
              <w:t>Derivative assets - mortgage</w:t>
            </w:r>
          </w:p>
        </w:tc>
        <w:tc>
          <w:tcPr>
            <w:tcW w:w="1240" w:type="dxa"/>
            <w:vAlign w:val="bottom"/>
          </w:tcPr>
          <w:p>
            <w:pPr>
              <w:jc w:val="right"/>
              <w:ind w:right="312"/>
              <w:spacing w:after="0"/>
              <w:rPr>
                <w:sz w:val="20"/>
                <w:szCs w:val="20"/>
                <w:color w:val="auto"/>
              </w:rPr>
            </w:pPr>
            <w:r>
              <w:rPr>
                <w:rFonts w:ascii="Arial" w:cs="Arial" w:eastAsia="Arial" w:hAnsi="Arial"/>
                <w:sz w:val="14"/>
                <w:szCs w:val="14"/>
                <w:color w:val="auto"/>
              </w:rPr>
              <w:t>2,062</w:t>
            </w: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1,190</w:t>
            </w:r>
          </w:p>
        </w:tc>
        <w:tc>
          <w:tcPr>
            <w:tcW w:w="1360" w:type="dxa"/>
            <w:vAlign w:val="bottom"/>
          </w:tcPr>
          <w:p>
            <w:pPr>
              <w:ind w:left="120"/>
              <w:spacing w:after="0"/>
              <w:rPr>
                <w:sz w:val="20"/>
                <w:szCs w:val="20"/>
                <w:color w:val="auto"/>
              </w:rPr>
            </w:pPr>
            <w:r>
              <w:rPr>
                <w:rFonts w:ascii="Arial" w:cs="Arial" w:eastAsia="Arial" w:hAnsi="Arial"/>
                <w:sz w:val="14"/>
                <w:szCs w:val="14"/>
                <w:color w:val="auto"/>
              </w:rPr>
              <w:t>Internal model</w:t>
            </w:r>
          </w:p>
        </w:tc>
        <w:tc>
          <w:tcPr>
            <w:tcW w:w="2720" w:type="dxa"/>
            <w:vAlign w:val="bottom"/>
          </w:tcPr>
          <w:p>
            <w:pPr>
              <w:ind w:left="460"/>
              <w:spacing w:after="0"/>
              <w:rPr>
                <w:sz w:val="20"/>
                <w:szCs w:val="20"/>
                <w:color w:val="auto"/>
              </w:rPr>
            </w:pPr>
            <w:r>
              <w:rPr>
                <w:rFonts w:ascii="Arial" w:cs="Arial" w:eastAsia="Arial" w:hAnsi="Arial"/>
                <w:sz w:val="14"/>
                <w:szCs w:val="14"/>
                <w:color w:val="auto"/>
              </w:rPr>
              <w:t>Pull through rate</w:t>
            </w:r>
          </w:p>
        </w:tc>
        <w:tc>
          <w:tcPr>
            <w:tcW w:w="1620" w:type="dxa"/>
            <w:vAlign w:val="bottom"/>
          </w:tcPr>
          <w:p>
            <w:pPr>
              <w:ind w:left="880"/>
              <w:spacing w:after="0"/>
              <w:rPr>
                <w:sz w:val="20"/>
                <w:szCs w:val="20"/>
                <w:color w:val="auto"/>
              </w:rPr>
            </w:pPr>
            <w:r>
              <w:rPr>
                <w:rFonts w:ascii="Arial" w:cs="Arial" w:eastAsia="Arial" w:hAnsi="Arial"/>
                <w:sz w:val="14"/>
                <w:szCs w:val="14"/>
                <w:color w:val="auto"/>
              </w:rPr>
              <w:t>79.6%</w:t>
            </w:r>
          </w:p>
        </w:tc>
        <w:tc>
          <w:tcPr>
            <w:tcW w:w="800" w:type="dxa"/>
            <w:vAlign w:val="bottom"/>
          </w:tcPr>
          <w:p>
            <w:pPr>
              <w:ind w:left="420"/>
              <w:spacing w:after="0"/>
              <w:rPr>
                <w:sz w:val="20"/>
                <w:szCs w:val="20"/>
                <w:color w:val="auto"/>
              </w:rPr>
            </w:pPr>
            <w:r>
              <w:rPr>
                <w:rFonts w:ascii="Arial" w:cs="Arial" w:eastAsia="Arial" w:hAnsi="Arial"/>
                <w:sz w:val="14"/>
                <w:szCs w:val="14"/>
                <w:color w:val="auto"/>
                <w:w w:val="90"/>
              </w:rPr>
              <w:t>80.7%</w:t>
            </w:r>
          </w:p>
        </w:tc>
      </w:tr>
      <w:tr>
        <w:trPr>
          <w:trHeight w:val="55"/>
        </w:trPr>
        <w:tc>
          <w:tcPr>
            <w:tcW w:w="2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2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Derivative assets - other</w:t>
            </w:r>
          </w:p>
        </w:tc>
        <w:tc>
          <w:tcPr>
            <w:tcW w:w="124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4"/>
                <w:szCs w:val="14"/>
                <w:color w:val="auto"/>
              </w:rPr>
              <w:t>5,682</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10,651</w:t>
            </w:r>
          </w:p>
        </w:tc>
        <w:tc>
          <w:tcPr>
            <w:tcW w:w="1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Dealer priced</w:t>
            </w:r>
          </w:p>
        </w:tc>
        <w:tc>
          <w:tcPr>
            <w:tcW w:w="2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Dealer priced</w:t>
            </w:r>
          </w:p>
        </w:tc>
        <w:tc>
          <w:tcPr>
            <w:tcW w:w="16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N/A</w:t>
            </w:r>
          </w:p>
        </w:tc>
        <w:tc>
          <w:tcPr>
            <w:tcW w:w="8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N/A</w:t>
            </w:r>
          </w:p>
        </w:tc>
      </w:tr>
      <w:tr>
        <w:trPr>
          <w:trHeight w:val="216"/>
        </w:trPr>
        <w:tc>
          <w:tcPr>
            <w:tcW w:w="2800" w:type="dxa"/>
            <w:vAlign w:val="bottom"/>
          </w:tcPr>
          <w:p>
            <w:pPr>
              <w:ind w:left="40"/>
              <w:spacing w:after="0"/>
              <w:rPr>
                <w:sz w:val="20"/>
                <w:szCs w:val="20"/>
                <w:color w:val="auto"/>
              </w:rPr>
            </w:pPr>
            <w:r>
              <w:rPr>
                <w:rFonts w:ascii="Arial" w:cs="Arial" w:eastAsia="Arial" w:hAnsi="Arial"/>
                <w:sz w:val="14"/>
                <w:szCs w:val="14"/>
                <w:color w:val="auto"/>
              </w:rPr>
              <w:t>Derivative liabilities - risk participations</w:t>
            </w:r>
          </w:p>
        </w:tc>
        <w:tc>
          <w:tcPr>
            <w:tcW w:w="1240" w:type="dxa"/>
            <w:vAlign w:val="bottom"/>
          </w:tcPr>
          <w:p>
            <w:pPr>
              <w:jc w:val="right"/>
              <w:ind w:right="312"/>
              <w:spacing w:after="0"/>
              <w:rPr>
                <w:sz w:val="20"/>
                <w:szCs w:val="20"/>
                <w:color w:val="auto"/>
              </w:rPr>
            </w:pPr>
            <w:r>
              <w:rPr>
                <w:rFonts w:ascii="Arial" w:cs="Arial" w:eastAsia="Arial" w:hAnsi="Arial"/>
                <w:sz w:val="14"/>
                <w:szCs w:val="14"/>
                <w:color w:val="auto"/>
              </w:rPr>
              <w:t>12</w:t>
            </w: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8</w:t>
            </w:r>
          </w:p>
        </w:tc>
        <w:tc>
          <w:tcPr>
            <w:tcW w:w="1360" w:type="dxa"/>
            <w:vAlign w:val="bottom"/>
          </w:tcPr>
          <w:p>
            <w:pPr>
              <w:ind w:left="120"/>
              <w:spacing w:after="0"/>
              <w:rPr>
                <w:sz w:val="20"/>
                <w:szCs w:val="20"/>
                <w:color w:val="auto"/>
              </w:rPr>
            </w:pPr>
            <w:r>
              <w:rPr>
                <w:rFonts w:ascii="Arial" w:cs="Arial" w:eastAsia="Arial" w:hAnsi="Arial"/>
                <w:sz w:val="14"/>
                <w:szCs w:val="14"/>
                <w:color w:val="auto"/>
              </w:rPr>
              <w:t>Internal model</w:t>
            </w:r>
          </w:p>
        </w:tc>
        <w:tc>
          <w:tcPr>
            <w:tcW w:w="2720" w:type="dxa"/>
            <w:vAlign w:val="bottom"/>
          </w:tcPr>
          <w:p>
            <w:pPr>
              <w:ind w:left="460"/>
              <w:spacing w:after="0"/>
              <w:rPr>
                <w:sz w:val="20"/>
                <w:szCs w:val="20"/>
                <w:color w:val="auto"/>
              </w:rPr>
            </w:pPr>
            <w:r>
              <w:rPr>
                <w:rFonts w:ascii="Arial" w:cs="Arial" w:eastAsia="Arial" w:hAnsi="Arial"/>
                <w:sz w:val="14"/>
                <w:szCs w:val="14"/>
                <w:color w:val="auto"/>
              </w:rPr>
              <w:t>Probable exposure rate</w:t>
            </w:r>
          </w:p>
        </w:tc>
        <w:tc>
          <w:tcPr>
            <w:tcW w:w="1620" w:type="dxa"/>
            <w:vAlign w:val="bottom"/>
          </w:tcPr>
          <w:p>
            <w:pPr>
              <w:ind w:left="880"/>
              <w:spacing w:after="0"/>
              <w:rPr>
                <w:sz w:val="20"/>
                <w:szCs w:val="20"/>
                <w:color w:val="auto"/>
              </w:rPr>
            </w:pPr>
            <w:r>
              <w:rPr>
                <w:rFonts w:ascii="Arial" w:cs="Arial" w:eastAsia="Arial" w:hAnsi="Arial"/>
                <w:sz w:val="14"/>
                <w:szCs w:val="14"/>
                <w:color w:val="auto"/>
              </w:rPr>
              <w:t>0.38%</w:t>
            </w:r>
          </w:p>
        </w:tc>
        <w:tc>
          <w:tcPr>
            <w:tcW w:w="800" w:type="dxa"/>
            <w:vAlign w:val="bottom"/>
          </w:tcPr>
          <w:p>
            <w:pPr>
              <w:ind w:left="420"/>
              <w:spacing w:after="0"/>
              <w:rPr>
                <w:sz w:val="20"/>
                <w:szCs w:val="20"/>
                <w:color w:val="auto"/>
              </w:rPr>
            </w:pPr>
            <w:r>
              <w:rPr>
                <w:rFonts w:ascii="Arial" w:cs="Arial" w:eastAsia="Arial" w:hAnsi="Arial"/>
                <w:sz w:val="14"/>
                <w:szCs w:val="14"/>
                <w:color w:val="auto"/>
                <w:w w:val="90"/>
              </w:rPr>
              <w:t>0.44%</w:t>
            </w:r>
          </w:p>
        </w:tc>
      </w:tr>
      <w:tr>
        <w:trPr>
          <w:trHeight w:val="55"/>
        </w:trPr>
        <w:tc>
          <w:tcPr>
            <w:tcW w:w="2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28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Probability of default rate</w:t>
            </w:r>
          </w:p>
        </w:tc>
        <w:tc>
          <w:tcPr>
            <w:tcW w:w="16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4"/>
                <w:szCs w:val="14"/>
                <w:color w:val="auto"/>
              </w:rPr>
              <w:t>1.80%</w:t>
            </w:r>
          </w:p>
        </w:tc>
        <w:tc>
          <w:tcPr>
            <w:tcW w:w="8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w w:val="90"/>
              </w:rPr>
              <w:t>1.80%</w:t>
            </w:r>
          </w:p>
        </w:tc>
      </w:tr>
      <w:tr>
        <w:trPr>
          <w:trHeight w:val="216"/>
        </w:trPr>
        <w:tc>
          <w:tcPr>
            <w:tcW w:w="2800" w:type="dxa"/>
            <w:vAlign w:val="bottom"/>
          </w:tcPr>
          <w:p>
            <w:pPr>
              <w:ind w:left="40"/>
              <w:spacing w:after="0"/>
              <w:rPr>
                <w:sz w:val="20"/>
                <w:szCs w:val="20"/>
                <w:color w:val="auto"/>
              </w:rPr>
            </w:pPr>
            <w:r>
              <w:rPr>
                <w:rFonts w:ascii="Arial" w:cs="Arial" w:eastAsia="Arial" w:hAnsi="Arial"/>
                <w:sz w:val="14"/>
                <w:szCs w:val="14"/>
                <w:color w:val="auto"/>
              </w:rPr>
              <w:t>Derivative liabilities - other</w:t>
            </w:r>
          </w:p>
        </w:tc>
        <w:tc>
          <w:tcPr>
            <w:tcW w:w="1240" w:type="dxa"/>
            <w:vAlign w:val="bottom"/>
          </w:tcPr>
          <w:p>
            <w:pPr>
              <w:jc w:val="right"/>
              <w:ind w:right="312"/>
              <w:spacing w:after="0"/>
              <w:rPr>
                <w:sz w:val="20"/>
                <w:szCs w:val="20"/>
                <w:color w:val="auto"/>
              </w:rPr>
            </w:pPr>
            <w:r>
              <w:rPr>
                <w:rFonts w:ascii="Arial" w:cs="Arial" w:eastAsia="Arial" w:hAnsi="Arial"/>
                <w:sz w:val="14"/>
                <w:szCs w:val="14"/>
                <w:color w:val="auto"/>
              </w:rPr>
              <w:t>9,000</w:t>
            </w:r>
          </w:p>
        </w:tc>
        <w:tc>
          <w:tcPr>
            <w:tcW w:w="880" w:type="dxa"/>
            <w:vAlign w:val="bottom"/>
          </w:tcPr>
          <w:p>
            <w:pPr>
              <w:jc w:val="right"/>
              <w:ind w:right="72"/>
              <w:spacing w:after="0"/>
              <w:rPr>
                <w:sz w:val="20"/>
                <w:szCs w:val="20"/>
                <w:color w:val="auto"/>
              </w:rPr>
            </w:pPr>
            <w:r>
              <w:rPr>
                <w:rFonts w:ascii="Arial" w:cs="Arial" w:eastAsia="Arial" w:hAnsi="Arial"/>
                <w:sz w:val="14"/>
                <w:szCs w:val="14"/>
                <w:color w:val="auto"/>
              </w:rPr>
              <w:t>15,724</w:t>
            </w:r>
          </w:p>
        </w:tc>
        <w:tc>
          <w:tcPr>
            <w:tcW w:w="1360" w:type="dxa"/>
            <w:vAlign w:val="bottom"/>
          </w:tcPr>
          <w:p>
            <w:pPr>
              <w:ind w:left="120"/>
              <w:spacing w:after="0"/>
              <w:rPr>
                <w:sz w:val="20"/>
                <w:szCs w:val="20"/>
                <w:color w:val="auto"/>
              </w:rPr>
            </w:pPr>
            <w:r>
              <w:rPr>
                <w:rFonts w:ascii="Arial" w:cs="Arial" w:eastAsia="Arial" w:hAnsi="Arial"/>
                <w:sz w:val="14"/>
                <w:szCs w:val="14"/>
                <w:color w:val="auto"/>
              </w:rPr>
              <w:t>Dealer priced</w:t>
            </w:r>
          </w:p>
        </w:tc>
        <w:tc>
          <w:tcPr>
            <w:tcW w:w="2720" w:type="dxa"/>
            <w:vAlign w:val="bottom"/>
          </w:tcPr>
          <w:p>
            <w:pPr>
              <w:ind w:left="460"/>
              <w:spacing w:after="0"/>
              <w:rPr>
                <w:sz w:val="20"/>
                <w:szCs w:val="20"/>
                <w:color w:val="auto"/>
              </w:rPr>
            </w:pPr>
            <w:r>
              <w:rPr>
                <w:rFonts w:ascii="Arial" w:cs="Arial" w:eastAsia="Arial" w:hAnsi="Arial"/>
                <w:sz w:val="14"/>
                <w:szCs w:val="14"/>
                <w:color w:val="auto"/>
              </w:rPr>
              <w:t>Dealer priced</w:t>
            </w:r>
          </w:p>
        </w:tc>
        <w:tc>
          <w:tcPr>
            <w:tcW w:w="1620" w:type="dxa"/>
            <w:vAlign w:val="bottom"/>
          </w:tcPr>
          <w:p>
            <w:pPr>
              <w:ind w:left="880"/>
              <w:spacing w:after="0"/>
              <w:rPr>
                <w:sz w:val="20"/>
                <w:szCs w:val="20"/>
                <w:color w:val="auto"/>
              </w:rPr>
            </w:pPr>
            <w:r>
              <w:rPr>
                <w:rFonts w:ascii="Arial" w:cs="Arial" w:eastAsia="Arial" w:hAnsi="Arial"/>
                <w:sz w:val="14"/>
                <w:szCs w:val="14"/>
                <w:color w:val="auto"/>
              </w:rPr>
              <w:t>N/A</w:t>
            </w:r>
          </w:p>
        </w:tc>
        <w:tc>
          <w:tcPr>
            <w:tcW w:w="800" w:type="dxa"/>
            <w:vAlign w:val="bottom"/>
          </w:tcPr>
          <w:p>
            <w:pPr>
              <w:ind w:left="420"/>
              <w:spacing w:after="0"/>
              <w:rPr>
                <w:sz w:val="20"/>
                <w:szCs w:val="20"/>
                <w:color w:val="auto"/>
              </w:rPr>
            </w:pPr>
            <w:r>
              <w:rPr>
                <w:rFonts w:ascii="Arial" w:cs="Arial" w:eastAsia="Arial" w:hAnsi="Arial"/>
                <w:sz w:val="14"/>
                <w:szCs w:val="14"/>
                <w:color w:val="auto"/>
              </w:rPr>
              <w:t>N/A</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1" w:right="23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Fair Value Option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June 30, 2019, mortgage loans held for sale for which the fair value option was elected had an aggregate fair value and outstanding principal balance of $46.3 million and $44.7 million, respectively. At December 31, 2018, mortgage loans held for sale for which the fair value option was elected had an aggregate fair value and outstanding principal balance of $18.9 million and $18.2 million, respectively. Interest income on these loans is calculated based on the note rate of the loan and is recorded in interest revenue. During the three and six months ended June 30, 2019, changes in fair value of these loans resulted in net gains of $569,000 and $875,000, respectively. During the three and six months ended June 30, 2018, changes in fair value of these loans resulted in net gains of $326,000 and $254,000, respectively. Gains and losses resulting from the change in fair value of these loans are recorded in mortgage loan and other related fees. These changes in fair value were mostly offset by hedging activities. An immaterial portion of these amounts was attributable to changes in instrument-specific credit risk.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Measured at Fair Value on a Nonrecurring Basis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adjustments to fair value usually result from the application of the lower of the amortized cost or fair value accounting or write-downs of individual assets due to impairment. The following table presents the fair value hierarchy and carrying value of all assets that were still held as of June 30, 2019 and December 31, 2018, for which a nonrecurring fair value adjustment was recorded during the year-to-date periods presented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6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18"/>
                <w:szCs w:val="18"/>
                <w:color w:val="auto"/>
              </w:rPr>
            </w:pPr>
          </w:p>
        </w:tc>
        <w:tc>
          <w:tcPr>
            <w:tcW w:w="2500" w:type="dxa"/>
            <w:vAlign w:val="bottom"/>
            <w:gridSpan w:val="2"/>
          </w:tcPr>
          <w:p>
            <w:pPr>
              <w:ind w:left="120"/>
              <w:spacing w:after="0"/>
              <w:rPr>
                <w:sz w:val="20"/>
                <w:szCs w:val="20"/>
                <w:color w:val="auto"/>
              </w:rPr>
            </w:pPr>
            <w:r>
              <w:rPr>
                <w:rFonts w:ascii="Arial" w:cs="Arial" w:eastAsia="Arial" w:hAnsi="Arial"/>
                <w:sz w:val="16"/>
                <w:szCs w:val="16"/>
                <w:b w:val="1"/>
                <w:bCs w:val="1"/>
                <w:color w:val="auto"/>
              </w:rPr>
              <w:t>Total</w:t>
            </w:r>
          </w:p>
        </w:tc>
      </w:tr>
      <w:tr>
        <w:trPr>
          <w:trHeight w:val="33"/>
        </w:trPr>
        <w:tc>
          <w:tcPr>
            <w:tcW w:w="16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0"/>
        </w:trPr>
        <w:tc>
          <w:tcPr>
            <w:tcW w:w="16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17"/>
        </w:trPr>
        <w:tc>
          <w:tcPr>
            <w:tcW w:w="1620" w:type="dxa"/>
            <w:vAlign w:val="bottom"/>
          </w:tcPr>
          <w:p>
            <w:pPr>
              <w:spacing w:after="0"/>
              <w:rPr>
                <w:sz w:val="18"/>
                <w:szCs w:val="18"/>
                <w:color w:val="auto"/>
              </w:rPr>
            </w:pPr>
          </w:p>
        </w:tc>
        <w:tc>
          <w:tcPr>
            <w:tcW w:w="35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Loans</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6,818</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6,818</w:t>
            </w:r>
          </w:p>
        </w:tc>
        <w:tc>
          <w:tcPr>
            <w:tcW w:w="1700" w:type="dxa"/>
            <w:vAlign w:val="bottom"/>
          </w:tcPr>
          <w:p>
            <w:pPr>
              <w:spacing w:after="0"/>
              <w:rPr>
                <w:sz w:val="18"/>
                <w:szCs w:val="18"/>
                <w:color w:val="auto"/>
              </w:rPr>
            </w:pP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84"/>
        </w:trPr>
        <w:tc>
          <w:tcPr>
            <w:tcW w:w="1620" w:type="dxa"/>
            <w:vAlign w:val="bottom"/>
            <w:shd w:val="clear" w:color="auto" w:fill="CCEEFF"/>
          </w:tcPr>
          <w:p>
            <w:pPr>
              <w:spacing w:after="0"/>
              <w:rPr>
                <w:sz w:val="24"/>
                <w:szCs w:val="24"/>
                <w:color w:val="auto"/>
              </w:rPr>
            </w:pPr>
          </w:p>
        </w:tc>
        <w:tc>
          <w:tcPr>
            <w:tcW w:w="3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237"/>
        </w:trPr>
        <w:tc>
          <w:tcPr>
            <w:tcW w:w="162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Arial" w:cs="Arial" w:eastAsia="Arial" w:hAnsi="Arial"/>
                <w:sz w:val="16"/>
                <w:szCs w:val="16"/>
                <w:b w:val="1"/>
                <w:bCs w:val="1"/>
                <w:color w:val="auto"/>
              </w:rPr>
              <w:t>December 31, 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17"/>
        </w:trPr>
        <w:tc>
          <w:tcPr>
            <w:tcW w:w="1620" w:type="dxa"/>
            <w:vAlign w:val="bottom"/>
            <w:shd w:val="clear" w:color="auto" w:fill="CCEEFF"/>
          </w:tcPr>
          <w:p>
            <w:pPr>
              <w:spacing w:after="0"/>
              <w:rPr>
                <w:sz w:val="18"/>
                <w:szCs w:val="18"/>
                <w:color w:val="auto"/>
              </w:rPr>
            </w:pPr>
          </w:p>
        </w:tc>
        <w:tc>
          <w:tcPr>
            <w:tcW w:w="3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8,631</w:t>
            </w:r>
          </w:p>
        </w:tc>
        <w:tc>
          <w:tcPr>
            <w:tcW w:w="1700" w:type="dxa"/>
            <w:vAlign w:val="bottom"/>
            <w:shd w:val="clear" w:color="auto" w:fill="CCEEFF"/>
          </w:tcPr>
          <w:p>
            <w:pPr>
              <w:spacing w:after="0"/>
              <w:rPr>
                <w:sz w:val="18"/>
                <w:szCs w:val="18"/>
                <w:color w:val="auto"/>
              </w:rPr>
            </w:pPr>
          </w:p>
        </w:tc>
      </w:tr>
      <w:tr>
        <w:trPr>
          <w:trHeight w:val="33"/>
        </w:trPr>
        <w:tc>
          <w:tcPr>
            <w:tcW w:w="1620" w:type="dxa"/>
            <w:vAlign w:val="bottom"/>
            <w:shd w:val="clear" w:color="auto" w:fill="CCEEFF"/>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although only those specific reserves based on the fair value of collateral are considered nonrecurring fair value adjustments.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and Liabilities Not Measured at Fair Value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repurchase agreements have short maturities and therefore the carrying value approximates fair value. Due to the short-term settlement of accrued interest receivable and payable, the carrying amount closely approximates fair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All estimates are inherently subjective in nature. Changes in assumptions could significantly affect the estimates.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Off-balance sheet instruments (commitments to extend credit and standby letters of credit) for which draws can be reasonably predicted are generally short-term in maturity and are priced at variable rates. Therefore, the estimated fair value associated with these instruments is immaterial.</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carrying amount and fair values as of the dates indicated for other financial instruments that are not measured at fair value on a recurring basis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 Level</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Pr>
          <w:p>
            <w:pPr>
              <w:spacing w:after="0"/>
              <w:rPr>
                <w:sz w:val="22"/>
                <w:szCs w:val="22"/>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2"/>
                <w:szCs w:val="22"/>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440" w:type="dxa"/>
            <w:vAlign w:val="bottom"/>
          </w:tcPr>
          <w:p>
            <w:pPr>
              <w:spacing w:after="0"/>
              <w:rPr>
                <w:sz w:val="22"/>
                <w:szCs w:val="22"/>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22"/>
                <w:szCs w:val="22"/>
                <w:color w:val="auto"/>
              </w:rPr>
            </w:pPr>
          </w:p>
        </w:tc>
        <w:tc>
          <w:tcPr>
            <w:tcW w:w="1040" w:type="dxa"/>
            <w:vAlign w:val="bottom"/>
          </w:tcPr>
          <w:p>
            <w:pPr>
              <w:jc w:val="right"/>
              <w:ind w:right="448"/>
              <w:spacing w:after="0"/>
              <w:rPr>
                <w:sz w:val="20"/>
                <w:szCs w:val="20"/>
                <w:color w:val="auto"/>
              </w:rPr>
            </w:pPr>
            <w:r>
              <w:rPr>
                <w:rFonts w:ascii="Arial" w:cs="Arial" w:eastAsia="Arial" w:hAnsi="Arial"/>
                <w:sz w:val="14"/>
                <w:szCs w:val="14"/>
                <w:b w:val="1"/>
                <w:bCs w:val="1"/>
                <w:color w:val="auto"/>
              </w:rPr>
              <w:t>Total</w:t>
            </w:r>
          </w:p>
        </w:tc>
      </w:tr>
      <w:tr>
        <w:trPr>
          <w:trHeight w:val="250"/>
        </w:trPr>
        <w:tc>
          <w:tcPr>
            <w:tcW w:w="3900" w:type="dxa"/>
            <w:vAlign w:val="bottom"/>
            <w:tcBorders>
              <w:top w:val="single" w:sz="8" w:color="CCEEFF"/>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spacing w:after="0"/>
              <w:rPr>
                <w:sz w:val="21"/>
                <w:szCs w:val="21"/>
                <w:color w:val="auto"/>
              </w:rPr>
            </w:pPr>
          </w:p>
        </w:tc>
      </w:tr>
      <w:tr>
        <w:trPr>
          <w:trHeight w:val="250"/>
        </w:trPr>
        <w:tc>
          <w:tcPr>
            <w:tcW w:w="3900" w:type="dxa"/>
            <w:vAlign w:val="bottom"/>
          </w:tcPr>
          <w:p>
            <w:pPr>
              <w:ind w:left="40"/>
              <w:spacing w:after="0"/>
              <w:rPr>
                <w:sz w:val="20"/>
                <w:szCs w:val="20"/>
                <w:color w:val="auto"/>
              </w:rPr>
            </w:pPr>
            <w:r>
              <w:rPr>
                <w:rFonts w:ascii="Arial" w:cs="Arial" w:eastAsia="Arial" w:hAnsi="Arial"/>
                <w:sz w:val="14"/>
                <w:szCs w:val="14"/>
                <w:color w:val="auto"/>
              </w:rPr>
              <w:t>Assets: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6"/>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Securities held to maturity</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253,398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256,975</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256,975</w:t>
            </w:r>
          </w:p>
        </w:tc>
      </w:tr>
      <w:tr>
        <w:trPr>
          <w:trHeight w:val="264"/>
        </w:trPr>
        <w:tc>
          <w:tcPr>
            <w:tcW w:w="3900" w:type="dxa"/>
            <w:vAlign w:val="bottom"/>
          </w:tcPr>
          <w:p>
            <w:pPr>
              <w:ind w:left="180"/>
              <w:spacing w:after="0"/>
              <w:rPr>
                <w:sz w:val="20"/>
                <w:szCs w:val="20"/>
                <w:color w:val="auto"/>
              </w:rPr>
            </w:pPr>
            <w:r>
              <w:rPr>
                <w:rFonts w:ascii="Arial" w:cs="Arial" w:eastAsia="Arial" w:hAnsi="Arial"/>
                <w:sz w:val="14"/>
                <w:szCs w:val="14"/>
                <w:color w:val="auto"/>
              </w:rPr>
              <w:t>Loans and leases, net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8,776,014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8,744,080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8,744,080</w:t>
            </w:r>
          </w:p>
        </w:tc>
      </w:tr>
      <w:tr>
        <w:trPr>
          <w:trHeight w:val="290"/>
        </w:trPr>
        <w:tc>
          <w:tcPr>
            <w:tcW w:w="3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90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Deposits</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10,591,270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10,582,561</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10,582,561</w:t>
            </w:r>
          </w:p>
        </w:tc>
      </w:tr>
      <w:tr>
        <w:trPr>
          <w:trHeight w:val="264"/>
        </w:trPr>
        <w:tc>
          <w:tcPr>
            <w:tcW w:w="3900" w:type="dxa"/>
            <w:vAlign w:val="bottom"/>
          </w:tcPr>
          <w:p>
            <w:pPr>
              <w:ind w:left="180"/>
              <w:spacing w:after="0"/>
              <w:rPr>
                <w:sz w:val="20"/>
                <w:szCs w:val="20"/>
                <w:color w:val="auto"/>
              </w:rPr>
            </w:pPr>
            <w:r>
              <w:rPr>
                <w:rFonts w:ascii="Arial" w:cs="Arial" w:eastAsia="Arial" w:hAnsi="Arial"/>
                <w:sz w:val="14"/>
                <w:szCs w:val="14"/>
                <w:color w:val="auto"/>
              </w:rPr>
              <w:t>Federal Home Loan Bank advances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160,000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159,989</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159,989</w:t>
            </w:r>
          </w:p>
        </w:tc>
      </w:tr>
      <w:tr>
        <w:trPr>
          <w:trHeight w:val="276"/>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Long-term debt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247,952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256,373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256,373</w:t>
            </w:r>
          </w:p>
        </w:tc>
      </w:tr>
      <w:tr>
        <w:trPr>
          <w:trHeight w:val="284"/>
        </w:trPr>
        <w:tc>
          <w:tcPr>
            <w:tcW w:w="3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4"/>
        </w:trPr>
        <w:tc>
          <w:tcPr>
            <w:tcW w:w="39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3900" w:type="dxa"/>
            <w:vAlign w:val="bottom"/>
          </w:tcPr>
          <w:p>
            <w:pPr>
              <w:ind w:left="40"/>
              <w:spacing w:after="0"/>
              <w:rPr>
                <w:sz w:val="20"/>
                <w:szCs w:val="20"/>
                <w:color w:val="auto"/>
              </w:rPr>
            </w:pPr>
            <w:r>
              <w:rPr>
                <w:rFonts w:ascii="Arial" w:cs="Arial" w:eastAsia="Arial" w:hAnsi="Arial"/>
                <w:sz w:val="14"/>
                <w:szCs w:val="14"/>
                <w:color w:val="auto"/>
              </w:rPr>
              <w:t>Assets: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6"/>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Securities held to maturity</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274,407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268,803</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268,803</w:t>
            </w:r>
          </w:p>
        </w:tc>
      </w:tr>
      <w:tr>
        <w:trPr>
          <w:trHeight w:val="264"/>
        </w:trPr>
        <w:tc>
          <w:tcPr>
            <w:tcW w:w="3900" w:type="dxa"/>
            <w:vAlign w:val="bottom"/>
          </w:tcPr>
          <w:p>
            <w:pPr>
              <w:ind w:left="180"/>
              <w:spacing w:after="0"/>
              <w:rPr>
                <w:sz w:val="20"/>
                <w:szCs w:val="20"/>
                <w:color w:val="auto"/>
              </w:rPr>
            </w:pPr>
            <w:r>
              <w:rPr>
                <w:rFonts w:ascii="Arial" w:cs="Arial" w:eastAsia="Arial" w:hAnsi="Arial"/>
                <w:sz w:val="14"/>
                <w:szCs w:val="14"/>
                <w:color w:val="auto"/>
              </w:rPr>
              <w:t>Loans and leases, net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8,322,198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8,277,387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8,277,387</w:t>
            </w:r>
          </w:p>
        </w:tc>
      </w:tr>
      <w:tr>
        <w:trPr>
          <w:trHeight w:val="290"/>
        </w:trPr>
        <w:tc>
          <w:tcPr>
            <w:tcW w:w="3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390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Deposits</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10,534,513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10,528,834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10,528,834</w:t>
            </w:r>
          </w:p>
        </w:tc>
      </w:tr>
      <w:tr>
        <w:trPr>
          <w:trHeight w:val="264"/>
        </w:trPr>
        <w:tc>
          <w:tcPr>
            <w:tcW w:w="3900" w:type="dxa"/>
            <w:vAlign w:val="bottom"/>
          </w:tcPr>
          <w:p>
            <w:pPr>
              <w:ind w:left="180"/>
              <w:spacing w:after="0"/>
              <w:rPr>
                <w:sz w:val="20"/>
                <w:szCs w:val="20"/>
                <w:color w:val="auto"/>
              </w:rPr>
            </w:pPr>
            <w:r>
              <w:rPr>
                <w:rFonts w:ascii="Arial" w:cs="Arial" w:eastAsia="Arial" w:hAnsi="Arial"/>
                <w:sz w:val="14"/>
                <w:szCs w:val="14"/>
                <w:color w:val="auto"/>
              </w:rPr>
              <w:t>Federal Home Loan Bank advances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160,000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159,988</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159,988</w:t>
            </w:r>
          </w:p>
        </w:tc>
      </w:tr>
      <w:tr>
        <w:trPr>
          <w:trHeight w:val="276"/>
        </w:trPr>
        <w:tc>
          <w:tcPr>
            <w:tcW w:w="3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Long-term debt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267,189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278,996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278,996</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is party to financial instruments with off-balance sheet risk in the normal course of business to meet the financing needs of its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United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the contractual amount of off-balance sheet instruments as of the dates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2019</w:t>
            </w:r>
          </w:p>
        </w:tc>
        <w:tc>
          <w:tcPr>
            <w:tcW w:w="200" w:type="dxa"/>
            <w:vAlign w:val="bottom"/>
          </w:tcPr>
          <w:p>
            <w:pPr>
              <w:spacing w:after="0"/>
              <w:rPr>
                <w:sz w:val="18"/>
                <w:szCs w:val="18"/>
                <w:color w:val="auto"/>
              </w:rPr>
            </w:pPr>
          </w:p>
        </w:tc>
        <w:tc>
          <w:tcPr>
            <w:tcW w:w="172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December 31, 2018</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Financial instruments whose contract amounts represent credit risk:</w:t>
            </w:r>
          </w:p>
        </w:tc>
        <w:tc>
          <w:tcPr>
            <w:tcW w:w="30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Commitments to extend credit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2,149,751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19"/>
              <w:spacing w:after="0"/>
              <w:rPr>
                <w:sz w:val="20"/>
                <w:szCs w:val="20"/>
                <w:color w:val="auto"/>
              </w:rPr>
            </w:pPr>
            <w:r>
              <w:rPr>
                <w:rFonts w:ascii="Arial" w:cs="Arial" w:eastAsia="Arial" w:hAnsi="Arial"/>
                <w:sz w:val="16"/>
                <w:szCs w:val="16"/>
                <w:color w:val="auto"/>
              </w:rPr>
              <w:t>2,129,463</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Letters of credit</w:t>
            </w:r>
          </w:p>
        </w:tc>
        <w:tc>
          <w:tcPr>
            <w:tcW w:w="30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29,292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25,447</w:t>
            </w:r>
          </w:p>
        </w:tc>
      </w:tr>
      <w:tr>
        <w:trPr>
          <w:trHeight w:val="33"/>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wholly-owned bank subsidiary, United Community Bank (the “Bank”), holds minor investments in certain limited partnerships for Community Reinvestment Act purposes. As of June 30, 2019, the Bank had committed to fund an additional $7.54 million related to future capital calls that had not been reflected in the consolidated balance sheet.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1" w:right="23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carrying amount of goodwill and other intangible assets as of the dates indicated is summarized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Pr>
          <w:p>
            <w:pPr>
              <w:spacing w:after="0"/>
              <w:rPr>
                <w:sz w:val="18"/>
                <w:szCs w:val="18"/>
                <w:color w:val="auto"/>
              </w:rPr>
            </w:pPr>
          </w:p>
        </w:tc>
        <w:tc>
          <w:tcPr>
            <w:tcW w:w="33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30"/>
        </w:trPr>
        <w:tc>
          <w:tcPr>
            <w:tcW w:w="608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Core deposit intangible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65,452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62,652</w:t>
            </w:r>
          </w:p>
        </w:tc>
        <w:tc>
          <w:tcPr>
            <w:tcW w:w="1820" w:type="dxa"/>
            <w:vAlign w:val="bottom"/>
            <w:tcBorders>
              <w:bottom w:val="single" w:sz="8" w:color="CCEEFF"/>
            </w:tcBorders>
            <w:shd w:val="clear" w:color="auto" w:fill="CCEEFF"/>
          </w:tcPr>
          <w:p>
            <w:pPr>
              <w:spacing w:after="0"/>
              <w:rPr>
                <w:sz w:val="20"/>
                <w:szCs w:val="20"/>
                <w:color w:val="auto"/>
              </w:rPr>
            </w:pPr>
          </w:p>
        </w:tc>
      </w:tr>
      <w:tr>
        <w:trPr>
          <w:trHeight w:val="237"/>
        </w:trPr>
        <w:tc>
          <w:tcPr>
            <w:tcW w:w="6080" w:type="dxa"/>
            <w:vAlign w:val="bottom"/>
          </w:tcPr>
          <w:p>
            <w:pPr>
              <w:ind w:left="1640"/>
              <w:spacing w:after="0"/>
              <w:rPr>
                <w:sz w:val="20"/>
                <w:szCs w:val="20"/>
                <w:color w:val="auto"/>
              </w:rPr>
            </w:pPr>
            <w:r>
              <w:rPr>
                <w:rFonts w:ascii="Arial" w:cs="Arial" w:eastAsia="Arial" w:hAnsi="Arial"/>
                <w:sz w:val="16"/>
                <w:szCs w:val="16"/>
                <w:color w:val="auto"/>
              </w:rPr>
              <w:t>Less: accumulated amortization</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(48,391)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(46,141)</w:t>
            </w:r>
          </w:p>
        </w:tc>
        <w:tc>
          <w:tcPr>
            <w:tcW w:w="1820" w:type="dxa"/>
            <w:vAlign w:val="bottom"/>
          </w:tcPr>
          <w:p>
            <w:pPr>
              <w:spacing w:after="0"/>
              <w:rPr>
                <w:sz w:val="20"/>
                <w:szCs w:val="20"/>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30"/>
        </w:trPr>
        <w:tc>
          <w:tcPr>
            <w:tcW w:w="6080" w:type="dxa"/>
            <w:vAlign w:val="bottom"/>
            <w:tcBorders>
              <w:bottom w:val="single" w:sz="8" w:color="CCEEFF"/>
            </w:tcBorders>
            <w:shd w:val="clear" w:color="auto" w:fill="CCEEFF"/>
          </w:tcPr>
          <w:p>
            <w:pPr>
              <w:ind w:left="1880"/>
              <w:spacing w:after="0"/>
              <w:rPr>
                <w:sz w:val="20"/>
                <w:szCs w:val="20"/>
                <w:color w:val="auto"/>
              </w:rPr>
            </w:pPr>
            <w:r>
              <w:rPr>
                <w:rFonts w:ascii="Arial" w:cs="Arial" w:eastAsia="Arial" w:hAnsi="Arial"/>
                <w:sz w:val="16"/>
                <w:szCs w:val="16"/>
                <w:color w:val="auto"/>
              </w:rPr>
              <w:t>Net core deposit intangible</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17,061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16,511</w:t>
            </w:r>
          </w:p>
        </w:tc>
        <w:tc>
          <w:tcPr>
            <w:tcW w:w="1820" w:type="dxa"/>
            <w:vAlign w:val="bottom"/>
            <w:tcBorders>
              <w:bottom w:val="single" w:sz="8" w:color="CCEEFF"/>
            </w:tcBorders>
            <w:shd w:val="clear" w:color="auto" w:fill="CCEEFF"/>
          </w:tcPr>
          <w:p>
            <w:pPr>
              <w:spacing w:after="0"/>
              <w:rPr>
                <w:sz w:val="20"/>
                <w:szCs w:val="20"/>
                <w:color w:val="auto"/>
              </w:rPr>
            </w:pPr>
          </w:p>
        </w:tc>
      </w:tr>
      <w:tr>
        <w:trPr>
          <w:trHeight w:val="237"/>
        </w:trPr>
        <w:tc>
          <w:tcPr>
            <w:tcW w:w="6080" w:type="dxa"/>
            <w:vAlign w:val="bottom"/>
          </w:tcPr>
          <w:p>
            <w:pPr>
              <w:ind w:left="1640"/>
              <w:spacing w:after="0"/>
              <w:rPr>
                <w:sz w:val="20"/>
                <w:szCs w:val="20"/>
                <w:color w:val="auto"/>
              </w:rPr>
            </w:pPr>
            <w:r>
              <w:rPr>
                <w:rFonts w:ascii="Arial" w:cs="Arial" w:eastAsia="Arial" w:hAnsi="Arial"/>
                <w:sz w:val="16"/>
                <w:szCs w:val="16"/>
                <w:color w:val="auto"/>
              </w:rPr>
              <w:t>Noncompete agreements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3,144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3,144</w:t>
            </w:r>
          </w:p>
        </w:tc>
        <w:tc>
          <w:tcPr>
            <w:tcW w:w="1820" w:type="dxa"/>
            <w:vAlign w:val="bottom"/>
          </w:tcPr>
          <w:p>
            <w:pPr>
              <w:spacing w:after="0"/>
              <w:rPr>
                <w:sz w:val="20"/>
                <w:szCs w:val="20"/>
                <w:color w:val="auto"/>
              </w:rPr>
            </w:pPr>
          </w:p>
        </w:tc>
      </w:tr>
      <w:tr>
        <w:trPr>
          <w:trHeight w:val="33"/>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Less: accumulated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(2,695)</w:t>
            </w:r>
          </w:p>
        </w:tc>
        <w:tc>
          <w:tcPr>
            <w:tcW w:w="1820" w:type="dxa"/>
            <w:vAlign w:val="bottom"/>
            <w:tcBorders>
              <w:bottom w:val="single" w:sz="8" w:color="CCEEFF"/>
            </w:tcBorders>
            <w:shd w:val="clear" w:color="auto" w:fill="CCEEFF"/>
          </w:tcPr>
          <w:p>
            <w:pPr>
              <w:spacing w:after="0"/>
              <w:rPr>
                <w:sz w:val="23"/>
                <w:szCs w:val="23"/>
                <w:color w:val="auto"/>
              </w:rPr>
            </w:pPr>
          </w:p>
        </w:tc>
      </w:tr>
      <w:tr>
        <w:trPr>
          <w:trHeight w:val="217"/>
        </w:trPr>
        <w:tc>
          <w:tcPr>
            <w:tcW w:w="6080" w:type="dxa"/>
            <w:vAlign w:val="bottom"/>
          </w:tcPr>
          <w:p>
            <w:pPr>
              <w:ind w:left="1880"/>
              <w:spacing w:after="0"/>
              <w:rPr>
                <w:sz w:val="20"/>
                <w:szCs w:val="20"/>
                <w:color w:val="auto"/>
              </w:rPr>
            </w:pPr>
            <w:r>
              <w:rPr>
                <w:rFonts w:ascii="Arial" w:cs="Arial" w:eastAsia="Arial" w:hAnsi="Arial"/>
                <w:sz w:val="16"/>
                <w:szCs w:val="16"/>
                <w:color w:val="auto"/>
              </w:rPr>
              <w:t>Net noncompete agreements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449</w:t>
            </w:r>
          </w:p>
        </w:tc>
        <w:tc>
          <w:tcPr>
            <w:tcW w:w="1820" w:type="dxa"/>
            <w:vAlign w:val="bottom"/>
          </w:tcPr>
          <w:p>
            <w:pPr>
              <w:spacing w:after="0"/>
              <w:rPr>
                <w:sz w:val="18"/>
                <w:szCs w:val="18"/>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30"/>
        </w:trPr>
        <w:tc>
          <w:tcPr>
            <w:tcW w:w="608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Total intangibles subject to amortization, net</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16,960</w:t>
            </w:r>
          </w:p>
        </w:tc>
        <w:tc>
          <w:tcPr>
            <w:tcW w:w="1820" w:type="dxa"/>
            <w:vAlign w:val="bottom"/>
            <w:tcBorders>
              <w:bottom w:val="single" w:sz="8" w:color="CCEEFF"/>
            </w:tcBorders>
            <w:shd w:val="clear" w:color="auto" w:fill="CCEEFF"/>
          </w:tcPr>
          <w:p>
            <w:pPr>
              <w:spacing w:after="0"/>
              <w:rPr>
                <w:sz w:val="20"/>
                <w:szCs w:val="20"/>
                <w:color w:val="auto"/>
              </w:rPr>
            </w:pPr>
          </w:p>
        </w:tc>
      </w:tr>
      <w:tr>
        <w:trPr>
          <w:trHeight w:val="237"/>
        </w:trPr>
        <w:tc>
          <w:tcPr>
            <w:tcW w:w="6080" w:type="dxa"/>
            <w:vAlign w:val="bottom"/>
          </w:tcPr>
          <w:p>
            <w:pPr>
              <w:ind w:left="1640"/>
              <w:spacing w:after="0"/>
              <w:rPr>
                <w:sz w:val="20"/>
                <w:szCs w:val="20"/>
                <w:color w:val="auto"/>
              </w:rPr>
            </w:pPr>
            <w:r>
              <w:rPr>
                <w:rFonts w:ascii="Arial" w:cs="Arial" w:eastAsia="Arial" w:hAnsi="Arial"/>
                <w:sz w:val="16"/>
                <w:szCs w:val="16"/>
                <w:color w:val="auto"/>
              </w:rPr>
              <w:t>Goodwill</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327,425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307,112</w:t>
            </w:r>
          </w:p>
        </w:tc>
        <w:tc>
          <w:tcPr>
            <w:tcW w:w="1820" w:type="dxa"/>
            <w:vAlign w:val="bottom"/>
          </w:tcPr>
          <w:p>
            <w:pPr>
              <w:spacing w:after="0"/>
              <w:rPr>
                <w:sz w:val="20"/>
                <w:szCs w:val="20"/>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6"/>
                <w:szCs w:val="16"/>
                <w:color w:val="auto"/>
              </w:rPr>
              <w:t>Total goodwill and other intangible assets,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344,550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324,072</w:t>
            </w:r>
          </w:p>
        </w:tc>
        <w:tc>
          <w:tcPr>
            <w:tcW w:w="1820" w:type="dxa"/>
            <w:vAlign w:val="bottom"/>
            <w:tcBorders>
              <w:bottom w:val="single" w:sz="8" w:color="CCEEFF"/>
            </w:tcBorders>
            <w:shd w:val="clear" w:color="auto" w:fill="CCEEFF"/>
          </w:tcPr>
          <w:p>
            <w:pPr>
              <w:spacing w:after="0"/>
              <w:rPr>
                <w:sz w:val="21"/>
                <w:szCs w:val="21"/>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summary of changes in the carrying amounts of goodwill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20" w:type="dxa"/>
            <w:vAlign w:val="bottom"/>
            <w:gridSpan w:val="8"/>
          </w:tcPr>
          <w:p>
            <w:pPr>
              <w:ind w:left="2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140" w:type="dxa"/>
            <w:vAlign w:val="bottom"/>
            <w:gridSpan w:val="6"/>
          </w:tcPr>
          <w:p>
            <w:pPr>
              <w:jc w:val="right"/>
              <w:ind w:right="1159"/>
              <w:spacing w:after="0"/>
              <w:rPr>
                <w:sz w:val="20"/>
                <w:szCs w:val="20"/>
                <w:color w:val="auto"/>
              </w:rPr>
            </w:pPr>
            <w:r>
              <w:rPr>
                <w:rFonts w:ascii="Arial" w:cs="Arial" w:eastAsia="Arial" w:hAnsi="Arial"/>
                <w:sz w:val="16"/>
                <w:szCs w:val="16"/>
                <w:b w:val="1"/>
                <w:bCs w:val="1"/>
                <w:color w:val="auto"/>
                <w:w w:val="90"/>
              </w:rPr>
              <w:t>Six Months Ended June 30,</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2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Goodwill, net of</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Goodwill, net of</w:t>
            </w:r>
          </w:p>
        </w:tc>
      </w:tr>
      <w:tr>
        <w:trPr>
          <w:trHeight w:val="203"/>
        </w:trPr>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Accumulated</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Impairment</w:t>
            </w:r>
          </w:p>
        </w:tc>
        <w:tc>
          <w:tcPr>
            <w:tcW w:w="12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Accumulated</w:t>
            </w:r>
          </w:p>
        </w:tc>
      </w:tr>
      <w:tr>
        <w:trPr>
          <w:trHeight w:val="210"/>
        </w:trPr>
        <w:tc>
          <w:tcPr>
            <w:tcW w:w="2300" w:type="dxa"/>
            <w:vAlign w:val="bottom"/>
          </w:tcPr>
          <w:p>
            <w:pPr>
              <w:ind w:left="4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Goodwill</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rPr>
              <w:t>Impairment Losses</w:t>
            </w:r>
          </w:p>
        </w:tc>
        <w:tc>
          <w:tcPr>
            <w:tcW w:w="120" w:type="dxa"/>
            <w:vAlign w:val="bottom"/>
          </w:tcPr>
          <w:p>
            <w:pPr>
              <w:spacing w:after="0"/>
              <w:rPr>
                <w:sz w:val="18"/>
                <w:szCs w:val="18"/>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Impairment Losses</w:t>
            </w:r>
          </w:p>
        </w:tc>
        <w:tc>
          <w:tcPr>
            <w:tcW w:w="200" w:type="dxa"/>
            <w:vAlign w:val="bottom"/>
          </w:tcPr>
          <w:p>
            <w:pPr>
              <w:spacing w:after="0"/>
              <w:rPr>
                <w:sz w:val="18"/>
                <w:szCs w:val="18"/>
                <w:color w:val="auto"/>
              </w:rPr>
            </w:pPr>
          </w:p>
        </w:tc>
        <w:tc>
          <w:tcPr>
            <w:tcW w:w="1040" w:type="dxa"/>
            <w:vAlign w:val="bottom"/>
          </w:tcPr>
          <w:p>
            <w:pPr>
              <w:jc w:val="right"/>
              <w:ind w:right="239"/>
              <w:spacing w:after="0"/>
              <w:rPr>
                <w:sz w:val="20"/>
                <w:szCs w:val="20"/>
                <w:color w:val="auto"/>
              </w:rPr>
            </w:pPr>
            <w:r>
              <w:rPr>
                <w:rFonts w:ascii="Arial" w:cs="Arial" w:eastAsia="Arial" w:hAnsi="Arial"/>
                <w:sz w:val="16"/>
                <w:szCs w:val="16"/>
                <w:b w:val="1"/>
                <w:bCs w:val="1"/>
                <w:color w:val="auto"/>
              </w:rPr>
              <w:t>Goodwill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120" w:type="dxa"/>
            <w:vAlign w:val="bottom"/>
          </w:tcPr>
          <w:p>
            <w:pPr>
              <w:spacing w:after="0"/>
              <w:rPr>
                <w:sz w:val="18"/>
                <w:szCs w:val="18"/>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Impairment Losses</w:t>
            </w:r>
          </w:p>
        </w:tc>
      </w:tr>
      <w:tr>
        <w:trPr>
          <w:trHeight w:val="33"/>
        </w:trPr>
        <w:tc>
          <w:tcPr>
            <w:tcW w:w="2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612,702</w:t>
            </w:r>
          </w:p>
        </w:tc>
        <w:tc>
          <w:tcPr>
            <w:tcW w:w="3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(305,590)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307,112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612,702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(305,590)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307,112</w:t>
            </w:r>
          </w:p>
        </w:tc>
      </w:tr>
      <w:tr>
        <w:trPr>
          <w:trHeight w:val="237"/>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Acquisition of FMBT</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20,313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20,313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20,313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20,313</w:t>
            </w:r>
          </w:p>
        </w:tc>
      </w:tr>
      <w:tr>
        <w:trPr>
          <w:trHeight w:val="33"/>
        </w:trPr>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end of period</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633,015</w:t>
            </w:r>
          </w:p>
        </w:tc>
        <w:tc>
          <w:tcPr>
            <w:tcW w:w="38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(305,590)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327,425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633,015</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(305,590)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327,425</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r>
      <w:tr>
        <w:trPr>
          <w:trHeight w:val="217"/>
        </w:trPr>
        <w:tc>
          <w:tcPr>
            <w:tcW w:w="230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Balance, beginning of period</w:t>
            </w:r>
          </w:p>
        </w:tc>
        <w:tc>
          <w:tcPr>
            <w:tcW w:w="12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612,009</w:t>
            </w:r>
          </w:p>
        </w:tc>
        <w:tc>
          <w:tcPr>
            <w:tcW w:w="380" w:type="dxa"/>
            <w:vAlign w:val="bottom"/>
            <w:gridSpan w:val="3"/>
          </w:tcPr>
          <w:p>
            <w:pPr>
              <w:ind w:left="2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(305,590)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306,419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526,181</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(305,590)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220,591</w:t>
            </w:r>
          </w:p>
        </w:tc>
      </w:tr>
      <w:tr>
        <w:trPr>
          <w:trHeight w:val="33"/>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Acquisition of Navitas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87,379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87,379</w:t>
            </w:r>
          </w:p>
        </w:tc>
      </w:tr>
      <w:tr>
        <w:trPr>
          <w:trHeight w:val="220"/>
        </w:trPr>
        <w:tc>
          <w:tcPr>
            <w:tcW w:w="2420" w:type="dxa"/>
            <w:vAlign w:val="bottom"/>
            <w:gridSpan w:val="2"/>
          </w:tcPr>
          <w:p>
            <w:pPr>
              <w:ind w:left="40"/>
              <w:spacing w:after="0"/>
              <w:rPr>
                <w:sz w:val="20"/>
                <w:szCs w:val="20"/>
                <w:color w:val="auto"/>
              </w:rPr>
            </w:pPr>
            <w:r>
              <w:rPr>
                <w:rFonts w:ascii="Arial" w:cs="Arial" w:eastAsia="Arial" w:hAnsi="Arial"/>
                <w:sz w:val="16"/>
                <w:szCs w:val="16"/>
                <w:color w:val="auto"/>
              </w:rPr>
              <w:t>Measurement period</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9"/>
        </w:trPr>
        <w:tc>
          <w:tcPr>
            <w:tcW w:w="2420" w:type="dxa"/>
            <w:vAlign w:val="bottom"/>
            <w:tcBorders>
              <w:bottom w:val="single" w:sz="8" w:color="CCEEFF"/>
            </w:tcBorders>
            <w:gridSpan w:val="2"/>
          </w:tcPr>
          <w:p>
            <w:pPr>
              <w:ind w:left="40"/>
              <w:spacing w:after="0" w:line="239" w:lineRule="exact"/>
              <w:rPr>
                <w:sz w:val="20"/>
                <w:szCs w:val="20"/>
                <w:color w:val="auto"/>
              </w:rPr>
            </w:pPr>
            <w:r>
              <w:rPr>
                <w:rFonts w:ascii="Arial" w:cs="Arial" w:eastAsia="Arial" w:hAnsi="Arial"/>
                <w:sz w:val="16"/>
                <w:szCs w:val="16"/>
                <w:color w:val="auto"/>
              </w:rPr>
              <w:t>adjustments</w:t>
            </w:r>
            <w:r>
              <w:rPr>
                <w:rFonts w:ascii="Arial" w:cs="Arial" w:eastAsia="Arial" w:hAnsi="Arial"/>
                <w:sz w:val="21"/>
                <w:szCs w:val="21"/>
                <w:color w:val="auto"/>
                <w:vertAlign w:val="superscript"/>
              </w:rPr>
              <w:t>(1)</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w:t>
            </w:r>
          </w:p>
        </w:tc>
      </w:tr>
      <w:tr>
        <w:trPr>
          <w:trHeight w:val="244"/>
        </w:trPr>
        <w:tc>
          <w:tcPr>
            <w:tcW w:w="2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end of period</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612,702</w:t>
            </w:r>
          </w:p>
        </w:tc>
        <w:tc>
          <w:tcPr>
            <w:tcW w:w="38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(305,590)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307,112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612,702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(305,590)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307,112</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180" w:hanging="172"/>
        <w:spacing w:after="0"/>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Measurement period adjustments for the three and six months ended June 30, 2018, were related to Four Oaks Fincorp, Inc. and HCSB Financial Corporation.</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estimated aggregate amortization expense for future periods for core deposit intangibles and noncompete agreements is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97"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Year</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540" w:type="dxa"/>
            <w:vAlign w:val="bottom"/>
            <w:tcBorders>
              <w:top w:val="single" w:sz="8" w:color="CCEEFF"/>
              <w:bottom w:val="single" w:sz="8" w:color="CCEEFF"/>
            </w:tcBorders>
            <w:shd w:val="clear" w:color="auto" w:fill="CCEEFF"/>
          </w:tcPr>
          <w:p>
            <w:pPr>
              <w:spacing w:after="0"/>
              <w:rPr>
                <w:sz w:val="21"/>
                <w:szCs w:val="21"/>
                <w:color w:val="auto"/>
              </w:rPr>
            </w:pPr>
          </w:p>
        </w:tc>
        <w:tc>
          <w:tcPr>
            <w:tcW w:w="26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Remainder of 2019</w:t>
            </w:r>
          </w:p>
        </w:tc>
        <w:tc>
          <w:tcPr>
            <w:tcW w:w="640" w:type="dxa"/>
            <w:vAlign w:val="bottom"/>
            <w:tcBorders>
              <w:top w:val="single" w:sz="8" w:color="CCEEFF"/>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2,304</w:t>
            </w:r>
          </w:p>
        </w:tc>
        <w:tc>
          <w:tcPr>
            <w:tcW w:w="35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37"/>
        </w:trPr>
        <w:tc>
          <w:tcPr>
            <w:tcW w:w="6180" w:type="dxa"/>
            <w:vAlign w:val="bottom"/>
            <w:gridSpan w:val="2"/>
          </w:tcPr>
          <w:p>
            <w:pPr>
              <w:ind w:left="3580"/>
              <w:spacing w:after="0"/>
              <w:rPr>
                <w:sz w:val="20"/>
                <w:szCs w:val="20"/>
                <w:color w:val="auto"/>
              </w:rPr>
            </w:pPr>
            <w:r>
              <w:rPr>
                <w:rFonts w:ascii="Arial" w:cs="Arial" w:eastAsia="Arial" w:hAnsi="Arial"/>
                <w:sz w:val="16"/>
                <w:szCs w:val="16"/>
                <w:color w:val="auto"/>
              </w:rPr>
              <w:t>2020</w:t>
            </w:r>
          </w:p>
        </w:tc>
        <w:tc>
          <w:tcPr>
            <w:tcW w:w="6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3,842</w:t>
            </w:r>
          </w:p>
        </w:tc>
        <w:tc>
          <w:tcPr>
            <w:tcW w:w="352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3580"/>
              <w:spacing w:after="0"/>
              <w:rPr>
                <w:sz w:val="20"/>
                <w:szCs w:val="20"/>
                <w:color w:val="auto"/>
              </w:rPr>
            </w:pPr>
            <w:r>
              <w:rPr>
                <w:rFonts w:ascii="Arial" w:cs="Arial" w:eastAsia="Arial" w:hAnsi="Arial"/>
                <w:sz w:val="16"/>
                <w:szCs w:val="16"/>
                <w:color w:val="auto"/>
              </w:rPr>
              <w:t>2021</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3,019</w:t>
            </w:r>
          </w:p>
        </w:tc>
        <w:tc>
          <w:tcPr>
            <w:tcW w:w="352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gridSpan w:val="2"/>
          </w:tcPr>
          <w:p>
            <w:pPr>
              <w:ind w:left="3580"/>
              <w:spacing w:after="0"/>
              <w:rPr>
                <w:sz w:val="20"/>
                <w:szCs w:val="20"/>
                <w:color w:val="auto"/>
              </w:rPr>
            </w:pPr>
            <w:r>
              <w:rPr>
                <w:rFonts w:ascii="Arial" w:cs="Arial" w:eastAsia="Arial" w:hAnsi="Arial"/>
                <w:sz w:val="16"/>
                <w:szCs w:val="16"/>
                <w:color w:val="auto"/>
              </w:rPr>
              <w:t>2022</w:t>
            </w:r>
          </w:p>
        </w:tc>
        <w:tc>
          <w:tcPr>
            <w:tcW w:w="6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2,379</w:t>
            </w:r>
          </w:p>
        </w:tc>
        <w:tc>
          <w:tcPr>
            <w:tcW w:w="3520" w:type="dxa"/>
            <w:vAlign w:val="bottom"/>
          </w:tcPr>
          <w:p>
            <w:pPr>
              <w:spacing w:after="0"/>
              <w:rPr>
                <w:sz w:val="20"/>
                <w:szCs w:val="20"/>
                <w:color w:val="auto"/>
              </w:rPr>
            </w:pPr>
          </w:p>
        </w:tc>
      </w:tr>
      <w:tr>
        <w:trPr>
          <w:trHeight w:val="33"/>
        </w:trPr>
        <w:tc>
          <w:tcPr>
            <w:tcW w:w="35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52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3580"/>
              <w:spacing w:after="0"/>
              <w:rPr>
                <w:sz w:val="20"/>
                <w:szCs w:val="20"/>
                <w:color w:val="auto"/>
              </w:rPr>
            </w:pPr>
            <w:r>
              <w:rPr>
                <w:rFonts w:ascii="Arial" w:cs="Arial" w:eastAsia="Arial" w:hAnsi="Arial"/>
                <w:sz w:val="16"/>
                <w:szCs w:val="16"/>
                <w:color w:val="auto"/>
              </w:rPr>
              <w:t>2023</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1,852</w:t>
            </w:r>
          </w:p>
        </w:tc>
        <w:tc>
          <w:tcPr>
            <w:tcW w:w="3520" w:type="dxa"/>
            <w:vAlign w:val="bottom"/>
            <w:tcBorders>
              <w:bottom w:val="single" w:sz="8" w:color="CCEEFF"/>
            </w:tcBorders>
            <w:shd w:val="clear" w:color="auto" w:fill="CCEEFF"/>
          </w:tcPr>
          <w:p>
            <w:pPr>
              <w:spacing w:after="0"/>
              <w:rPr>
                <w:sz w:val="21"/>
                <w:szCs w:val="21"/>
                <w:color w:val="auto"/>
              </w:rPr>
            </w:pPr>
          </w:p>
        </w:tc>
      </w:tr>
      <w:tr>
        <w:trPr>
          <w:trHeight w:val="237"/>
        </w:trPr>
        <w:tc>
          <w:tcPr>
            <w:tcW w:w="3540" w:type="dxa"/>
            <w:vAlign w:val="bottom"/>
          </w:tcPr>
          <w:p>
            <w:pPr>
              <w:spacing w:after="0"/>
              <w:rPr>
                <w:sz w:val="20"/>
                <w:szCs w:val="20"/>
                <w:color w:val="auto"/>
              </w:rPr>
            </w:pPr>
          </w:p>
        </w:tc>
        <w:tc>
          <w:tcPr>
            <w:tcW w:w="264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64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3,729</w:t>
            </w:r>
          </w:p>
        </w:tc>
        <w:tc>
          <w:tcPr>
            <w:tcW w:w="3520" w:type="dxa"/>
            <w:vAlign w:val="bottom"/>
          </w:tcPr>
          <w:p>
            <w:pPr>
              <w:spacing w:after="0"/>
              <w:rPr>
                <w:sz w:val="20"/>
                <w:szCs w:val="20"/>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spacing w:after="0"/>
              <w:rPr>
                <w:sz w:val="21"/>
                <w:szCs w:val="21"/>
                <w:color w:val="auto"/>
              </w:rPr>
            </w:pPr>
          </w:p>
        </w:tc>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17,125</w:t>
            </w:r>
          </w:p>
        </w:tc>
        <w:tc>
          <w:tcPr>
            <w:tcW w:w="3520" w:type="dxa"/>
            <w:vAlign w:val="bottom"/>
            <w:tcBorders>
              <w:bottom w:val="single" w:sz="8" w:color="CCEEFF"/>
            </w:tcBorders>
            <w:shd w:val="clear" w:color="auto" w:fill="CCEEFF"/>
          </w:tcPr>
          <w:p>
            <w:pPr>
              <w:spacing w:after="0"/>
              <w:rPr>
                <w:sz w:val="21"/>
                <w:szCs w:val="21"/>
                <w:color w:val="auto"/>
              </w:rPr>
            </w:pPr>
          </w:p>
        </w:tc>
      </w:tr>
      <w:tr>
        <w:trPr>
          <w:trHeight w:val="20"/>
        </w:trPr>
        <w:tc>
          <w:tcPr>
            <w:tcW w:w="35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Operating Leases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United’s leases for which it is the lessee consist of operating leases for land, buildings, and equipment. Payments related to these leases consist primarily of base rent and, in the case of building leases, additional operating costs associated with the leased property such as common area maintenance and utilities. In most cases these operating costs vary over the term of the lease, and therefore are classified as variable lease costs, which are recognized as incurred in the consolidated statement of income. In addition, certain operating leases include costs such as property taxes and insurance, which are recognized as incurred in the consolidated statement of income. Many of United’s operating leases contain renewal options, most of which are excluded from the measurement of the right-of-use asset and lease liability as they are not reasonably certain to be exercised. United also subleases and leases certain real estate properties to third parties under operating leases. As of June 30, 2019, United had a right-of-use asset and lease liability of $21.6 million and $24.0 million, respectively, included in other assets and other liabilities, respectively, on the balance sheet.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table below presents the operating lease income and expense recognized for the periods indicated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1940" w:type="dxa"/>
            <w:vAlign w:val="bottom"/>
            <w:gridSpan w:val="2"/>
          </w:tcPr>
          <w:p>
            <w:pPr>
              <w:ind w:left="340"/>
              <w:spacing w:after="0"/>
              <w:rPr>
                <w:sz w:val="20"/>
                <w:szCs w:val="20"/>
                <w:color w:val="auto"/>
              </w:rPr>
            </w:pPr>
            <w:r>
              <w:rPr>
                <w:rFonts w:ascii="Arial" w:cs="Arial" w:eastAsia="Arial" w:hAnsi="Arial"/>
                <w:sz w:val="16"/>
                <w:szCs w:val="16"/>
                <w:b w:val="1"/>
                <w:bCs w:val="1"/>
                <w:color w:val="auto"/>
              </w:rPr>
              <w:t>Income Statement</w:t>
            </w:r>
          </w:p>
        </w:tc>
        <w:tc>
          <w:tcPr>
            <w:tcW w:w="2040" w:type="dxa"/>
            <w:vAlign w:val="bottom"/>
            <w:gridSpan w:val="3"/>
          </w:tcPr>
          <w:p>
            <w:pPr>
              <w:ind w:left="60"/>
              <w:spacing w:after="0"/>
              <w:rPr>
                <w:sz w:val="20"/>
                <w:szCs w:val="20"/>
                <w:color w:val="auto"/>
              </w:rPr>
            </w:pPr>
            <w:r>
              <w:rPr>
                <w:rFonts w:ascii="Arial" w:cs="Arial" w:eastAsia="Arial" w:hAnsi="Arial"/>
                <w:sz w:val="16"/>
                <w:szCs w:val="16"/>
                <w:b w:val="1"/>
                <w:bCs w:val="1"/>
                <w:color w:val="auto"/>
                <w:w w:val="97"/>
              </w:rPr>
              <w:t>Three Months Ended June</w:t>
            </w:r>
          </w:p>
        </w:tc>
        <w:tc>
          <w:tcPr>
            <w:tcW w:w="220" w:type="dxa"/>
            <w:vAlign w:val="bottom"/>
          </w:tcPr>
          <w:p>
            <w:pPr>
              <w:spacing w:after="0"/>
              <w:rPr>
                <w:sz w:val="17"/>
                <w:szCs w:val="17"/>
                <w:color w:val="auto"/>
              </w:rPr>
            </w:pPr>
          </w:p>
        </w:tc>
        <w:tc>
          <w:tcPr>
            <w:tcW w:w="2840" w:type="dxa"/>
            <w:vAlign w:val="bottom"/>
            <w:gridSpan w:val="2"/>
          </w:tcPr>
          <w:p>
            <w:pPr>
              <w:jc w:val="center"/>
              <w:ind w:right="1360"/>
              <w:spacing w:after="0"/>
              <w:rPr>
                <w:sz w:val="20"/>
                <w:szCs w:val="20"/>
                <w:color w:val="auto"/>
              </w:rPr>
            </w:pPr>
            <w:r>
              <w:rPr>
                <w:rFonts w:ascii="Arial" w:cs="Arial" w:eastAsia="Arial" w:hAnsi="Arial"/>
                <w:sz w:val="16"/>
                <w:szCs w:val="16"/>
                <w:b w:val="1"/>
                <w:bCs w:val="1"/>
                <w:color w:val="auto"/>
                <w:w w:val="92"/>
              </w:rPr>
              <w:t>Six Months Ended</w:t>
            </w:r>
          </w:p>
        </w:tc>
      </w:tr>
      <w:tr>
        <w:trPr>
          <w:trHeight w:val="210"/>
        </w:trPr>
        <w:tc>
          <w:tcPr>
            <w:tcW w:w="4380" w:type="dxa"/>
            <w:vAlign w:val="bottom"/>
          </w:tcPr>
          <w:p>
            <w:pPr>
              <w:spacing w:after="0"/>
              <w:rPr>
                <w:sz w:val="18"/>
                <w:szCs w:val="18"/>
                <w:color w:val="auto"/>
              </w:rPr>
            </w:pPr>
          </w:p>
        </w:tc>
        <w:tc>
          <w:tcPr>
            <w:tcW w:w="1940" w:type="dxa"/>
            <w:vAlign w:val="bottom"/>
            <w:gridSpan w:val="2"/>
          </w:tcPr>
          <w:p>
            <w:pPr>
              <w:ind w:left="660"/>
              <w:spacing w:after="0"/>
              <w:rPr>
                <w:sz w:val="20"/>
                <w:szCs w:val="20"/>
                <w:color w:val="auto"/>
              </w:rPr>
            </w:pPr>
            <w:r>
              <w:rPr>
                <w:rFonts w:ascii="Arial" w:cs="Arial" w:eastAsia="Arial" w:hAnsi="Arial"/>
                <w:sz w:val="16"/>
                <w:szCs w:val="16"/>
                <w:b w:val="1"/>
                <w:bCs w:val="1"/>
                <w:color w:val="auto"/>
              </w:rPr>
              <w:t>Location</w:t>
            </w:r>
          </w:p>
        </w:tc>
        <w:tc>
          <w:tcPr>
            <w:tcW w:w="400" w:type="dxa"/>
            <w:vAlign w:val="bottom"/>
          </w:tcPr>
          <w:p>
            <w:pPr>
              <w:spacing w:after="0"/>
              <w:rPr>
                <w:sz w:val="18"/>
                <w:szCs w:val="18"/>
                <w:color w:val="auto"/>
              </w:rPr>
            </w:pPr>
          </w:p>
        </w:tc>
        <w:tc>
          <w:tcPr>
            <w:tcW w:w="1540" w:type="dxa"/>
            <w:vAlign w:val="bottom"/>
          </w:tcPr>
          <w:p>
            <w:pPr>
              <w:jc w:val="right"/>
              <w:ind w:right="599"/>
              <w:spacing w:after="0"/>
              <w:rPr>
                <w:sz w:val="20"/>
                <w:szCs w:val="20"/>
                <w:color w:val="auto"/>
              </w:rPr>
            </w:pPr>
            <w:r>
              <w:rPr>
                <w:rFonts w:ascii="Arial" w:cs="Arial" w:eastAsia="Arial" w:hAnsi="Arial"/>
                <w:sz w:val="16"/>
                <w:szCs w:val="16"/>
                <w:b w:val="1"/>
                <w:bCs w:val="1"/>
                <w:color w:val="auto"/>
              </w:rPr>
              <w:t>30, 2019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2"/>
          </w:tcPr>
          <w:p>
            <w:pPr>
              <w:jc w:val="center"/>
              <w:ind w:right="1340"/>
              <w:spacing w:after="0"/>
              <w:rPr>
                <w:sz w:val="20"/>
                <w:szCs w:val="20"/>
                <w:color w:val="auto"/>
              </w:rPr>
            </w:pPr>
            <w:r>
              <w:rPr>
                <w:rFonts w:ascii="Arial" w:cs="Arial" w:eastAsia="Arial" w:hAnsi="Arial"/>
                <w:sz w:val="16"/>
                <w:szCs w:val="16"/>
                <w:b w:val="1"/>
                <w:bCs w:val="1"/>
                <w:color w:val="auto"/>
                <w:w w:val="90"/>
              </w:rPr>
              <w:t>June 30, 2019</w:t>
            </w:r>
          </w:p>
        </w:tc>
      </w:tr>
      <w:tr>
        <w:trPr>
          <w:trHeight w:val="33"/>
        </w:trPr>
        <w:tc>
          <w:tcPr>
            <w:tcW w:w="43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Operating lease cost</w:t>
            </w:r>
          </w:p>
        </w:tc>
        <w:tc>
          <w:tcPr>
            <w:tcW w:w="1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Occupancy expense</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2,511</w:t>
            </w:r>
          </w:p>
        </w:tc>
        <w:tc>
          <w:tcPr>
            <w:tcW w:w="1140" w:type="dxa"/>
            <w:vAlign w:val="bottom"/>
            <w:tcBorders>
              <w:bottom w:val="single" w:sz="8" w:color="CCEEFF"/>
            </w:tcBorders>
            <w:shd w:val="clear" w:color="auto" w:fill="CCEEFF"/>
          </w:tcPr>
          <w:p>
            <w:pPr>
              <w:spacing w:after="0"/>
              <w:rPr>
                <w:sz w:val="21"/>
                <w:szCs w:val="21"/>
                <w:color w:val="auto"/>
              </w:rPr>
            </w:pPr>
          </w:p>
        </w:tc>
      </w:tr>
      <w:tr>
        <w:trPr>
          <w:trHeight w:val="237"/>
        </w:trPr>
        <w:tc>
          <w:tcPr>
            <w:tcW w:w="4380" w:type="dxa"/>
            <w:vAlign w:val="bottom"/>
          </w:tcPr>
          <w:p>
            <w:pPr>
              <w:ind w:left="1080"/>
              <w:spacing w:after="0"/>
              <w:rPr>
                <w:sz w:val="20"/>
                <w:szCs w:val="20"/>
                <w:color w:val="auto"/>
              </w:rPr>
            </w:pPr>
            <w:r>
              <w:rPr>
                <w:rFonts w:ascii="Arial" w:cs="Arial" w:eastAsia="Arial" w:hAnsi="Arial"/>
                <w:sz w:val="16"/>
                <w:szCs w:val="16"/>
                <w:color w:val="auto"/>
              </w:rPr>
              <w:t>Variable lease cost</w:t>
            </w:r>
          </w:p>
        </w:tc>
        <w:tc>
          <w:tcPr>
            <w:tcW w:w="1940" w:type="dxa"/>
            <w:vAlign w:val="bottom"/>
            <w:gridSpan w:val="2"/>
          </w:tcPr>
          <w:p>
            <w:pPr>
              <w:ind w:left="140"/>
              <w:spacing w:after="0"/>
              <w:rPr>
                <w:sz w:val="20"/>
                <w:szCs w:val="20"/>
                <w:color w:val="auto"/>
              </w:rPr>
            </w:pPr>
            <w:r>
              <w:rPr>
                <w:rFonts w:ascii="Arial" w:cs="Arial" w:eastAsia="Arial" w:hAnsi="Arial"/>
                <w:sz w:val="16"/>
                <w:szCs w:val="16"/>
                <w:color w:val="auto"/>
              </w:rPr>
              <w:t>Occupancy expense</w:t>
            </w:r>
          </w:p>
        </w:tc>
        <w:tc>
          <w:tcPr>
            <w:tcW w:w="40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224</w:t>
            </w:r>
          </w:p>
        </w:tc>
        <w:tc>
          <w:tcPr>
            <w:tcW w:w="1140" w:type="dxa"/>
            <w:vAlign w:val="bottom"/>
          </w:tcPr>
          <w:p>
            <w:pPr>
              <w:spacing w:after="0"/>
              <w:rPr>
                <w:sz w:val="20"/>
                <w:szCs w:val="20"/>
                <w:color w:val="auto"/>
              </w:rPr>
            </w:pPr>
          </w:p>
        </w:tc>
      </w:tr>
      <w:tr>
        <w:trPr>
          <w:trHeight w:val="33"/>
        </w:trPr>
        <w:tc>
          <w:tcPr>
            <w:tcW w:w="4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6"/>
                <w:szCs w:val="16"/>
                <w:color w:val="auto"/>
              </w:rPr>
              <w:t>Short-term lease cost</w:t>
            </w:r>
          </w:p>
        </w:tc>
        <w:tc>
          <w:tcPr>
            <w:tcW w:w="1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Occupancy expense</w:t>
            </w:r>
          </w:p>
        </w:tc>
        <w:tc>
          <w:tcPr>
            <w:tcW w:w="4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c>
          <w:tcPr>
            <w:tcW w:w="1140" w:type="dxa"/>
            <w:vAlign w:val="bottom"/>
            <w:tcBorders>
              <w:bottom w:val="single" w:sz="8" w:color="CCEEFF"/>
            </w:tcBorders>
            <w:shd w:val="clear" w:color="auto" w:fill="CCEEFF"/>
          </w:tcPr>
          <w:p>
            <w:pPr>
              <w:spacing w:after="0"/>
              <w:rPr>
                <w:sz w:val="23"/>
                <w:szCs w:val="23"/>
                <w:color w:val="auto"/>
              </w:rPr>
            </w:pPr>
          </w:p>
        </w:tc>
      </w:tr>
      <w:tr>
        <w:trPr>
          <w:trHeight w:val="284"/>
        </w:trPr>
        <w:tc>
          <w:tcPr>
            <w:tcW w:w="4380" w:type="dxa"/>
            <w:vAlign w:val="bottom"/>
            <w:tcBorders>
              <w:bottom w:val="single" w:sz="8" w:color="CCEEFF"/>
            </w:tcBorders>
          </w:tcPr>
          <w:p>
            <w:pPr>
              <w:ind w:left="1220"/>
              <w:spacing w:after="0"/>
              <w:rPr>
                <w:sz w:val="20"/>
                <w:szCs w:val="20"/>
                <w:color w:val="auto"/>
              </w:rPr>
            </w:pPr>
            <w:r>
              <w:rPr>
                <w:rFonts w:ascii="Arial" w:cs="Arial" w:eastAsia="Arial" w:hAnsi="Arial"/>
                <w:sz w:val="16"/>
                <w:szCs w:val="16"/>
                <w:color w:val="auto"/>
              </w:rPr>
              <w:t>Total lease cost</w:t>
            </w:r>
          </w:p>
        </w:tc>
        <w:tc>
          <w:tcPr>
            <w:tcW w:w="1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1,387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2,775</w:t>
            </w:r>
          </w:p>
        </w:tc>
        <w:tc>
          <w:tcPr>
            <w:tcW w:w="1140" w:type="dxa"/>
            <w:vAlign w:val="bottom"/>
            <w:tcBorders>
              <w:bottom w:val="single" w:sz="8" w:color="CCEEFF"/>
            </w:tcBorders>
          </w:tcPr>
          <w:p>
            <w:pPr>
              <w:spacing w:after="0"/>
              <w:rPr>
                <w:sz w:val="24"/>
                <w:szCs w:val="24"/>
                <w:color w:val="auto"/>
              </w:rPr>
            </w:pPr>
          </w:p>
        </w:tc>
      </w:tr>
      <w:tr>
        <w:trPr>
          <w:trHeight w:val="271"/>
        </w:trPr>
        <w:tc>
          <w:tcPr>
            <w:tcW w:w="438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0"/>
        </w:trPr>
        <w:tc>
          <w:tcPr>
            <w:tcW w:w="4380" w:type="dxa"/>
            <w:vAlign w:val="bottom"/>
          </w:tcPr>
          <w:p>
            <w:pPr>
              <w:ind w:left="1080"/>
              <w:spacing w:after="0"/>
              <w:rPr>
                <w:sz w:val="20"/>
                <w:szCs w:val="20"/>
                <w:color w:val="auto"/>
              </w:rPr>
            </w:pPr>
            <w:r>
              <w:rPr>
                <w:rFonts w:ascii="Arial" w:cs="Arial" w:eastAsia="Arial" w:hAnsi="Arial"/>
                <w:sz w:val="16"/>
                <w:szCs w:val="16"/>
                <w:color w:val="auto"/>
                <w:w w:val="95"/>
              </w:rPr>
              <w:t>Sublease income and rental income from owned</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6"/>
        </w:trPr>
        <w:tc>
          <w:tcPr>
            <w:tcW w:w="4380" w:type="dxa"/>
            <w:vAlign w:val="bottom"/>
          </w:tcPr>
          <w:p>
            <w:pPr>
              <w:ind w:left="1080"/>
              <w:spacing w:after="0"/>
              <w:rPr>
                <w:sz w:val="20"/>
                <w:szCs w:val="20"/>
                <w:color w:val="auto"/>
              </w:rPr>
            </w:pPr>
            <w:r>
              <w:rPr>
                <w:rFonts w:ascii="Arial" w:cs="Arial" w:eastAsia="Arial" w:hAnsi="Arial"/>
                <w:sz w:val="16"/>
                <w:szCs w:val="16"/>
                <w:color w:val="auto"/>
              </w:rPr>
              <w:t>properties under operating leases</w:t>
            </w:r>
          </w:p>
        </w:tc>
        <w:tc>
          <w:tcPr>
            <w:tcW w:w="1940" w:type="dxa"/>
            <w:vAlign w:val="bottom"/>
            <w:gridSpan w:val="2"/>
          </w:tcPr>
          <w:p>
            <w:pPr>
              <w:ind w:left="140"/>
              <w:spacing w:after="0"/>
              <w:rPr>
                <w:sz w:val="20"/>
                <w:szCs w:val="20"/>
                <w:color w:val="auto"/>
              </w:rPr>
            </w:pPr>
            <w:r>
              <w:rPr>
                <w:rFonts w:ascii="Arial" w:cs="Arial" w:eastAsia="Arial" w:hAnsi="Arial"/>
                <w:sz w:val="16"/>
                <w:szCs w:val="16"/>
                <w:color w:val="auto"/>
                <w:w w:val="99"/>
              </w:rPr>
              <w:t>Other noninterest income</w:t>
            </w:r>
          </w:p>
        </w:tc>
        <w:tc>
          <w:tcPr>
            <w:tcW w:w="400" w:type="dxa"/>
            <w:vAlign w:val="bottom"/>
          </w:tcPr>
          <w:p>
            <w:pPr>
              <w:ind w:left="4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625</w:t>
            </w:r>
          </w:p>
        </w:tc>
        <w:tc>
          <w:tcPr>
            <w:tcW w:w="1140" w:type="dxa"/>
            <w:vAlign w:val="bottom"/>
          </w:tcPr>
          <w:p>
            <w:pPr>
              <w:spacing w:after="0"/>
              <w:rPr>
                <w:sz w:val="17"/>
                <w:szCs w:val="17"/>
                <w:color w:val="auto"/>
              </w:rPr>
            </w:pPr>
          </w:p>
        </w:tc>
      </w:tr>
    </w:tbl>
    <w:p>
      <w:pPr>
        <w:spacing w:after="0" w:line="200" w:lineRule="exact"/>
        <w:rPr>
          <w:sz w:val="20"/>
          <w:szCs w:val="20"/>
          <w:color w:val="auto"/>
        </w:rPr>
      </w:pPr>
    </w:p>
    <w:p>
      <w:pPr>
        <w:spacing w:after="0" w:line="2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2019, the weighted average remaining lease term and weighted average discount rate of operating leases was 5.76 years and 2.80%, respectively. Absent a readily determinable interest rate in the lease agreement, the discount rate applied to each individual lease obligation was the Bank’s incremental borrowing rate for secured borrowings.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of June 30, 2019, future minimum lease payments under operating leases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p>
      <w:pPr>
        <w:ind w:left="3000"/>
        <w:spacing w:after="0"/>
        <w:rPr>
          <w:sz w:val="20"/>
          <w:szCs w:val="20"/>
          <w:color w:val="auto"/>
        </w:rPr>
      </w:pPr>
      <w:r>
        <w:rPr>
          <w:rFonts w:ascii="Arial" w:cs="Arial" w:eastAsia="Arial" w:hAnsi="Arial"/>
          <w:sz w:val="16"/>
          <w:szCs w:val="16"/>
          <w:b w:val="1"/>
          <w:bCs w:val="1"/>
          <w:color w:val="auto"/>
        </w:rPr>
        <w:t>Year</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980" w:type="dxa"/>
            <w:vAlign w:val="bottom"/>
            <w:tcBorders>
              <w:top w:val="single" w:sz="8" w:color="CCEEFF"/>
              <w:bottom w:val="single" w:sz="8" w:color="CCEEFF"/>
            </w:tcBorders>
            <w:shd w:val="clear" w:color="auto" w:fill="CCEEFF"/>
          </w:tcPr>
          <w:p>
            <w:pPr>
              <w:spacing w:after="0"/>
              <w:rPr>
                <w:sz w:val="21"/>
                <w:szCs w:val="21"/>
                <w:color w:val="auto"/>
              </w:rPr>
            </w:pPr>
          </w:p>
        </w:tc>
        <w:tc>
          <w:tcPr>
            <w:tcW w:w="35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Remainder of 2019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CCEEFF"/>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2,265</w:t>
            </w:r>
          </w:p>
        </w:tc>
        <w:tc>
          <w:tcPr>
            <w:tcW w:w="284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37"/>
        </w:trPr>
        <w:tc>
          <w:tcPr>
            <w:tcW w:w="6520" w:type="dxa"/>
            <w:vAlign w:val="bottom"/>
            <w:gridSpan w:val="2"/>
          </w:tcPr>
          <w:p>
            <w:pPr>
              <w:ind w:left="3000"/>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5,253</w:t>
            </w:r>
          </w:p>
        </w:tc>
        <w:tc>
          <w:tcPr>
            <w:tcW w:w="2840" w:type="dxa"/>
            <w:vAlign w:val="bottom"/>
          </w:tcPr>
          <w:p>
            <w:pPr>
              <w:spacing w:after="0"/>
              <w:rPr>
                <w:sz w:val="20"/>
                <w:szCs w:val="20"/>
                <w:color w:val="auto"/>
              </w:rPr>
            </w:pPr>
          </w:p>
        </w:tc>
      </w:tr>
      <w:tr>
        <w:trPr>
          <w:trHeight w:val="33"/>
        </w:trPr>
        <w:tc>
          <w:tcPr>
            <w:tcW w:w="29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3000"/>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4,983</w:t>
            </w:r>
          </w:p>
        </w:tc>
        <w:tc>
          <w:tcPr>
            <w:tcW w:w="2840" w:type="dxa"/>
            <w:vAlign w:val="bottom"/>
            <w:tcBorders>
              <w:bottom w:val="single" w:sz="8" w:color="CCEEFF"/>
            </w:tcBorders>
            <w:shd w:val="clear" w:color="auto" w:fill="CCEEFF"/>
          </w:tcPr>
          <w:p>
            <w:pPr>
              <w:spacing w:after="0"/>
              <w:rPr>
                <w:sz w:val="21"/>
                <w:szCs w:val="21"/>
                <w:color w:val="auto"/>
              </w:rPr>
            </w:pPr>
          </w:p>
        </w:tc>
      </w:tr>
      <w:tr>
        <w:trPr>
          <w:trHeight w:val="237"/>
        </w:trPr>
        <w:tc>
          <w:tcPr>
            <w:tcW w:w="6520" w:type="dxa"/>
            <w:vAlign w:val="bottom"/>
            <w:gridSpan w:val="2"/>
          </w:tcPr>
          <w:p>
            <w:pPr>
              <w:ind w:left="3000"/>
              <w:spacing w:after="0"/>
              <w:rPr>
                <w:sz w:val="20"/>
                <w:szCs w:val="20"/>
                <w:color w:val="auto"/>
              </w:rPr>
            </w:pPr>
            <w:r>
              <w:rPr>
                <w:rFonts w:ascii="Arial" w:cs="Arial" w:eastAsia="Arial" w:hAnsi="Arial"/>
                <w:sz w:val="16"/>
                <w:szCs w:val="16"/>
                <w:color w:val="auto"/>
              </w:rPr>
              <w:t>2022</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4,553</w:t>
            </w:r>
          </w:p>
        </w:tc>
        <w:tc>
          <w:tcPr>
            <w:tcW w:w="2840" w:type="dxa"/>
            <w:vAlign w:val="bottom"/>
          </w:tcPr>
          <w:p>
            <w:pPr>
              <w:spacing w:after="0"/>
              <w:rPr>
                <w:sz w:val="20"/>
                <w:szCs w:val="20"/>
                <w:color w:val="auto"/>
              </w:rPr>
            </w:pPr>
          </w:p>
        </w:tc>
      </w:tr>
      <w:tr>
        <w:trPr>
          <w:trHeight w:val="33"/>
        </w:trPr>
        <w:tc>
          <w:tcPr>
            <w:tcW w:w="298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2"/>
            <w:shd w:val="clear" w:color="auto" w:fill="CCEEFF"/>
          </w:tcPr>
          <w:p>
            <w:pPr>
              <w:ind w:left="3000"/>
              <w:spacing w:after="0"/>
              <w:rPr>
                <w:sz w:val="20"/>
                <w:szCs w:val="20"/>
                <w:color w:val="auto"/>
              </w:rPr>
            </w:pPr>
            <w:r>
              <w:rPr>
                <w:rFonts w:ascii="Arial" w:cs="Arial" w:eastAsia="Arial" w:hAnsi="Arial"/>
                <w:sz w:val="16"/>
                <w:szCs w:val="16"/>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3,979</w:t>
            </w:r>
          </w:p>
        </w:tc>
        <w:tc>
          <w:tcPr>
            <w:tcW w:w="2840" w:type="dxa"/>
            <w:vAlign w:val="bottom"/>
            <w:tcBorders>
              <w:bottom w:val="single" w:sz="8" w:color="CCEEFF"/>
            </w:tcBorders>
            <w:shd w:val="clear" w:color="auto" w:fill="CCEEFF"/>
          </w:tcPr>
          <w:p>
            <w:pPr>
              <w:spacing w:after="0"/>
              <w:rPr>
                <w:sz w:val="21"/>
                <w:szCs w:val="21"/>
                <w:color w:val="auto"/>
              </w:rPr>
            </w:pPr>
          </w:p>
        </w:tc>
      </w:tr>
      <w:tr>
        <w:trPr>
          <w:trHeight w:val="237"/>
        </w:trPr>
        <w:tc>
          <w:tcPr>
            <w:tcW w:w="298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Arial" w:cs="Arial" w:eastAsia="Arial" w:hAnsi="Arial"/>
                <w:sz w:val="16"/>
                <w:szCs w:val="16"/>
                <w:color w:val="auto"/>
              </w:rPr>
              <w:t>Thereafter</w:t>
            </w:r>
          </w:p>
        </w:tc>
        <w:tc>
          <w:tcPr>
            <w:tcW w:w="74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5,092</w:t>
            </w:r>
          </w:p>
        </w:tc>
        <w:tc>
          <w:tcPr>
            <w:tcW w:w="2840" w:type="dxa"/>
            <w:vAlign w:val="bottom"/>
          </w:tcPr>
          <w:p>
            <w:pPr>
              <w:spacing w:after="0"/>
              <w:rPr>
                <w:sz w:val="20"/>
                <w:szCs w:val="20"/>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r>
      <w:tr>
        <w:trPr>
          <w:trHeight w:val="230"/>
        </w:trPr>
        <w:tc>
          <w:tcPr>
            <w:tcW w:w="2980" w:type="dxa"/>
            <w:vAlign w:val="bottom"/>
            <w:tcBorders>
              <w:bottom w:val="single" w:sz="8" w:color="CCEEFF"/>
            </w:tcBorders>
            <w:shd w:val="clear" w:color="auto" w:fill="CCEEFF"/>
          </w:tcPr>
          <w:p>
            <w:pPr>
              <w:spacing w:after="0"/>
              <w:rPr>
                <w:sz w:val="20"/>
                <w:szCs w:val="20"/>
                <w:color w:val="auto"/>
              </w:rPr>
            </w:pPr>
          </w:p>
        </w:tc>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7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26,125</w:t>
            </w:r>
          </w:p>
        </w:tc>
        <w:tc>
          <w:tcPr>
            <w:tcW w:w="2840" w:type="dxa"/>
            <w:vAlign w:val="bottom"/>
            <w:tcBorders>
              <w:bottom w:val="single" w:sz="8" w:color="CCEEFF"/>
            </w:tcBorders>
            <w:shd w:val="clear" w:color="auto" w:fill="CCEEFF"/>
          </w:tcPr>
          <w:p>
            <w:pPr>
              <w:spacing w:after="0"/>
              <w:rPr>
                <w:sz w:val="20"/>
                <w:szCs w:val="20"/>
                <w:color w:val="auto"/>
              </w:rPr>
            </w:pPr>
          </w:p>
        </w:tc>
      </w:tr>
      <w:tr>
        <w:trPr>
          <w:trHeight w:val="237"/>
        </w:trPr>
        <w:tc>
          <w:tcPr>
            <w:tcW w:w="2980" w:type="dxa"/>
            <w:vAlign w:val="bottom"/>
          </w:tcPr>
          <w:p>
            <w:pPr>
              <w:spacing w:after="0"/>
              <w:rPr>
                <w:sz w:val="20"/>
                <w:szCs w:val="20"/>
                <w:color w:val="auto"/>
              </w:rPr>
            </w:pPr>
          </w:p>
        </w:tc>
        <w:tc>
          <w:tcPr>
            <w:tcW w:w="3660" w:type="dxa"/>
            <w:vAlign w:val="bottom"/>
            <w:gridSpan w:val="2"/>
          </w:tcPr>
          <w:p>
            <w:pPr>
              <w:ind w:left="20"/>
              <w:spacing w:after="0"/>
              <w:rPr>
                <w:sz w:val="20"/>
                <w:szCs w:val="20"/>
                <w:color w:val="auto"/>
              </w:rPr>
            </w:pPr>
            <w:r>
              <w:rPr>
                <w:rFonts w:ascii="Arial" w:cs="Arial" w:eastAsia="Arial" w:hAnsi="Arial"/>
                <w:sz w:val="16"/>
                <w:szCs w:val="16"/>
                <w:color w:val="auto"/>
              </w:rPr>
              <w:t>Less discount</w:t>
            </w:r>
          </w:p>
        </w:tc>
        <w:tc>
          <w:tcPr>
            <w:tcW w:w="7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(2,108)</w:t>
            </w:r>
          </w:p>
        </w:tc>
        <w:tc>
          <w:tcPr>
            <w:tcW w:w="2840" w:type="dxa"/>
            <w:vAlign w:val="bottom"/>
          </w:tcPr>
          <w:p>
            <w:pPr>
              <w:spacing w:after="0"/>
              <w:rPr>
                <w:sz w:val="20"/>
                <w:szCs w:val="20"/>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liability</w:t>
            </w: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24,017</w:t>
            </w:r>
          </w:p>
        </w:tc>
        <w:tc>
          <w:tcPr>
            <w:tcW w:w="2840" w:type="dxa"/>
            <w:vAlign w:val="bottom"/>
            <w:tcBorders>
              <w:bottom w:val="single" w:sz="8" w:color="CCEEFF"/>
            </w:tcBorders>
            <w:shd w:val="clear" w:color="auto" w:fill="CCEEFF"/>
          </w:tcPr>
          <w:p>
            <w:pPr>
              <w:spacing w:after="0"/>
              <w:rPr>
                <w:sz w:val="21"/>
                <w:szCs w:val="21"/>
                <w:color w:val="auto"/>
              </w:rPr>
            </w:pPr>
          </w:p>
        </w:tc>
      </w:tr>
      <w:tr>
        <w:trPr>
          <w:trHeight w:val="20"/>
        </w:trPr>
        <w:tc>
          <w:tcPr>
            <w:tcW w:w="29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discussed in Note 2, United adopted Topic 842 using the modified retrospective method with a cumulative effect adjustment to shareholders’ equity without restating comparable periods. As a result, disclosures for comparative periods under the predecessor standard, ASC 840, </w:t>
      </w:r>
      <w:r>
        <w:rPr>
          <w:rFonts w:ascii="Arial" w:cs="Arial" w:eastAsia="Arial" w:hAnsi="Arial"/>
          <w:sz w:val="18"/>
          <w:szCs w:val="18"/>
          <w:i w:val="1"/>
          <w:iCs w:val="1"/>
          <w:color w:val="auto"/>
        </w:rPr>
        <w:t>Leases</w:t>
      </w:r>
      <w:r>
        <w:rPr>
          <w:rFonts w:ascii="Arial" w:cs="Arial" w:eastAsia="Arial" w:hAnsi="Arial"/>
          <w:sz w:val="18"/>
          <w:szCs w:val="18"/>
          <w:color w:val="auto"/>
        </w:rPr>
        <w:t>, are required in the year of transition. As of December 31, 2018, rent commitments under operating leases were $5.35 million, $5.16 million, $4.91 million, $4.48 million, $3.91 million, for 2019 through 2023, respectively, and $5.04 million in the aggregate for years thereafter.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Dividends Declared</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August 7, 2019, United’s Board of Directors approved a regular quarterly cash dividend of $0.17 per common share. The dividend is payable October 5, 2019, to shareholders of record on September 15, 2019.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Stock Repurchases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As of August 7, 2019, United had repurchased 60,000 shares totaling $1.59 million during August of 2019 through its common stock repurchase plan.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1" w:right="239" w:bottom="1440" w:gutter="0" w:footer="0" w:header="0"/>
          <w:type w:val="continuous"/>
        </w:sectPr>
      </w:pPr>
    </w:p>
    <w:bookmarkStart w:id="46" w:name="page47"/>
    <w:bookmarkEnd w:id="46"/>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is a discussion of our financial condition at June 30, 2019 and December 31, 2018 and our results of operations for the three and six months ended June 30, 2019 and June 30, 2018.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The following discussion and analysis should be read along with our consolidated financial statements and related notes included in Part I - Item 1 of this Quarterly Report on Form 10-Q and the risk factors discussed in our Annual Report on Form 10-K for the fiscal year ended December 31, 2018 (the “2018 10-K”) and the other reports we have filed with the SEC after we filed the 2018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Holding Company is a bank holding company incorporated in the state of Georgia in 1987, which began operations in 1988 by acquiring the capital stock of the Bank, a Georgia state-chartered bank that opened in 1950. United offers a wide array of commercial and consumer banking services and investment advisory services through a 147-branch network throughout Georgia, South Carolina, North Carolina and Tennessee.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 2019, United completed the acquisition of First Madison Bank and Trust (“FMBT”). FMBT’s results are included in United’s consolidated results beginning on the acquisition date.</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June 30, 2019, United had total consolidated assets of $12.8 billion, total loans of $8.84 billion, total deposits of $10.6 billion, and shareholders’ equity of $1.57 billion. United reported net income of $44.1 million, or $0.55 per diluted share, for the second quarter of 2019, compared to net income of $39.6 million, or $0.49 per diluted share, for the second quarter of 2018. For the six months ended June 30, 2019, United reported net income of $88.3 million, or $1.10 per diluted share, compared to $77.3 million, or $0.97 per diluted share for the first six months of 2018.</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interest revenue increased to $118 million for the second quarter of 2019, compared to $108 million for the second quarter of 2018, due to higher loan volume and rising interest rates. The net interest margin increased to 4.12% for the three months ended June 30, 2019 from 3.90% for the same period in 2018 primarily due to loan growth, including the addition of the FMBT loan portfolio, the positive effect of rising interest rates on United’s asset sensitive balance sheet, and the reduction of borrowed funds since June 30, 2018. These improvements were partially offset by increased interest expense on interest-bearing deposits primarily due to an increase in interest rates. For the six months ended June 30, 2019, net interest revenue was $233 million and the net interest margin was 4.11% compared to net interest revenue of $212 million and net interest margin of 3.85% for the same period in 2018. These improvements are also attributable to the same factors affecting the second quarter, as well as the inclusion, during the first half of 2019, of higher yielding equipment financing loans acquired from NLFC Holdings Corp. and its subsidiaries, collectively known as “Navitas”.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provision for credit losses was $3.25 million for the second quarter of 2019, compared to $1.80 million for the second quarter of 2018. For the six months ended June 30, 2019, the provision for credit losses was $6.55 million, compared to $5.60 million for the same period in 2018. Net charge-offs for the second quarter of 2019 were $2.44 million compared to $1.36 million for the same period in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2019, United’s allowance for loan losses was $62.2 million, or 0.70% of loans, compared to $61.2 million, or 0.73% of loans, at December 31, 2018, reflecting stable asset quality. At June 30, 2019 and December 31, 2018, nonperforming assets of $26.7 million and $25.1 million, respectively, were 0.21% and 0.20% of total assets, respectively.</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Noninterest income of $24.5 million for the second quarter of 2019 was up $1.19 million, or 5%, from the second quarter of 2018. The increase was primarily attributable to the increases in ATM and debit card fees, brokerage fees, fees earned on customer derivatives, and securities gains recognized in comparison to losses recognized for the same period last year. These increases were partially offset by decreases in gains on sales of United’s Small Business Administration and United States Department of Agriculture (“SBA/USDA”) loans. For the first six months of 2019, total noninterest income remained relatively consistent compared to the same period of 2018 due to the decrease in mortgage loan and related fees resulting from negative fair value adjustments on the mortgage servicing right asset and nominal securities losses in comparison to the $1.30 million of securities losses recorded during the same period of last year.</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second quarter and first six months of 2019, noninterest expenses of $81.8 million and $158 million, respectively, increased $4.96 million and $7.57 million, respectively, from the same periods of 2018. The increase was primarily attributable to increases in salaries and employee benefits and communications and equipment costs. Merger-related and other charges also contributed to the increase for the second quarter due to the acquisition of FMBT, branch closure costs and executive retirement charges. Increases in salaries and employee benefits were driven by several factors, including the addition of FMBT employees, the inclusion of Navitas employees for the full period in 2019, annual merit-based salary increases awarded in second quarter, and investments in new staff for key areas of the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7" w:name="page48"/>
    <w:bookmarkEnd w:id="47"/>
    <w:p>
      <w:pPr>
        <w:jc w:val="both"/>
        <w:spacing w:after="0" w:line="264" w:lineRule="auto"/>
        <w:rPr>
          <w:sz w:val="20"/>
          <w:szCs w:val="20"/>
          <w:color w:val="auto"/>
        </w:rPr>
      </w:pPr>
      <w:r>
        <w:rPr>
          <w:rFonts w:ascii="Arial" w:cs="Arial" w:eastAsia="Arial" w:hAnsi="Arial"/>
          <w:sz w:val="18"/>
          <w:szCs w:val="18"/>
          <w:color w:val="auto"/>
        </w:rPr>
        <w:t>bank. The increase in communications and equipment expense was primarily a result of increased software maintenance and the addition of new software contracts. These increases were offset by decreases in FDIC assessments and other regulatory charges, other non-interest expenses, and amortization of intangibles.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accounting and reporting policies of United are in accordance with accounting principles generally accepted in the United States (“GAAP”) and conform to general practices within the banking industry. There have been no significant changes to the Critical Accounting Policies as described in United’s 2018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Reconciliation and Explanation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Form 10-Q contains financial information determined by methods other than in accordance with GAAP. Such non-GAAP financial information includes the following measures: “tangible book value per common share,” “average tangible common equity to average assets,” and “tangible common equity to risk-weighted assets.” In addition, management presents non-GAAP operating performance measures, which exclude merger-related and other items that are not part of United’s ongoing business operations. Operating performance measures include “expenses – operating,” “net income – operating,” “diluted income per common share – operating,” “return on common equity – operating,” “return on tangible common equity – operating,” “return on assets – operating,” “dividend payout ratio – operating” and “efficiency ratio – operating.” Management has developed internal policies and procedures to accurately capture and account for merger-related and other charges and those charges are reviewed with the audit committee of United’s Board of Directors each quarter. Management uses these non-GAAP measures because it believes they may provide useful supplemental information for evaluating United’s operations and performance over periods of time, as well as in managing and evaluating United’s business and in discussions about United’s operations and performance. Management believes these non-GAAP measures may also provide users of United’s financial information with a meaningful measure for assessing United’s financial results and credit trends, as well as a comparison to financial results for prior periods. These non-GAAP measures should be viewed in addition to, and not as an alternative to or substitute for, measures determined in accordance with GAAP and are not necessarily comparable to other similarly titled measures used by other companies. To the extent applicable, reconciliations of these non-GAAP measures to the most directly comparable measures as reported in accordance with GAAP are included in Table 1 of Management’s Discussion and Analysis.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reported net income and diluted earnings per common share of $44.1 million and $0.55, respectively, for the second quarter of 2019. This compared to net income and diluted earnings per common share of $39.6 million and $0.49, respectively, for the same period in 2018. For the six months ended June 30, 2019, United reported net income and diluted earnings per share of $88.3 million and $1.10, respectively, compared to net income and diluted earnings per share of $77.3 million and $0.97, respectively, for the same period in 2018.</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United reported net income - operating (non-GAAP) of $47.2 million and $92.1 million for the second quarter and first six months of 2019, compared to $42.4 million and $82.1 million for the same periods in 2018. For the second quarter and first six months of 2019, net income - operating (non-GAAP) excludes merger-related, branch closure, and executive retirement charges, which net of tax, totaled $3.15 million and $3.71 million, respectively. For the second quarter and first six months of 2018, net income - operating (non-GAAP) excludes merger-related, branch closure charges and a deferred tax asset impairment charge resulting from Georgia lowering its corporate income tax rate, which net of tax, totaled $2.75 million and $4.77 million, respectively.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040" w:type="dxa"/>
            <w:vAlign w:val="bottom"/>
            <w:gridSpan w:val="2"/>
          </w:tcPr>
          <w:p>
            <w:pPr>
              <w:ind w:left="40"/>
              <w:spacing w:after="0"/>
              <w:rPr>
                <w:sz w:val="20"/>
                <w:szCs w:val="20"/>
                <w:color w:val="auto"/>
              </w:rPr>
            </w:pPr>
            <w:r>
              <w:rPr>
                <w:rFonts w:ascii="Arial" w:cs="Arial" w:eastAsia="Arial" w:hAnsi="Arial"/>
                <w:sz w:val="12"/>
                <w:szCs w:val="12"/>
                <w:b w:val="1"/>
                <w:bCs w:val="1"/>
                <w:color w:val="auto"/>
              </w:rPr>
              <w:t>UNITED COMMUNITY BANKS, INC.</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040" w:type="dxa"/>
            <w:vAlign w:val="bottom"/>
            <w:gridSpan w:val="2"/>
          </w:tcPr>
          <w:p>
            <w:pPr>
              <w:ind w:left="40"/>
              <w:spacing w:after="0"/>
              <w:rPr>
                <w:sz w:val="20"/>
                <w:szCs w:val="20"/>
                <w:color w:val="auto"/>
              </w:rPr>
            </w:pPr>
            <w:r>
              <w:rPr>
                <w:rFonts w:ascii="Arial" w:cs="Arial" w:eastAsia="Arial" w:hAnsi="Arial"/>
                <w:sz w:val="12"/>
                <w:szCs w:val="12"/>
                <w:b w:val="1"/>
                <w:bCs w:val="1"/>
                <w:color w:val="auto"/>
              </w:rPr>
              <w:t>Table 1 - Financial Highlights</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3040" w:type="dxa"/>
            <w:vAlign w:val="bottom"/>
            <w:gridSpan w:val="2"/>
          </w:tcPr>
          <w:p>
            <w:pPr>
              <w:ind w:left="40"/>
              <w:spacing w:after="0"/>
              <w:rPr>
                <w:sz w:val="20"/>
                <w:szCs w:val="20"/>
                <w:color w:val="auto"/>
              </w:rPr>
            </w:pPr>
            <w:r>
              <w:rPr>
                <w:rFonts w:ascii="Arial" w:cs="Arial" w:eastAsia="Arial" w:hAnsi="Arial"/>
                <w:sz w:val="12"/>
                <w:szCs w:val="12"/>
                <w:b w:val="1"/>
                <w:bCs w:val="1"/>
                <w:color w:val="auto"/>
              </w:rPr>
              <w:t>Selected Financial Information</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4"/>
          </w:tcPr>
          <w:p>
            <w:pPr>
              <w:jc w:val="right"/>
              <w:ind w:right="20"/>
              <w:spacing w:after="0"/>
              <w:rPr>
                <w:sz w:val="20"/>
                <w:szCs w:val="20"/>
                <w:color w:val="auto"/>
              </w:rPr>
            </w:pPr>
            <w:r>
              <w:rPr>
                <w:rFonts w:ascii="Arial" w:cs="Arial" w:eastAsia="Arial" w:hAnsi="Arial"/>
                <w:sz w:val="12"/>
                <w:szCs w:val="12"/>
                <w:b w:val="1"/>
                <w:bCs w:val="1"/>
                <w:color w:val="auto"/>
                <w:w w:val="90"/>
              </w:rPr>
              <w:t>For the Six Months Ended June</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rPr>
              <w:t>2019</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89"/>
              </w:rPr>
              <w:t>2018</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7"/>
              </w:rPr>
              <w:t>Second</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rPr>
              <w:t>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Second</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Fourth</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rPr>
              <w:t>Third</w:t>
            </w:r>
          </w:p>
        </w:tc>
        <w:tc>
          <w:tcPr>
            <w:tcW w:w="140" w:type="dxa"/>
            <w:vAlign w:val="bottom"/>
          </w:tcPr>
          <w:p>
            <w:pPr>
              <w:spacing w:after="0"/>
              <w:rPr>
                <w:sz w:val="12"/>
                <w:szCs w:val="12"/>
                <w:color w:val="auto"/>
              </w:rPr>
            </w:pPr>
          </w:p>
        </w:tc>
        <w:tc>
          <w:tcPr>
            <w:tcW w:w="660" w:type="dxa"/>
            <w:vAlign w:val="bottom"/>
          </w:tcPr>
          <w:p>
            <w:pPr>
              <w:jc w:val="right"/>
              <w:ind w:right="160"/>
              <w:spacing w:after="0"/>
              <w:rPr>
                <w:sz w:val="20"/>
                <w:szCs w:val="20"/>
                <w:color w:val="auto"/>
              </w:rPr>
            </w:pPr>
            <w:r>
              <w:rPr>
                <w:rFonts w:ascii="Arial" w:cs="Arial" w:eastAsia="Arial" w:hAnsi="Arial"/>
                <w:sz w:val="12"/>
                <w:szCs w:val="12"/>
                <w:b w:val="1"/>
                <w:bCs w:val="1"/>
                <w:color w:val="auto"/>
                <w:w w:val="96"/>
              </w:rPr>
              <w:t>Second</w:t>
            </w:r>
          </w:p>
        </w:tc>
        <w:tc>
          <w:tcPr>
            <w:tcW w:w="120" w:type="dxa"/>
            <w:vAlign w:val="bottom"/>
          </w:tcPr>
          <w:p>
            <w:pPr>
              <w:spacing w:after="0"/>
              <w:rPr>
                <w:sz w:val="12"/>
                <w:szCs w:val="12"/>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Quarter 2019 -</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60"/>
              <w:spacing w:after="0"/>
              <w:rPr>
                <w:sz w:val="20"/>
                <w:szCs w:val="20"/>
                <w:color w:val="auto"/>
              </w:rPr>
            </w:pPr>
            <w:r>
              <w:rPr>
                <w:rFonts w:ascii="Arial" w:cs="Arial" w:eastAsia="Arial" w:hAnsi="Arial"/>
                <w:sz w:val="12"/>
                <w:szCs w:val="12"/>
                <w:b w:val="1"/>
                <w:bCs w:val="1"/>
                <w:color w:val="auto"/>
              </w:rPr>
              <w:t>YTD 2019 -</w:t>
            </w:r>
          </w:p>
        </w:tc>
        <w:tc>
          <w:tcPr>
            <w:tcW w:w="0" w:type="dxa"/>
            <w:vAlign w:val="bottom"/>
          </w:tcPr>
          <w:p>
            <w:pPr>
              <w:spacing w:after="0"/>
              <w:rPr>
                <w:sz w:val="1"/>
                <w:szCs w:val="1"/>
                <w:color w:val="auto"/>
              </w:rPr>
            </w:pPr>
          </w:p>
        </w:tc>
      </w:tr>
      <w:tr>
        <w:trPr>
          <w:trHeight w:val="169"/>
        </w:trPr>
        <w:tc>
          <w:tcPr>
            <w:tcW w:w="294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i w:val="1"/>
                <w:iCs w:val="1"/>
                <w:color w:val="auto"/>
              </w:rPr>
              <w:t>(in thousands, except per share data)</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Quarter</w:t>
            </w:r>
          </w:p>
        </w:tc>
        <w:tc>
          <w:tcPr>
            <w:tcW w:w="12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8"/>
              </w:rPr>
              <w:t>First Quarter</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Quarter</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80"/>
              <w:spacing w:after="0"/>
              <w:rPr>
                <w:sz w:val="20"/>
                <w:szCs w:val="20"/>
                <w:color w:val="auto"/>
              </w:rPr>
            </w:pPr>
            <w:r>
              <w:rPr>
                <w:rFonts w:ascii="Arial" w:cs="Arial" w:eastAsia="Arial" w:hAnsi="Arial"/>
                <w:sz w:val="12"/>
                <w:szCs w:val="12"/>
                <w:b w:val="1"/>
                <w:bCs w:val="1"/>
                <w:color w:val="auto"/>
              </w:rPr>
              <w:t>Quarter</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Quarter</w:t>
            </w:r>
          </w:p>
        </w:tc>
        <w:tc>
          <w:tcPr>
            <w:tcW w:w="1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2018 Change</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2019</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2018</w:t>
            </w:r>
          </w:p>
        </w:tc>
        <w:tc>
          <w:tcPr>
            <w:tcW w:w="100" w:type="dxa"/>
            <w:vAlign w:val="bottom"/>
          </w:tcPr>
          <w:p>
            <w:pPr>
              <w:spacing w:after="0"/>
              <w:rPr>
                <w:sz w:val="14"/>
                <w:szCs w:val="14"/>
                <w:color w:val="auto"/>
              </w:rPr>
            </w:pPr>
          </w:p>
        </w:tc>
        <w:tc>
          <w:tcPr>
            <w:tcW w:w="84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w w:val="99"/>
              </w:rPr>
              <w:t>2018 Change</w:t>
            </w:r>
          </w:p>
        </w:tc>
        <w:tc>
          <w:tcPr>
            <w:tcW w:w="0" w:type="dxa"/>
            <w:vAlign w:val="bottom"/>
          </w:tcPr>
          <w:p>
            <w:pPr>
              <w:spacing w:after="0"/>
              <w:rPr>
                <w:sz w:val="1"/>
                <w:szCs w:val="1"/>
                <w:color w:val="auto"/>
              </w:rPr>
            </w:pPr>
          </w:p>
        </w:tc>
      </w:tr>
      <w:tr>
        <w:trPr>
          <w:trHeight w:val="261"/>
        </w:trPr>
        <w:tc>
          <w:tcPr>
            <w:tcW w:w="3040" w:type="dxa"/>
            <w:vAlign w:val="bottom"/>
            <w:gridSpan w:val="2"/>
          </w:tcPr>
          <w:p>
            <w:pPr>
              <w:ind w:left="40"/>
              <w:spacing w:after="0"/>
              <w:rPr>
                <w:sz w:val="20"/>
                <w:szCs w:val="20"/>
                <w:color w:val="auto"/>
              </w:rPr>
            </w:pPr>
            <w:r>
              <w:rPr>
                <w:rFonts w:ascii="Arial" w:cs="Arial" w:eastAsia="Arial" w:hAnsi="Arial"/>
                <w:sz w:val="12"/>
                <w:szCs w:val="12"/>
                <w:b w:val="1"/>
                <w:bCs w:val="1"/>
                <w:color w:val="auto"/>
              </w:rPr>
              <w:t>INCOME SUMMARY</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0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Interest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139,156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136,516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133,854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128,721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122,215</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275,672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237,505</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040" w:type="dxa"/>
            <w:vAlign w:val="bottom"/>
            <w:tcBorders>
              <w:bottom w:val="single" w:sz="8" w:color="CCEEFF"/>
            </w:tcBorders>
            <w:gridSpan w:val="2"/>
          </w:tcPr>
          <w:p>
            <w:pPr>
              <w:ind w:left="40"/>
              <w:spacing w:after="0"/>
              <w:rPr>
                <w:sz w:val="20"/>
                <w:szCs w:val="20"/>
                <w:color w:val="auto"/>
              </w:rPr>
            </w:pPr>
            <w:r>
              <w:rPr>
                <w:rFonts w:ascii="Arial" w:cs="Arial" w:eastAsia="Arial" w:hAnsi="Arial"/>
                <w:sz w:val="12"/>
                <w:szCs w:val="12"/>
                <w:color w:val="auto"/>
              </w:rPr>
              <w:t>Interest expense</w:t>
            </w: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21,372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20,882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18,975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16,611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13,739</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42,254</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25,744</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0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Net interest revenue</w:t>
            </w: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117,784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115,634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114,879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112,110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108,476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9 %</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233,418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211,761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10 %</w:t>
            </w:r>
          </w:p>
        </w:tc>
        <w:tc>
          <w:tcPr>
            <w:tcW w:w="0" w:type="dxa"/>
            <w:vAlign w:val="bottom"/>
          </w:tcPr>
          <w:p>
            <w:pPr>
              <w:spacing w:after="0"/>
              <w:rPr>
                <w:sz w:val="1"/>
                <w:szCs w:val="1"/>
                <w:color w:val="auto"/>
              </w:rPr>
            </w:pPr>
          </w:p>
        </w:tc>
      </w:tr>
      <w:tr>
        <w:trPr>
          <w:trHeight w:val="261"/>
        </w:trPr>
        <w:tc>
          <w:tcPr>
            <w:tcW w:w="3040" w:type="dxa"/>
            <w:vAlign w:val="bottom"/>
            <w:gridSpan w:val="2"/>
          </w:tcPr>
          <w:p>
            <w:pPr>
              <w:ind w:left="40"/>
              <w:spacing w:after="0"/>
              <w:rPr>
                <w:sz w:val="20"/>
                <w:szCs w:val="20"/>
                <w:color w:val="auto"/>
              </w:rPr>
            </w:pPr>
            <w:r>
              <w:rPr>
                <w:rFonts w:ascii="Arial" w:cs="Arial" w:eastAsia="Arial" w:hAnsi="Arial"/>
                <w:sz w:val="12"/>
                <w:szCs w:val="12"/>
                <w:color w:val="auto"/>
              </w:rPr>
              <w:t>Provision for credit losses</w:t>
            </w: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3,250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3,300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2,100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1,800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1,800</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81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6,550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5,600</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279"/>
        </w:trPr>
        <w:tc>
          <w:tcPr>
            <w:tcW w:w="30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Noninterest income</w:t>
            </w:r>
          </w:p>
        </w:tc>
        <w:tc>
          <w:tcPr>
            <w:tcW w:w="1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24,531</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20,968</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23,045</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24,180</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23,340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45,499</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45,736</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241"/>
        </w:trPr>
        <w:tc>
          <w:tcPr>
            <w:tcW w:w="3040" w:type="dxa"/>
            <w:vAlign w:val="bottom"/>
            <w:gridSpan w:val="2"/>
          </w:tcPr>
          <w:p>
            <w:pPr>
              <w:ind w:left="180"/>
              <w:spacing w:after="0"/>
              <w:rPr>
                <w:sz w:val="20"/>
                <w:szCs w:val="20"/>
                <w:color w:val="auto"/>
              </w:rPr>
            </w:pPr>
            <w:r>
              <w:rPr>
                <w:rFonts w:ascii="Arial" w:cs="Arial" w:eastAsia="Arial" w:hAnsi="Arial"/>
                <w:sz w:val="12"/>
                <w:szCs w:val="12"/>
                <w:b w:val="1"/>
                <w:bCs w:val="1"/>
                <w:color w:val="auto"/>
              </w:rPr>
              <w:t>Total revenue</w:t>
            </w:r>
          </w:p>
        </w:tc>
        <w:tc>
          <w:tcPr>
            <w:tcW w:w="140" w:type="dxa"/>
            <w:vAlign w:val="bottom"/>
          </w:tcPr>
          <w:p>
            <w:pPr>
              <w:spacing w:after="0"/>
              <w:rPr>
                <w:sz w:val="20"/>
                <w:szCs w:val="20"/>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139,065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133,302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135,824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134,490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130,016</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272,367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251,897</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273"/>
        </w:trPr>
        <w:tc>
          <w:tcPr>
            <w:tcW w:w="30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Expenses</w:t>
            </w: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81,813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76,084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78,242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77,718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76,850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157,897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150,325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48"/>
        </w:trPr>
        <w:tc>
          <w:tcPr>
            <w:tcW w:w="3040" w:type="dxa"/>
            <w:vAlign w:val="bottom"/>
            <w:gridSpan w:val="2"/>
          </w:tcPr>
          <w:p>
            <w:pPr>
              <w:ind w:left="180"/>
              <w:spacing w:after="0"/>
              <w:rPr>
                <w:sz w:val="20"/>
                <w:szCs w:val="20"/>
                <w:color w:val="auto"/>
              </w:rPr>
            </w:pPr>
            <w:r>
              <w:rPr>
                <w:rFonts w:ascii="Arial" w:cs="Arial" w:eastAsia="Arial" w:hAnsi="Arial"/>
                <w:sz w:val="12"/>
                <w:szCs w:val="12"/>
                <w:color w:val="auto"/>
              </w:rPr>
              <w:t>Income before income tax expense</w:t>
            </w:r>
          </w:p>
        </w:tc>
        <w:tc>
          <w:tcPr>
            <w:tcW w:w="140" w:type="dxa"/>
            <w:vAlign w:val="bottom"/>
          </w:tcPr>
          <w:p>
            <w:pPr>
              <w:spacing w:after="0"/>
              <w:rPr>
                <w:sz w:val="21"/>
                <w:szCs w:val="21"/>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57,252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57,218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57,582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56,772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53,166</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114,470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101,572</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279"/>
        </w:trPr>
        <w:tc>
          <w:tcPr>
            <w:tcW w:w="30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Income tax expense</w:t>
            </w:r>
          </w:p>
        </w:tc>
        <w:tc>
          <w:tcPr>
            <w:tcW w:w="1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13,167</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12,956</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12,445</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13,090</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13,532</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26,123</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24,280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241"/>
        </w:trPr>
        <w:tc>
          <w:tcPr>
            <w:tcW w:w="3040" w:type="dxa"/>
            <w:vAlign w:val="bottom"/>
            <w:gridSpan w:val="2"/>
          </w:tcPr>
          <w:p>
            <w:pPr>
              <w:ind w:left="180"/>
              <w:spacing w:after="0"/>
              <w:rPr>
                <w:sz w:val="20"/>
                <w:szCs w:val="20"/>
                <w:color w:val="auto"/>
              </w:rPr>
            </w:pPr>
            <w:r>
              <w:rPr>
                <w:rFonts w:ascii="Arial" w:cs="Arial" w:eastAsia="Arial" w:hAnsi="Arial"/>
                <w:sz w:val="12"/>
                <w:szCs w:val="12"/>
                <w:b w:val="1"/>
                <w:bCs w:val="1"/>
                <w:color w:val="auto"/>
              </w:rPr>
              <w:t>Net income</w:t>
            </w:r>
          </w:p>
        </w:tc>
        <w:tc>
          <w:tcPr>
            <w:tcW w:w="140" w:type="dxa"/>
            <w:vAlign w:val="bottom"/>
          </w:tcPr>
          <w:p>
            <w:pPr>
              <w:spacing w:after="0"/>
              <w:rPr>
                <w:sz w:val="20"/>
                <w:szCs w:val="20"/>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44,085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44,262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45,137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43,682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39,634</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88,347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77,292</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279"/>
        </w:trPr>
        <w:tc>
          <w:tcPr>
            <w:tcW w:w="30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Merger-related and other charges</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4,087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1,234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592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2,873</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4,826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5,519</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040" w:type="dxa"/>
            <w:vAlign w:val="bottom"/>
            <w:tcBorders>
              <w:bottom w:val="single" w:sz="8" w:color="CCEEFF"/>
            </w:tcBorders>
            <w:gridSpan w:val="2"/>
          </w:tcPr>
          <w:p>
            <w:pPr>
              <w:ind w:left="40"/>
              <w:spacing w:after="0"/>
              <w:rPr>
                <w:sz w:val="20"/>
                <w:szCs w:val="20"/>
                <w:color w:val="auto"/>
              </w:rPr>
            </w:pPr>
            <w:r>
              <w:rPr>
                <w:rFonts w:ascii="Arial" w:cs="Arial" w:eastAsia="Arial" w:hAnsi="Arial"/>
                <w:sz w:val="12"/>
                <w:szCs w:val="12"/>
                <w:color w:val="auto"/>
              </w:rPr>
              <w:t>Income tax benefit of merger-related and other charges</w:t>
            </w: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(940)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(172)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(604)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(141)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(121)</w:t>
            </w: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(1,112)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(749)</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40" w:type="dxa"/>
            <w:vAlign w:val="bottom"/>
            <w:gridSpan w:val="2"/>
            <w:shd w:val="clear" w:color="auto" w:fill="CCEEFF"/>
          </w:tcPr>
          <w:p>
            <w:pPr>
              <w:ind w:left="180"/>
              <w:spacing w:after="0"/>
              <w:rPr>
                <w:sz w:val="20"/>
                <w:szCs w:val="20"/>
                <w:color w:val="auto"/>
              </w:rPr>
            </w:pPr>
            <w:r>
              <w:rPr>
                <w:rFonts w:ascii="Arial" w:cs="Arial" w:eastAsia="Arial" w:hAnsi="Arial"/>
                <w:sz w:val="12"/>
                <w:szCs w:val="12"/>
                <w:b w:val="1"/>
                <w:bCs w:val="1"/>
                <w:color w:val="auto"/>
              </w:rPr>
              <w:t xml:space="preserve">Net income - operating </w:t>
            </w:r>
            <w:r>
              <w:rPr>
                <w:rFonts w:ascii="Arial" w:cs="Arial" w:eastAsia="Arial" w:hAnsi="Arial"/>
                <w:sz w:val="20"/>
                <w:szCs w:val="20"/>
                <w:b w:val="1"/>
                <w:bCs w:val="1"/>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47,232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b w:val="1"/>
                <w:bCs w:val="1"/>
                <w:color w:val="auto"/>
                <w:w w:val="89"/>
              </w:rPr>
              <w:t>$</w:t>
            </w: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44,829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45,767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44,133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42,386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w w:val="89"/>
              </w:rPr>
              <w:t>$</w:t>
            </w: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92,061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b w:val="1"/>
                <w:bCs w:val="1"/>
                <w:color w:val="auto"/>
              </w:rPr>
              <w:t>$</w:t>
            </w: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82,062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40"/>
              <w:spacing w:after="0"/>
              <w:rPr>
                <w:sz w:val="20"/>
                <w:szCs w:val="20"/>
                <w:color w:val="auto"/>
              </w:rPr>
            </w:pPr>
            <w:r>
              <w:rPr>
                <w:rFonts w:ascii="Arial" w:cs="Arial" w:eastAsia="Arial" w:hAnsi="Arial"/>
                <w:sz w:val="12"/>
                <w:szCs w:val="12"/>
                <w:b w:val="1"/>
                <w:bCs w:val="1"/>
                <w:color w:val="auto"/>
              </w:rPr>
              <w:t>PERFORMANCE MEASURES</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3040" w:type="dxa"/>
            <w:vAlign w:val="bottom"/>
            <w:gridSpan w:val="2"/>
          </w:tcPr>
          <w:p>
            <w:pPr>
              <w:ind w:left="180"/>
              <w:spacing w:after="0"/>
              <w:rPr>
                <w:sz w:val="20"/>
                <w:szCs w:val="20"/>
                <w:color w:val="auto"/>
              </w:rPr>
            </w:pPr>
            <w:r>
              <w:rPr>
                <w:rFonts w:ascii="Arial" w:cs="Arial" w:eastAsia="Arial" w:hAnsi="Arial"/>
                <w:sz w:val="12"/>
                <w:szCs w:val="12"/>
                <w:color w:val="auto"/>
              </w:rPr>
              <w:t>Per common share:</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0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Diluted net income - GAAP</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0.55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0.55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0.54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0.49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0.97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w:t>
            </w:r>
          </w:p>
        </w:tc>
        <w:tc>
          <w:tcPr>
            <w:tcW w:w="0" w:type="dxa"/>
            <w:vAlign w:val="bottom"/>
          </w:tcPr>
          <w:p>
            <w:pPr>
              <w:spacing w:after="0"/>
              <w:rPr>
                <w:sz w:val="1"/>
                <w:szCs w:val="1"/>
                <w:color w:val="auto"/>
              </w:rPr>
            </w:pPr>
          </w:p>
        </w:tc>
      </w:tr>
      <w:tr>
        <w:trPr>
          <w:trHeight w:val="270"/>
        </w:trPr>
        <w:tc>
          <w:tcPr>
            <w:tcW w:w="3040" w:type="dxa"/>
            <w:vAlign w:val="bottom"/>
            <w:gridSpan w:val="2"/>
          </w:tcPr>
          <w:p>
            <w:pPr>
              <w:ind w:left="280"/>
              <w:spacing w:after="0"/>
              <w:rPr>
                <w:sz w:val="20"/>
                <w:szCs w:val="20"/>
                <w:color w:val="auto"/>
              </w:rPr>
            </w:pPr>
            <w:r>
              <w:rPr>
                <w:rFonts w:ascii="Arial" w:cs="Arial" w:eastAsia="Arial" w:hAnsi="Arial"/>
                <w:sz w:val="12"/>
                <w:szCs w:val="12"/>
                <w:color w:val="auto"/>
              </w:rPr>
              <w:t xml:space="preserve">Diluted net income - operating </w:t>
            </w:r>
            <w:r>
              <w:rPr>
                <w:rFonts w:ascii="Arial" w:cs="Arial" w:eastAsia="Arial" w:hAnsi="Arial"/>
                <w:sz w:val="20"/>
                <w:szCs w:val="20"/>
                <w:color w:val="auto"/>
                <w:vertAlign w:val="superscript"/>
              </w:rPr>
              <w:t>(1)</w:t>
            </w: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0.59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0.56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0.57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0.55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0.53</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11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1.15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1.03</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12</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Cash dividends declared</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0.17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0.16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0.16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0.15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0.15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0.33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0.27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261"/>
        </w:trPr>
        <w:tc>
          <w:tcPr>
            <w:tcW w:w="3040" w:type="dxa"/>
            <w:vAlign w:val="bottom"/>
            <w:gridSpan w:val="2"/>
          </w:tcPr>
          <w:p>
            <w:pPr>
              <w:ind w:left="280"/>
              <w:spacing w:after="0"/>
              <w:rPr>
                <w:sz w:val="20"/>
                <w:szCs w:val="20"/>
                <w:color w:val="auto"/>
              </w:rPr>
            </w:pPr>
            <w:r>
              <w:rPr>
                <w:rFonts w:ascii="Arial" w:cs="Arial" w:eastAsia="Arial" w:hAnsi="Arial"/>
                <w:sz w:val="12"/>
                <w:szCs w:val="12"/>
                <w:color w:val="auto"/>
              </w:rPr>
              <w:t>Book value</w:t>
            </w: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19.65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18.93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18.24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17.56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17.29</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19.65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17.29</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279"/>
        </w:trPr>
        <w:tc>
          <w:tcPr>
            <w:tcW w:w="30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 xml:space="preserve">Tangible book value </w:t>
            </w:r>
            <w:r>
              <w:rPr>
                <w:rFonts w:ascii="Arial" w:cs="Arial" w:eastAsia="Arial" w:hAnsi="Arial"/>
                <w:sz w:val="20"/>
                <w:szCs w:val="20"/>
                <w:color w:val="auto"/>
                <w:vertAlign w:val="superscript"/>
              </w:rPr>
              <w:t>(3)</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14.93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13.54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13.25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15.38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13.25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16</w:t>
            </w:r>
          </w:p>
        </w:tc>
        <w:tc>
          <w:tcPr>
            <w:tcW w:w="0" w:type="dxa"/>
            <w:vAlign w:val="bottom"/>
          </w:tcPr>
          <w:p>
            <w:pPr>
              <w:spacing w:after="0"/>
              <w:rPr>
                <w:sz w:val="1"/>
                <w:szCs w:val="1"/>
                <w:color w:val="auto"/>
              </w:rPr>
            </w:pPr>
          </w:p>
        </w:tc>
      </w:tr>
      <w:tr>
        <w:trPr>
          <w:trHeight w:val="261"/>
        </w:trPr>
        <w:tc>
          <w:tcPr>
            <w:tcW w:w="3040" w:type="dxa"/>
            <w:vAlign w:val="bottom"/>
            <w:gridSpan w:val="2"/>
          </w:tcPr>
          <w:p>
            <w:pPr>
              <w:ind w:left="180"/>
              <w:spacing w:after="0"/>
              <w:rPr>
                <w:sz w:val="20"/>
                <w:szCs w:val="20"/>
                <w:color w:val="auto"/>
              </w:rPr>
            </w:pPr>
            <w:r>
              <w:rPr>
                <w:rFonts w:ascii="Arial" w:cs="Arial" w:eastAsia="Arial" w:hAnsi="Arial"/>
                <w:sz w:val="12"/>
                <w:szCs w:val="12"/>
                <w:color w:val="auto"/>
              </w:rPr>
              <w:t>Key performance ratios:</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0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 xml:space="preserve">Return on common equity - GAAP </w:t>
            </w:r>
            <w:r>
              <w:rPr>
                <w:rFonts w:ascii="Arial" w:cs="Arial" w:eastAsia="Arial" w:hAnsi="Arial"/>
                <w:sz w:val="20"/>
                <w:szCs w:val="20"/>
                <w:color w:val="auto"/>
                <w:vertAlign w:val="superscript"/>
              </w:rPr>
              <w:t>(2)(4)</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11.15%</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40" w:type="dxa"/>
            <w:vAlign w:val="bottom"/>
            <w:gridSpan w:val="2"/>
          </w:tcPr>
          <w:p>
            <w:pPr>
              <w:ind w:left="280"/>
              <w:spacing w:after="0"/>
              <w:rPr>
                <w:sz w:val="20"/>
                <w:szCs w:val="20"/>
                <w:color w:val="auto"/>
              </w:rPr>
            </w:pPr>
            <w:r>
              <w:rPr>
                <w:rFonts w:ascii="Arial" w:cs="Arial" w:eastAsia="Arial" w:hAnsi="Arial"/>
                <w:sz w:val="12"/>
                <w:szCs w:val="12"/>
                <w:color w:val="auto"/>
              </w:rPr>
              <w:t xml:space="preserve">Return on common equity - operating </w:t>
            </w:r>
            <w:r>
              <w:rPr>
                <w:rFonts w:ascii="Arial" w:cs="Arial" w:eastAsia="Arial" w:hAnsi="Arial"/>
                <w:sz w:val="20"/>
                <w:szCs w:val="20"/>
                <w:color w:val="auto"/>
                <w:vertAlign w:val="superscript"/>
              </w:rPr>
              <w:t>(1)(2)(4)</w:t>
            </w: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12.27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12.00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12.25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12.09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11.97</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12.14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11.84</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6"/>
        </w:trPr>
        <w:tc>
          <w:tcPr>
            <w:tcW w:w="3040" w:type="dxa"/>
            <w:vAlign w:val="bottom"/>
            <w:gridSpan w:val="2"/>
            <w:shd w:val="clear" w:color="auto" w:fill="CCEEFF"/>
          </w:tcPr>
          <w:p>
            <w:pPr>
              <w:ind w:left="280"/>
              <w:spacing w:after="0" w:line="145" w:lineRule="exact"/>
              <w:rPr>
                <w:sz w:val="20"/>
                <w:szCs w:val="20"/>
                <w:color w:val="auto"/>
              </w:rPr>
            </w:pPr>
            <w:r>
              <w:rPr>
                <w:rFonts w:ascii="Arial" w:cs="Arial" w:eastAsia="Arial" w:hAnsi="Arial"/>
                <w:sz w:val="10"/>
                <w:szCs w:val="10"/>
                <w:color w:val="auto"/>
              </w:rPr>
              <w:t xml:space="preserve">Return on tangible common equity - operating </w:t>
            </w:r>
            <w:r>
              <w:rPr>
                <w:rFonts w:ascii="Arial" w:cs="Arial" w:eastAsia="Arial" w:hAnsi="Arial"/>
                <w:sz w:val="16"/>
                <w:szCs w:val="16"/>
                <w:color w:val="auto"/>
                <w:vertAlign w:val="superscript"/>
              </w:rPr>
              <w:t>(1)(2)(3)</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15.88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15.46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15.88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15.81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15.79</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15.67</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15.53</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940" w:type="dxa"/>
            <w:vAlign w:val="bottom"/>
            <w:shd w:val="clear" w:color="auto" w:fill="CCEEFF"/>
          </w:tcPr>
          <w:p>
            <w:pPr>
              <w:ind w:left="280"/>
              <w:spacing w:after="0"/>
              <w:rPr>
                <w:sz w:val="20"/>
                <w:szCs w:val="20"/>
                <w:color w:val="auto"/>
              </w:rPr>
            </w:pPr>
            <w:r>
              <w:rPr>
                <w:rFonts w:ascii="Arial" w:cs="Arial" w:eastAsia="Arial" w:hAnsi="Arial"/>
                <w:sz w:val="10"/>
                <w:szCs w:val="10"/>
                <w:color w:val="auto"/>
              </w:rPr>
              <w:t>(4)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040" w:type="dxa"/>
            <w:vAlign w:val="bottom"/>
            <w:gridSpan w:val="2"/>
          </w:tcPr>
          <w:p>
            <w:pPr>
              <w:ind w:left="280"/>
              <w:spacing w:after="0"/>
              <w:rPr>
                <w:sz w:val="20"/>
                <w:szCs w:val="20"/>
                <w:color w:val="auto"/>
              </w:rPr>
            </w:pPr>
            <w:r>
              <w:rPr>
                <w:rFonts w:ascii="Arial" w:cs="Arial" w:eastAsia="Arial" w:hAnsi="Arial"/>
                <w:sz w:val="12"/>
                <w:szCs w:val="12"/>
                <w:color w:val="auto"/>
              </w:rPr>
              <w:t xml:space="preserve">Return on assets - GAAP </w:t>
            </w:r>
            <w:r>
              <w:rPr>
                <w:rFonts w:ascii="Arial" w:cs="Arial" w:eastAsia="Arial" w:hAnsi="Arial"/>
                <w:sz w:val="20"/>
                <w:szCs w:val="20"/>
                <w:color w:val="auto"/>
                <w:vertAlign w:val="superscript"/>
              </w:rPr>
              <w:t>(4)</w:t>
            </w: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1.40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1.44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1.43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1.30</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1.42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1.28</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 xml:space="preserve">Return on assets - operating </w:t>
            </w:r>
            <w:r>
              <w:rPr>
                <w:rFonts w:ascii="Arial" w:cs="Arial" w:eastAsia="Arial" w:hAnsi="Arial"/>
                <w:sz w:val="20"/>
                <w:szCs w:val="20"/>
                <w:color w:val="auto"/>
                <w:vertAlign w:val="superscript"/>
              </w:rPr>
              <w:t>(1)(4)</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1.45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1.39</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1.36</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3040" w:type="dxa"/>
            <w:vAlign w:val="bottom"/>
            <w:gridSpan w:val="2"/>
          </w:tcPr>
          <w:p>
            <w:pPr>
              <w:ind w:left="280"/>
              <w:spacing w:after="0"/>
              <w:rPr>
                <w:sz w:val="20"/>
                <w:szCs w:val="20"/>
                <w:color w:val="auto"/>
              </w:rPr>
            </w:pPr>
            <w:r>
              <w:rPr>
                <w:rFonts w:ascii="Arial" w:cs="Arial" w:eastAsia="Arial" w:hAnsi="Arial"/>
                <w:sz w:val="12"/>
                <w:szCs w:val="12"/>
                <w:color w:val="auto"/>
              </w:rPr>
              <w:t>Dividend payout ratio - GAAP</w:t>
            </w: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30.91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29.09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28.57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27.78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30.61</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30.00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27.84</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0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 xml:space="preserve">Dividend payout ratio - operating </w:t>
            </w:r>
            <w:r>
              <w:rPr>
                <w:rFonts w:ascii="Arial" w:cs="Arial" w:eastAsia="Arial" w:hAnsi="Arial"/>
                <w:sz w:val="20"/>
                <w:szCs w:val="20"/>
                <w:color w:val="auto"/>
                <w:vertAlign w:val="superscript"/>
              </w:rPr>
              <w:t>(1)</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28.81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28.57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28.07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27.27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28.30</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28.70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26.21</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40" w:type="dxa"/>
            <w:vAlign w:val="bottom"/>
            <w:gridSpan w:val="2"/>
          </w:tcPr>
          <w:p>
            <w:pPr>
              <w:ind w:left="280"/>
              <w:spacing w:after="0"/>
              <w:rPr>
                <w:sz w:val="20"/>
                <w:szCs w:val="20"/>
                <w:color w:val="auto"/>
              </w:rPr>
            </w:pPr>
            <w:r>
              <w:rPr>
                <w:rFonts w:ascii="Arial" w:cs="Arial" w:eastAsia="Arial" w:hAnsi="Arial"/>
                <w:sz w:val="12"/>
                <w:szCs w:val="12"/>
                <w:color w:val="auto"/>
              </w:rPr>
              <w:t xml:space="preserve">Net interest margin (fully taxable equivalent) </w:t>
            </w:r>
            <w:r>
              <w:rPr>
                <w:rFonts w:ascii="Arial" w:cs="Arial" w:eastAsia="Arial" w:hAnsi="Arial"/>
                <w:sz w:val="20"/>
                <w:szCs w:val="20"/>
                <w:color w:val="auto"/>
                <w:vertAlign w:val="superscript"/>
              </w:rPr>
              <w:t>(4)</w:t>
            </w: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4.12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4.10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3.97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3.95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3.90</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4.11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3.85</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Efficiency ratio - GAAP</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57.28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55.32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56.73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56.82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57.94</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56.32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57.89</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gridSpan w:val="2"/>
          </w:tcPr>
          <w:p>
            <w:pPr>
              <w:ind w:left="280"/>
              <w:spacing w:after="0"/>
              <w:rPr>
                <w:sz w:val="20"/>
                <w:szCs w:val="20"/>
                <w:color w:val="auto"/>
              </w:rPr>
            </w:pPr>
            <w:r>
              <w:rPr>
                <w:rFonts w:ascii="Arial" w:cs="Arial" w:eastAsia="Arial" w:hAnsi="Arial"/>
                <w:sz w:val="12"/>
                <w:szCs w:val="12"/>
                <w:color w:val="auto"/>
              </w:rPr>
              <w:t xml:space="preserve">Efficiency ratio - operating </w:t>
            </w:r>
            <w:r>
              <w:rPr>
                <w:rFonts w:ascii="Arial" w:cs="Arial" w:eastAsia="Arial" w:hAnsi="Arial"/>
                <w:sz w:val="20"/>
                <w:szCs w:val="20"/>
                <w:color w:val="auto"/>
                <w:vertAlign w:val="superscript"/>
              </w:rPr>
              <w:t>(1)</w:t>
            </w: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54.42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54.78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55.83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56.39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55.77</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54.60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55.76</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rPr>
              <w:t>Average equity to average assets</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12.14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11.82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11.35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11.33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11.21</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11.98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11.13</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gridSpan w:val="2"/>
          </w:tcPr>
          <w:p>
            <w:pPr>
              <w:ind w:left="280"/>
              <w:spacing w:after="0"/>
              <w:rPr>
                <w:sz w:val="20"/>
                <w:szCs w:val="20"/>
                <w:color w:val="auto"/>
              </w:rPr>
            </w:pPr>
            <w:r>
              <w:rPr>
                <w:rFonts w:ascii="Arial" w:cs="Arial" w:eastAsia="Arial" w:hAnsi="Arial"/>
                <w:sz w:val="12"/>
                <w:szCs w:val="12"/>
                <w:color w:val="auto"/>
                <w:w w:val="93"/>
              </w:rPr>
              <w:t xml:space="preserve">Average tangible common equity to average assets </w:t>
            </w:r>
            <w:r>
              <w:rPr>
                <w:rFonts w:ascii="Arial" w:cs="Arial" w:eastAsia="Arial" w:hAnsi="Arial"/>
                <w:sz w:val="20"/>
                <w:szCs w:val="20"/>
                <w:color w:val="auto"/>
                <w:w w:val="93"/>
                <w:vertAlign w:val="superscript"/>
              </w:rPr>
              <w:t>(3)</w:t>
            </w: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9.79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9.53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9.04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8.97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8.83</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9.66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8.82</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280"/>
              <w:spacing w:after="0"/>
              <w:rPr>
                <w:sz w:val="20"/>
                <w:szCs w:val="20"/>
                <w:color w:val="auto"/>
              </w:rPr>
            </w:pPr>
            <w:r>
              <w:rPr>
                <w:rFonts w:ascii="Arial" w:cs="Arial" w:eastAsia="Arial" w:hAnsi="Arial"/>
                <w:sz w:val="12"/>
                <w:szCs w:val="12"/>
                <w:color w:val="auto"/>
                <w:w w:val="99"/>
              </w:rPr>
              <w:t xml:space="preserve">Tangible common equity to risk-weighted assets </w:t>
            </w:r>
            <w:r>
              <w:rPr>
                <w:rFonts w:ascii="Arial" w:cs="Arial" w:eastAsia="Arial" w:hAnsi="Arial"/>
                <w:sz w:val="20"/>
                <w:szCs w:val="20"/>
                <w:color w:val="auto"/>
                <w:w w:val="99"/>
                <w:vertAlign w:val="superscript"/>
              </w:rPr>
              <w:t>(3)</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12.38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12.48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11.61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11.36</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12.38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11.36</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40"/>
              <w:spacing w:after="0"/>
              <w:rPr>
                <w:sz w:val="20"/>
                <w:szCs w:val="20"/>
                <w:color w:val="auto"/>
              </w:rPr>
            </w:pPr>
            <w:r>
              <w:rPr>
                <w:rFonts w:ascii="Arial" w:cs="Arial" w:eastAsia="Arial" w:hAnsi="Arial"/>
                <w:sz w:val="12"/>
                <w:szCs w:val="12"/>
                <w:b w:val="1"/>
                <w:bCs w:val="1"/>
                <w:color w:val="auto"/>
              </w:rPr>
              <w:t>ASSET QUALITY</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3040" w:type="dxa"/>
            <w:vAlign w:val="bottom"/>
            <w:gridSpan w:val="2"/>
          </w:tcPr>
          <w:p>
            <w:pPr>
              <w:ind w:left="180"/>
              <w:spacing w:after="0"/>
              <w:rPr>
                <w:sz w:val="20"/>
                <w:szCs w:val="20"/>
                <w:color w:val="auto"/>
              </w:rPr>
            </w:pPr>
            <w:r>
              <w:rPr>
                <w:rFonts w:ascii="Arial" w:cs="Arial" w:eastAsia="Arial" w:hAnsi="Arial"/>
                <w:sz w:val="12"/>
                <w:szCs w:val="12"/>
                <w:color w:val="auto"/>
              </w:rPr>
              <w:t>Nonperforming loans</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26,597</w:t>
            </w:r>
          </w:p>
        </w:tc>
        <w:tc>
          <w:tcPr>
            <w:tcW w:w="120" w:type="dxa"/>
            <w:vAlign w:val="bottom"/>
          </w:tcPr>
          <w:p>
            <w:pPr>
              <w:spacing w:after="0"/>
              <w:rPr>
                <w:sz w:val="22"/>
                <w:szCs w:val="22"/>
                <w:color w:val="auto"/>
              </w:rPr>
            </w:pPr>
          </w:p>
        </w:tc>
        <w:tc>
          <w:tcPr>
            <w:tcW w:w="180" w:type="dxa"/>
            <w:vAlign w:val="bottom"/>
          </w:tcPr>
          <w:p>
            <w:pPr>
              <w:jc w:val="right"/>
              <w:ind w:right="40"/>
              <w:spacing w:after="0"/>
              <w:rPr>
                <w:sz w:val="20"/>
                <w:szCs w:val="20"/>
                <w:color w:val="auto"/>
              </w:rPr>
            </w:pPr>
            <w:r>
              <w:rPr>
                <w:rFonts w:ascii="Arial" w:cs="Arial" w:eastAsia="Arial" w:hAnsi="Arial"/>
                <w:sz w:val="12"/>
                <w:szCs w:val="12"/>
                <w:color w:val="auto"/>
                <w:w w:val="89"/>
              </w:rPr>
              <w:t>$</w:t>
            </w: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23,624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23,778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22,530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21,817</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22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26,597</w:t>
            </w:r>
          </w:p>
        </w:tc>
        <w:tc>
          <w:tcPr>
            <w:tcW w:w="3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21,817</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22</w:t>
            </w:r>
          </w:p>
        </w:tc>
        <w:tc>
          <w:tcPr>
            <w:tcW w:w="0" w:type="dxa"/>
            <w:vAlign w:val="bottom"/>
          </w:tcPr>
          <w:p>
            <w:pPr>
              <w:spacing w:after="0"/>
              <w:rPr>
                <w:sz w:val="1"/>
                <w:szCs w:val="1"/>
                <w:color w:val="auto"/>
              </w:rPr>
            </w:pPr>
          </w:p>
        </w:tc>
      </w:tr>
      <w:tr>
        <w:trPr>
          <w:trHeight w:val="273"/>
        </w:trPr>
        <w:tc>
          <w:tcPr>
            <w:tcW w:w="30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Foreclosed properties</w:t>
            </w: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75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1,127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1,305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1,336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2,597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75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2,597</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(97)</w:t>
            </w:r>
          </w:p>
        </w:tc>
        <w:tc>
          <w:tcPr>
            <w:tcW w:w="0" w:type="dxa"/>
            <w:vAlign w:val="bottom"/>
          </w:tcPr>
          <w:p>
            <w:pPr>
              <w:spacing w:after="0"/>
              <w:rPr>
                <w:sz w:val="1"/>
                <w:szCs w:val="1"/>
                <w:color w:val="auto"/>
              </w:rPr>
            </w:pPr>
          </w:p>
        </w:tc>
      </w:tr>
      <w:tr>
        <w:trPr>
          <w:trHeight w:val="248"/>
        </w:trPr>
        <w:tc>
          <w:tcPr>
            <w:tcW w:w="3040" w:type="dxa"/>
            <w:vAlign w:val="bottom"/>
            <w:gridSpan w:val="2"/>
          </w:tcPr>
          <w:p>
            <w:pPr>
              <w:ind w:left="280"/>
              <w:spacing w:after="0"/>
              <w:rPr>
                <w:sz w:val="20"/>
                <w:szCs w:val="20"/>
                <w:color w:val="auto"/>
              </w:rPr>
            </w:pPr>
            <w:r>
              <w:rPr>
                <w:rFonts w:ascii="Arial" w:cs="Arial" w:eastAsia="Arial" w:hAnsi="Arial"/>
                <w:sz w:val="12"/>
                <w:szCs w:val="12"/>
                <w:color w:val="auto"/>
              </w:rPr>
              <w:t>Total nonperforming assets ("NPAs")</w:t>
            </w:r>
          </w:p>
        </w:tc>
        <w:tc>
          <w:tcPr>
            <w:tcW w:w="140" w:type="dxa"/>
            <w:vAlign w:val="bottom"/>
          </w:tcPr>
          <w:p>
            <w:pPr>
              <w:spacing w:after="0"/>
              <w:rPr>
                <w:sz w:val="21"/>
                <w:szCs w:val="21"/>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26,672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24,751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25,083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23,866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24,414</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26,672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24,414</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9</w:t>
            </w:r>
          </w:p>
        </w:tc>
        <w:tc>
          <w:tcPr>
            <w:tcW w:w="0" w:type="dxa"/>
            <w:vAlign w:val="bottom"/>
          </w:tcPr>
          <w:p>
            <w:pPr>
              <w:spacing w:after="0"/>
              <w:rPr>
                <w:sz w:val="1"/>
                <w:szCs w:val="1"/>
                <w:color w:val="auto"/>
              </w:rPr>
            </w:pPr>
          </w:p>
        </w:tc>
      </w:tr>
      <w:tr>
        <w:trPr>
          <w:trHeight w:val="279"/>
        </w:trPr>
        <w:tc>
          <w:tcPr>
            <w:tcW w:w="30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Allowance for loan losses</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62,204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61,642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61,203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60,940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61,071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62,204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61,071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61"/>
        </w:trPr>
        <w:tc>
          <w:tcPr>
            <w:tcW w:w="3040" w:type="dxa"/>
            <w:vAlign w:val="bottom"/>
            <w:gridSpan w:val="2"/>
          </w:tcPr>
          <w:p>
            <w:pPr>
              <w:ind w:left="180"/>
              <w:spacing w:after="0"/>
              <w:rPr>
                <w:sz w:val="20"/>
                <w:szCs w:val="20"/>
                <w:color w:val="auto"/>
              </w:rPr>
            </w:pPr>
            <w:r>
              <w:rPr>
                <w:rFonts w:ascii="Arial" w:cs="Arial" w:eastAsia="Arial" w:hAnsi="Arial"/>
                <w:sz w:val="12"/>
                <w:szCs w:val="12"/>
                <w:color w:val="auto"/>
              </w:rPr>
              <w:t>Net charge-offs</w:t>
            </w: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2,438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3,130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1,787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1,466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1,359</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79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5,568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2,860</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95</w:t>
            </w:r>
          </w:p>
        </w:tc>
        <w:tc>
          <w:tcPr>
            <w:tcW w:w="0" w:type="dxa"/>
            <w:vAlign w:val="bottom"/>
          </w:tcPr>
          <w:p>
            <w:pPr>
              <w:spacing w:after="0"/>
              <w:rPr>
                <w:sz w:val="1"/>
                <w:szCs w:val="1"/>
                <w:color w:val="auto"/>
              </w:rPr>
            </w:pPr>
          </w:p>
        </w:tc>
      </w:tr>
      <w:tr>
        <w:trPr>
          <w:trHeight w:val="279"/>
        </w:trPr>
        <w:tc>
          <w:tcPr>
            <w:tcW w:w="30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Allowance for loan losses to loans</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0.74%</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0.74%</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040" w:type="dxa"/>
            <w:vAlign w:val="bottom"/>
            <w:gridSpan w:val="2"/>
          </w:tcPr>
          <w:p>
            <w:pPr>
              <w:ind w:left="180"/>
              <w:spacing w:after="0"/>
              <w:rPr>
                <w:sz w:val="20"/>
                <w:szCs w:val="20"/>
                <w:color w:val="auto"/>
              </w:rPr>
            </w:pPr>
            <w:r>
              <w:rPr>
                <w:rFonts w:ascii="Arial" w:cs="Arial" w:eastAsia="Arial" w:hAnsi="Arial"/>
                <w:sz w:val="12"/>
                <w:szCs w:val="12"/>
                <w:color w:val="auto"/>
              </w:rPr>
              <w:t xml:space="preserve">Net charge-offs to average loans </w:t>
            </w:r>
            <w:r>
              <w:rPr>
                <w:rFonts w:ascii="Arial" w:cs="Arial" w:eastAsia="Arial" w:hAnsi="Arial"/>
                <w:sz w:val="20"/>
                <w:szCs w:val="20"/>
                <w:color w:val="auto"/>
                <w:vertAlign w:val="superscript"/>
              </w:rPr>
              <w:t>(4)</w:t>
            </w: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0.11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0.15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0.09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0.07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0.07</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0.13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0.07</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NPAs to loans and foreclosed properties</w:t>
            </w: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0.29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0.30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0.29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0.30</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0.30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0.30</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3040" w:type="dxa"/>
            <w:vAlign w:val="bottom"/>
            <w:gridSpan w:val="2"/>
          </w:tcPr>
          <w:p>
            <w:pPr>
              <w:ind w:left="180"/>
              <w:spacing w:after="0"/>
              <w:rPr>
                <w:sz w:val="20"/>
                <w:szCs w:val="20"/>
                <w:color w:val="auto"/>
              </w:rPr>
            </w:pPr>
            <w:r>
              <w:rPr>
                <w:rFonts w:ascii="Arial" w:cs="Arial" w:eastAsia="Arial" w:hAnsi="Arial"/>
                <w:sz w:val="12"/>
                <w:szCs w:val="12"/>
                <w:color w:val="auto"/>
              </w:rPr>
              <w:t>NPAs to total assets</w:t>
            </w: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0.21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0.20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0.20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0.19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0.20</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0.21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0.20</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2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3040" w:type="dxa"/>
            <w:vAlign w:val="bottom"/>
            <w:gridSpan w:val="2"/>
          </w:tcPr>
          <w:p>
            <w:pPr>
              <w:ind w:left="40"/>
              <w:spacing w:after="0"/>
              <w:rPr>
                <w:sz w:val="20"/>
                <w:szCs w:val="20"/>
                <w:color w:val="auto"/>
              </w:rPr>
            </w:pPr>
            <w:r>
              <w:rPr>
                <w:rFonts w:ascii="Arial" w:cs="Arial" w:eastAsia="Arial" w:hAnsi="Arial"/>
                <w:sz w:val="12"/>
                <w:szCs w:val="12"/>
                <w:b w:val="1"/>
                <w:bCs w:val="1"/>
                <w:color w:val="auto"/>
              </w:rPr>
              <w:t xml:space="preserve">AVERAGE BALANCES </w:t>
            </w:r>
            <w:r>
              <w:rPr>
                <w:rFonts w:ascii="Arial" w:cs="Arial" w:eastAsia="Arial" w:hAnsi="Arial"/>
                <w:sz w:val="12"/>
                <w:szCs w:val="12"/>
                <w:i w:val="1"/>
                <w:iCs w:val="1"/>
                <w:color w:val="auto"/>
              </w:rPr>
              <w:t>($ in millions)</w:t>
            </w: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0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Loans</w:t>
            </w: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8,670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8,430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8,306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8,200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8,177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8,551</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8,086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61"/>
        </w:trPr>
        <w:tc>
          <w:tcPr>
            <w:tcW w:w="3040" w:type="dxa"/>
            <w:vAlign w:val="bottom"/>
            <w:gridSpan w:val="2"/>
          </w:tcPr>
          <w:p>
            <w:pPr>
              <w:ind w:left="180"/>
              <w:spacing w:after="0"/>
              <w:rPr>
                <w:sz w:val="20"/>
                <w:szCs w:val="20"/>
                <w:color w:val="auto"/>
              </w:rPr>
            </w:pPr>
            <w:r>
              <w:rPr>
                <w:rFonts w:ascii="Arial" w:cs="Arial" w:eastAsia="Arial" w:hAnsi="Arial"/>
                <w:sz w:val="12"/>
                <w:szCs w:val="12"/>
                <w:color w:val="auto"/>
              </w:rPr>
              <w:t>Investment securities</w:t>
            </w: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2,674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2,883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3,004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2,916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2,802</w:t>
            </w: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2,778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2,836</w:t>
            </w:r>
          </w:p>
        </w:tc>
        <w:tc>
          <w:tcPr>
            <w:tcW w:w="940" w:type="dxa"/>
            <w:vAlign w:val="bottom"/>
            <w:gridSpan w:val="2"/>
          </w:tcPr>
          <w:p>
            <w:pPr>
              <w:jc w:val="right"/>
              <w:ind w:right="6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79"/>
        </w:trPr>
        <w:tc>
          <w:tcPr>
            <w:tcW w:w="30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Earning assets</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11,534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11,498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11,534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11,320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11,193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11,516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11,135</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61"/>
        </w:trPr>
        <w:tc>
          <w:tcPr>
            <w:tcW w:w="3040" w:type="dxa"/>
            <w:vAlign w:val="bottom"/>
            <w:gridSpan w:val="2"/>
          </w:tcPr>
          <w:p>
            <w:pPr>
              <w:ind w:left="180"/>
              <w:spacing w:after="0"/>
              <w:rPr>
                <w:sz w:val="20"/>
                <w:szCs w:val="20"/>
                <w:color w:val="auto"/>
              </w:rPr>
            </w:pPr>
            <w:r>
              <w:rPr>
                <w:rFonts w:ascii="Arial" w:cs="Arial" w:eastAsia="Arial" w:hAnsi="Arial"/>
                <w:sz w:val="12"/>
                <w:szCs w:val="12"/>
                <w:color w:val="auto"/>
              </w:rPr>
              <w:t>Total assets</w:t>
            </w: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12,608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12,509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12,505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12,302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12,213</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12,559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12,163</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3</w:t>
            </w:r>
          </w:p>
        </w:tc>
        <w:tc>
          <w:tcPr>
            <w:tcW w:w="0" w:type="dxa"/>
            <w:vAlign w:val="bottom"/>
          </w:tcPr>
          <w:p>
            <w:pPr>
              <w:spacing w:after="0"/>
              <w:rPr>
                <w:sz w:val="1"/>
                <w:szCs w:val="1"/>
                <w:color w:val="auto"/>
              </w:rPr>
            </w:pPr>
          </w:p>
        </w:tc>
      </w:tr>
      <w:tr>
        <w:trPr>
          <w:trHeight w:val="279"/>
        </w:trPr>
        <w:tc>
          <w:tcPr>
            <w:tcW w:w="304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Deposits</w:t>
            </w: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10,493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10,361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10,306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9,950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9,978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10,427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9,869</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71"/>
        </w:trPr>
        <w:tc>
          <w:tcPr>
            <w:tcW w:w="3040" w:type="dxa"/>
            <w:vAlign w:val="bottom"/>
            <w:gridSpan w:val="2"/>
          </w:tcPr>
          <w:p>
            <w:pPr>
              <w:ind w:left="180"/>
              <w:spacing w:after="0"/>
              <w:rPr>
                <w:sz w:val="20"/>
                <w:szCs w:val="20"/>
                <w:color w:val="auto"/>
              </w:rPr>
            </w:pPr>
            <w:r>
              <w:rPr>
                <w:rFonts w:ascii="Arial" w:cs="Arial" w:eastAsia="Arial" w:hAnsi="Arial"/>
                <w:sz w:val="12"/>
                <w:szCs w:val="12"/>
                <w:color w:val="auto"/>
              </w:rPr>
              <w:t>Shareholders’ equity</w:t>
            </w:r>
          </w:p>
        </w:tc>
        <w:tc>
          <w:tcPr>
            <w:tcW w:w="140" w:type="dxa"/>
            <w:vAlign w:val="bottom"/>
          </w:tcPr>
          <w:p>
            <w:pPr>
              <w:spacing w:after="0"/>
              <w:rPr>
                <w:sz w:val="14"/>
                <w:szCs w:val="14"/>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1,531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60"/>
              <w:spacing w:after="0"/>
              <w:rPr>
                <w:sz w:val="20"/>
                <w:szCs w:val="20"/>
                <w:color w:val="auto"/>
              </w:rPr>
            </w:pPr>
            <w:r>
              <w:rPr>
                <w:rFonts w:ascii="Arial" w:cs="Arial" w:eastAsia="Arial" w:hAnsi="Arial"/>
                <w:sz w:val="12"/>
                <w:szCs w:val="12"/>
                <w:color w:val="auto"/>
              </w:rPr>
              <w:t>1,478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1,420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1,394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1,370</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1,505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1,353</w:t>
            </w: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11</w:t>
            </w:r>
          </w:p>
        </w:tc>
        <w:tc>
          <w:tcPr>
            <w:tcW w:w="0" w:type="dxa"/>
            <w:vAlign w:val="bottom"/>
          </w:tcPr>
          <w:p>
            <w:pPr>
              <w:spacing w:after="0"/>
              <w:rPr>
                <w:sz w:val="1"/>
                <w:szCs w:val="1"/>
                <w:color w:val="auto"/>
              </w:rPr>
            </w:pPr>
          </w:p>
        </w:tc>
      </w:tr>
    </w:tbl>
    <w:p>
      <w:pPr>
        <w:sectPr>
          <w:pgSz w:w="11900" w:h="16839" w:orient="portrait"/>
          <w:cols w:equalWidth="0" w:num="1">
            <w:col w:w="11280"/>
          </w:cols>
          <w:pgMar w:left="240" w:top="828" w:right="379" w:bottom="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2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Common shares - basic (thousands)</w:t>
            </w:r>
          </w:p>
        </w:tc>
        <w:tc>
          <w:tcPr>
            <w:tcW w:w="66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79,673</w:t>
            </w: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79,807</w:t>
            </w:r>
          </w:p>
        </w:tc>
        <w:tc>
          <w:tcPr>
            <w:tcW w:w="3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79,884</w:t>
            </w:r>
          </w:p>
        </w:tc>
        <w:tc>
          <w:tcPr>
            <w:tcW w:w="3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79,806</w:t>
            </w:r>
          </w:p>
        </w:tc>
        <w:tc>
          <w:tcPr>
            <w:tcW w:w="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79,753</w:t>
            </w: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79,739</w:t>
            </w: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79,477</w:t>
            </w: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261"/>
        </w:trPr>
        <w:tc>
          <w:tcPr>
            <w:tcW w:w="2600" w:type="dxa"/>
            <w:vAlign w:val="bottom"/>
          </w:tcPr>
          <w:p>
            <w:pPr>
              <w:ind w:left="180"/>
              <w:spacing w:after="0"/>
              <w:rPr>
                <w:sz w:val="20"/>
                <w:szCs w:val="20"/>
                <w:color w:val="auto"/>
              </w:rPr>
            </w:pPr>
            <w:r>
              <w:rPr>
                <w:rFonts w:ascii="Arial" w:cs="Arial" w:eastAsia="Arial" w:hAnsi="Arial"/>
                <w:sz w:val="12"/>
                <w:szCs w:val="12"/>
                <w:color w:val="auto"/>
              </w:rPr>
              <w:t>Common shares - diluted (thousands)</w:t>
            </w:r>
          </w:p>
        </w:tc>
        <w:tc>
          <w:tcPr>
            <w:tcW w:w="660" w:type="dxa"/>
            <w:vAlign w:val="bottom"/>
          </w:tcPr>
          <w:p>
            <w:pPr>
              <w:spacing w:after="0"/>
              <w:rPr>
                <w:sz w:val="22"/>
                <w:szCs w:val="22"/>
                <w:color w:val="auto"/>
              </w:rPr>
            </w:pPr>
          </w:p>
        </w:tc>
        <w:tc>
          <w:tcPr>
            <w:tcW w:w="580" w:type="dxa"/>
            <w:vAlign w:val="bottom"/>
          </w:tcPr>
          <w:p>
            <w:pPr>
              <w:jc w:val="right"/>
              <w:ind w:right="80"/>
              <w:spacing w:after="0"/>
              <w:rPr>
                <w:sz w:val="20"/>
                <w:szCs w:val="20"/>
                <w:color w:val="auto"/>
              </w:rPr>
            </w:pPr>
            <w:r>
              <w:rPr>
                <w:rFonts w:ascii="Arial" w:cs="Arial" w:eastAsia="Arial" w:hAnsi="Arial"/>
                <w:sz w:val="12"/>
                <w:szCs w:val="12"/>
                <w:color w:val="auto"/>
              </w:rPr>
              <w:t>79,678</w:t>
            </w:r>
          </w:p>
        </w:tc>
        <w:tc>
          <w:tcPr>
            <w:tcW w:w="320" w:type="dxa"/>
            <w:vAlign w:val="bottom"/>
          </w:tcPr>
          <w:p>
            <w:pPr>
              <w:spacing w:after="0"/>
              <w:rPr>
                <w:sz w:val="22"/>
                <w:szCs w:val="22"/>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79,813</w:t>
            </w:r>
          </w:p>
        </w:tc>
        <w:tc>
          <w:tcPr>
            <w:tcW w:w="320" w:type="dxa"/>
            <w:vAlign w:val="bottom"/>
          </w:tcPr>
          <w:p>
            <w:pPr>
              <w:spacing w:after="0"/>
              <w:rPr>
                <w:sz w:val="22"/>
                <w:szCs w:val="22"/>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79,890</w:t>
            </w:r>
          </w:p>
        </w:tc>
        <w:tc>
          <w:tcPr>
            <w:tcW w:w="320" w:type="dxa"/>
            <w:vAlign w:val="bottom"/>
          </w:tcPr>
          <w:p>
            <w:pPr>
              <w:spacing w:after="0"/>
              <w:rPr>
                <w:sz w:val="22"/>
                <w:szCs w:val="22"/>
                <w:color w:val="auto"/>
              </w:rPr>
            </w:pPr>
          </w:p>
        </w:tc>
        <w:tc>
          <w:tcPr>
            <w:tcW w:w="580" w:type="dxa"/>
            <w:vAlign w:val="bottom"/>
          </w:tcPr>
          <w:p>
            <w:pPr>
              <w:jc w:val="right"/>
              <w:ind w:right="80"/>
              <w:spacing w:after="0"/>
              <w:rPr>
                <w:sz w:val="20"/>
                <w:szCs w:val="20"/>
                <w:color w:val="auto"/>
              </w:rPr>
            </w:pPr>
            <w:r>
              <w:rPr>
                <w:rFonts w:ascii="Arial" w:cs="Arial" w:eastAsia="Arial" w:hAnsi="Arial"/>
                <w:sz w:val="12"/>
                <w:szCs w:val="12"/>
                <w:color w:val="auto"/>
              </w:rPr>
              <w:t>79,818</w:t>
            </w:r>
          </w:p>
        </w:tc>
        <w:tc>
          <w:tcPr>
            <w:tcW w:w="320" w:type="dxa"/>
            <w:vAlign w:val="bottom"/>
          </w:tcPr>
          <w:p>
            <w:pPr>
              <w:spacing w:after="0"/>
              <w:rPr>
                <w:sz w:val="22"/>
                <w:szCs w:val="22"/>
                <w:color w:val="auto"/>
              </w:rPr>
            </w:pPr>
          </w:p>
        </w:tc>
        <w:tc>
          <w:tcPr>
            <w:tcW w:w="840" w:type="dxa"/>
            <w:vAlign w:val="bottom"/>
          </w:tcPr>
          <w:p>
            <w:pPr>
              <w:jc w:val="right"/>
              <w:ind w:right="340"/>
              <w:spacing w:after="0"/>
              <w:rPr>
                <w:sz w:val="20"/>
                <w:szCs w:val="20"/>
                <w:color w:val="auto"/>
              </w:rPr>
            </w:pPr>
            <w:r>
              <w:rPr>
                <w:rFonts w:ascii="Arial" w:cs="Arial" w:eastAsia="Arial" w:hAnsi="Arial"/>
                <w:sz w:val="12"/>
                <w:szCs w:val="12"/>
                <w:color w:val="auto"/>
              </w:rPr>
              <w:t>79,755</w:t>
            </w: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22"/>
                <w:szCs w:val="22"/>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79,745</w:t>
            </w:r>
          </w:p>
        </w:tc>
        <w:tc>
          <w:tcPr>
            <w:tcW w:w="380" w:type="dxa"/>
            <w:vAlign w:val="bottom"/>
          </w:tcPr>
          <w:p>
            <w:pPr>
              <w:spacing w:after="0"/>
              <w:rPr>
                <w:sz w:val="22"/>
                <w:szCs w:val="22"/>
                <w:color w:val="auto"/>
              </w:rPr>
            </w:pPr>
          </w:p>
        </w:tc>
        <w:tc>
          <w:tcPr>
            <w:tcW w:w="900" w:type="dxa"/>
            <w:vAlign w:val="bottom"/>
          </w:tcPr>
          <w:p>
            <w:pPr>
              <w:jc w:val="right"/>
              <w:ind w:right="340"/>
              <w:spacing w:after="0"/>
              <w:rPr>
                <w:sz w:val="20"/>
                <w:szCs w:val="20"/>
                <w:color w:val="auto"/>
              </w:rPr>
            </w:pPr>
            <w:r>
              <w:rPr>
                <w:rFonts w:ascii="Arial" w:cs="Arial" w:eastAsia="Arial" w:hAnsi="Arial"/>
                <w:sz w:val="12"/>
                <w:szCs w:val="12"/>
                <w:color w:val="auto"/>
              </w:rPr>
              <w:t>79,487</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w:t>
            </w:r>
          </w:p>
        </w:tc>
      </w:tr>
      <w:tr>
        <w:trPr>
          <w:trHeight w:val="144"/>
        </w:trPr>
        <w:tc>
          <w:tcPr>
            <w:tcW w:w="26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261"/>
        </w:trPr>
        <w:tc>
          <w:tcPr>
            <w:tcW w:w="2600" w:type="dxa"/>
            <w:vAlign w:val="bottom"/>
          </w:tcPr>
          <w:p>
            <w:pPr>
              <w:ind w:left="40"/>
              <w:spacing w:after="0"/>
              <w:rPr>
                <w:sz w:val="20"/>
                <w:szCs w:val="20"/>
                <w:color w:val="auto"/>
              </w:rPr>
            </w:pPr>
            <w:r>
              <w:rPr>
                <w:rFonts w:ascii="Arial" w:cs="Arial" w:eastAsia="Arial" w:hAnsi="Arial"/>
                <w:sz w:val="12"/>
                <w:szCs w:val="12"/>
                <w:b w:val="1"/>
                <w:bCs w:val="1"/>
                <w:color w:val="auto"/>
              </w:rPr>
              <w:t xml:space="preserve">AT PERIOD END </w:t>
            </w:r>
            <w:r>
              <w:rPr>
                <w:rFonts w:ascii="Arial" w:cs="Arial" w:eastAsia="Arial" w:hAnsi="Arial"/>
                <w:sz w:val="12"/>
                <w:szCs w:val="12"/>
                <w:i w:val="1"/>
                <w:iCs w:val="1"/>
                <w:color w:val="auto"/>
              </w:rPr>
              <w:t>($ in millions)</w:t>
            </w: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79"/>
        </w:trPr>
        <w:tc>
          <w:tcPr>
            <w:tcW w:w="2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Loans</w:t>
            </w: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8,838</w:t>
            </w:r>
          </w:p>
        </w:tc>
        <w:tc>
          <w:tcPr>
            <w:tcW w:w="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8,493</w:t>
            </w:r>
          </w:p>
        </w:tc>
        <w:tc>
          <w:tcPr>
            <w:tcW w:w="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8,383</w:t>
            </w:r>
          </w:p>
        </w:tc>
        <w:tc>
          <w:tcPr>
            <w:tcW w:w="3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8,226</w:t>
            </w:r>
          </w:p>
        </w:tc>
        <w:tc>
          <w:tcPr>
            <w:tcW w:w="3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8,220</w:t>
            </w: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8</w:t>
            </w:r>
          </w:p>
        </w:tc>
        <w:tc>
          <w:tcPr>
            <w:tcW w:w="3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8,838</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8,220</w:t>
            </w: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8</w:t>
            </w:r>
          </w:p>
        </w:tc>
      </w:tr>
      <w:tr>
        <w:trPr>
          <w:trHeight w:val="261"/>
        </w:trPr>
        <w:tc>
          <w:tcPr>
            <w:tcW w:w="2600" w:type="dxa"/>
            <w:vAlign w:val="bottom"/>
          </w:tcPr>
          <w:p>
            <w:pPr>
              <w:ind w:left="180"/>
              <w:spacing w:after="0"/>
              <w:rPr>
                <w:sz w:val="20"/>
                <w:szCs w:val="20"/>
                <w:color w:val="auto"/>
              </w:rPr>
            </w:pPr>
            <w:r>
              <w:rPr>
                <w:rFonts w:ascii="Arial" w:cs="Arial" w:eastAsia="Arial" w:hAnsi="Arial"/>
                <w:sz w:val="12"/>
                <w:szCs w:val="12"/>
                <w:color w:val="auto"/>
              </w:rPr>
              <w:t>Investment securities</w:t>
            </w:r>
          </w:p>
        </w:tc>
        <w:tc>
          <w:tcPr>
            <w:tcW w:w="660" w:type="dxa"/>
            <w:vAlign w:val="bottom"/>
          </w:tcPr>
          <w:p>
            <w:pPr>
              <w:spacing w:after="0"/>
              <w:rPr>
                <w:sz w:val="22"/>
                <w:szCs w:val="22"/>
                <w:color w:val="auto"/>
              </w:rPr>
            </w:pPr>
          </w:p>
        </w:tc>
        <w:tc>
          <w:tcPr>
            <w:tcW w:w="580" w:type="dxa"/>
            <w:vAlign w:val="bottom"/>
          </w:tcPr>
          <w:p>
            <w:pPr>
              <w:jc w:val="right"/>
              <w:ind w:right="80"/>
              <w:spacing w:after="0"/>
              <w:rPr>
                <w:sz w:val="20"/>
                <w:szCs w:val="20"/>
                <w:color w:val="auto"/>
              </w:rPr>
            </w:pPr>
            <w:r>
              <w:rPr>
                <w:rFonts w:ascii="Arial" w:cs="Arial" w:eastAsia="Arial" w:hAnsi="Arial"/>
                <w:sz w:val="12"/>
                <w:szCs w:val="12"/>
                <w:color w:val="auto"/>
              </w:rPr>
              <w:t>2,620</w:t>
            </w:r>
          </w:p>
        </w:tc>
        <w:tc>
          <w:tcPr>
            <w:tcW w:w="320" w:type="dxa"/>
            <w:vAlign w:val="bottom"/>
          </w:tcPr>
          <w:p>
            <w:pPr>
              <w:spacing w:after="0"/>
              <w:rPr>
                <w:sz w:val="22"/>
                <w:szCs w:val="22"/>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2,720</w:t>
            </w:r>
          </w:p>
        </w:tc>
        <w:tc>
          <w:tcPr>
            <w:tcW w:w="320" w:type="dxa"/>
            <w:vAlign w:val="bottom"/>
          </w:tcPr>
          <w:p>
            <w:pPr>
              <w:spacing w:after="0"/>
              <w:rPr>
                <w:sz w:val="22"/>
                <w:szCs w:val="22"/>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2,903</w:t>
            </w:r>
          </w:p>
        </w:tc>
        <w:tc>
          <w:tcPr>
            <w:tcW w:w="320" w:type="dxa"/>
            <w:vAlign w:val="bottom"/>
          </w:tcPr>
          <w:p>
            <w:pPr>
              <w:spacing w:after="0"/>
              <w:rPr>
                <w:sz w:val="22"/>
                <w:szCs w:val="22"/>
                <w:color w:val="auto"/>
              </w:rPr>
            </w:pPr>
          </w:p>
        </w:tc>
        <w:tc>
          <w:tcPr>
            <w:tcW w:w="580" w:type="dxa"/>
            <w:vAlign w:val="bottom"/>
          </w:tcPr>
          <w:p>
            <w:pPr>
              <w:jc w:val="right"/>
              <w:ind w:right="80"/>
              <w:spacing w:after="0"/>
              <w:rPr>
                <w:sz w:val="20"/>
                <w:szCs w:val="20"/>
                <w:color w:val="auto"/>
              </w:rPr>
            </w:pPr>
            <w:r>
              <w:rPr>
                <w:rFonts w:ascii="Arial" w:cs="Arial" w:eastAsia="Arial" w:hAnsi="Arial"/>
                <w:sz w:val="12"/>
                <w:szCs w:val="12"/>
                <w:color w:val="auto"/>
              </w:rPr>
              <w:t>2,873</w:t>
            </w:r>
          </w:p>
        </w:tc>
        <w:tc>
          <w:tcPr>
            <w:tcW w:w="320" w:type="dxa"/>
            <w:vAlign w:val="bottom"/>
          </w:tcPr>
          <w:p>
            <w:pPr>
              <w:spacing w:after="0"/>
              <w:rPr>
                <w:sz w:val="22"/>
                <w:szCs w:val="22"/>
                <w:color w:val="auto"/>
              </w:rPr>
            </w:pPr>
          </w:p>
        </w:tc>
        <w:tc>
          <w:tcPr>
            <w:tcW w:w="840" w:type="dxa"/>
            <w:vAlign w:val="bottom"/>
          </w:tcPr>
          <w:p>
            <w:pPr>
              <w:jc w:val="right"/>
              <w:ind w:right="340"/>
              <w:spacing w:after="0"/>
              <w:rPr>
                <w:sz w:val="20"/>
                <w:szCs w:val="20"/>
                <w:color w:val="auto"/>
              </w:rPr>
            </w:pPr>
            <w:r>
              <w:rPr>
                <w:rFonts w:ascii="Arial" w:cs="Arial" w:eastAsia="Arial" w:hAnsi="Arial"/>
                <w:sz w:val="12"/>
                <w:szCs w:val="12"/>
                <w:color w:val="auto"/>
              </w:rPr>
              <w:t>2,834</w:t>
            </w:r>
          </w:p>
        </w:tc>
        <w:tc>
          <w:tcPr>
            <w:tcW w:w="700" w:type="dxa"/>
            <w:vAlign w:val="bottom"/>
          </w:tcPr>
          <w:p>
            <w:pPr>
              <w:jc w:val="right"/>
              <w:ind w:right="80"/>
              <w:spacing w:after="0"/>
              <w:rPr>
                <w:sz w:val="20"/>
                <w:szCs w:val="20"/>
                <w:color w:val="auto"/>
              </w:rPr>
            </w:pPr>
            <w:r>
              <w:rPr>
                <w:rFonts w:ascii="Arial" w:cs="Arial" w:eastAsia="Arial" w:hAnsi="Arial"/>
                <w:sz w:val="12"/>
                <w:szCs w:val="12"/>
                <w:color w:val="auto"/>
              </w:rPr>
              <w:t>(8)</w:t>
            </w:r>
          </w:p>
        </w:tc>
        <w:tc>
          <w:tcPr>
            <w:tcW w:w="300" w:type="dxa"/>
            <w:vAlign w:val="bottom"/>
          </w:tcPr>
          <w:p>
            <w:pPr>
              <w:spacing w:after="0"/>
              <w:rPr>
                <w:sz w:val="22"/>
                <w:szCs w:val="22"/>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2,620</w:t>
            </w:r>
          </w:p>
        </w:tc>
        <w:tc>
          <w:tcPr>
            <w:tcW w:w="380" w:type="dxa"/>
            <w:vAlign w:val="bottom"/>
          </w:tcPr>
          <w:p>
            <w:pPr>
              <w:spacing w:after="0"/>
              <w:rPr>
                <w:sz w:val="22"/>
                <w:szCs w:val="22"/>
                <w:color w:val="auto"/>
              </w:rPr>
            </w:pPr>
          </w:p>
        </w:tc>
        <w:tc>
          <w:tcPr>
            <w:tcW w:w="900" w:type="dxa"/>
            <w:vAlign w:val="bottom"/>
          </w:tcPr>
          <w:p>
            <w:pPr>
              <w:jc w:val="right"/>
              <w:ind w:right="340"/>
              <w:spacing w:after="0"/>
              <w:rPr>
                <w:sz w:val="20"/>
                <w:szCs w:val="20"/>
                <w:color w:val="auto"/>
              </w:rPr>
            </w:pPr>
            <w:r>
              <w:rPr>
                <w:rFonts w:ascii="Arial" w:cs="Arial" w:eastAsia="Arial" w:hAnsi="Arial"/>
                <w:sz w:val="12"/>
                <w:szCs w:val="12"/>
                <w:color w:val="auto"/>
              </w:rPr>
              <w:t>2,834</w:t>
            </w: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(8)</w:t>
            </w:r>
          </w:p>
        </w:tc>
      </w:tr>
      <w:tr>
        <w:trPr>
          <w:trHeight w:val="279"/>
        </w:trPr>
        <w:tc>
          <w:tcPr>
            <w:tcW w:w="2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Total assets</w:t>
            </w:r>
          </w:p>
        </w:tc>
        <w:tc>
          <w:tcPr>
            <w:tcW w:w="66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12,779</w:t>
            </w: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12,506</w:t>
            </w: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12,573</w:t>
            </w: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12,405</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12,386</w:t>
            </w: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3</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12,779</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12,386</w:t>
            </w: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w:t>
            </w:r>
          </w:p>
        </w:tc>
      </w:tr>
      <w:tr>
        <w:trPr>
          <w:trHeight w:val="261"/>
        </w:trPr>
        <w:tc>
          <w:tcPr>
            <w:tcW w:w="2600" w:type="dxa"/>
            <w:vAlign w:val="bottom"/>
          </w:tcPr>
          <w:p>
            <w:pPr>
              <w:ind w:left="180"/>
              <w:spacing w:after="0"/>
              <w:rPr>
                <w:sz w:val="20"/>
                <w:szCs w:val="20"/>
                <w:color w:val="auto"/>
              </w:rPr>
            </w:pPr>
            <w:r>
              <w:rPr>
                <w:rFonts w:ascii="Arial" w:cs="Arial" w:eastAsia="Arial" w:hAnsi="Arial"/>
                <w:sz w:val="12"/>
                <w:szCs w:val="12"/>
                <w:color w:val="auto"/>
              </w:rPr>
              <w:t>Deposits</w:t>
            </w:r>
          </w:p>
        </w:tc>
        <w:tc>
          <w:tcPr>
            <w:tcW w:w="660" w:type="dxa"/>
            <w:vAlign w:val="bottom"/>
          </w:tcPr>
          <w:p>
            <w:pPr>
              <w:spacing w:after="0"/>
              <w:rPr>
                <w:sz w:val="22"/>
                <w:szCs w:val="22"/>
                <w:color w:val="auto"/>
              </w:rPr>
            </w:pPr>
          </w:p>
        </w:tc>
        <w:tc>
          <w:tcPr>
            <w:tcW w:w="580" w:type="dxa"/>
            <w:vAlign w:val="bottom"/>
          </w:tcPr>
          <w:p>
            <w:pPr>
              <w:jc w:val="right"/>
              <w:ind w:right="80"/>
              <w:spacing w:after="0"/>
              <w:rPr>
                <w:sz w:val="20"/>
                <w:szCs w:val="20"/>
                <w:color w:val="auto"/>
              </w:rPr>
            </w:pPr>
            <w:r>
              <w:rPr>
                <w:rFonts w:ascii="Arial" w:cs="Arial" w:eastAsia="Arial" w:hAnsi="Arial"/>
                <w:sz w:val="12"/>
                <w:szCs w:val="12"/>
                <w:color w:val="auto"/>
              </w:rPr>
              <w:t>10,591</w:t>
            </w:r>
          </w:p>
        </w:tc>
        <w:tc>
          <w:tcPr>
            <w:tcW w:w="320" w:type="dxa"/>
            <w:vAlign w:val="bottom"/>
          </w:tcPr>
          <w:p>
            <w:pPr>
              <w:spacing w:after="0"/>
              <w:rPr>
                <w:sz w:val="22"/>
                <w:szCs w:val="22"/>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10,534</w:t>
            </w:r>
          </w:p>
        </w:tc>
        <w:tc>
          <w:tcPr>
            <w:tcW w:w="320" w:type="dxa"/>
            <w:vAlign w:val="bottom"/>
          </w:tcPr>
          <w:p>
            <w:pPr>
              <w:spacing w:after="0"/>
              <w:rPr>
                <w:sz w:val="22"/>
                <w:szCs w:val="22"/>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10,535</w:t>
            </w:r>
          </w:p>
        </w:tc>
        <w:tc>
          <w:tcPr>
            <w:tcW w:w="320" w:type="dxa"/>
            <w:vAlign w:val="bottom"/>
          </w:tcPr>
          <w:p>
            <w:pPr>
              <w:spacing w:after="0"/>
              <w:rPr>
                <w:sz w:val="22"/>
                <w:szCs w:val="22"/>
                <w:color w:val="auto"/>
              </w:rPr>
            </w:pPr>
          </w:p>
        </w:tc>
        <w:tc>
          <w:tcPr>
            <w:tcW w:w="580" w:type="dxa"/>
            <w:vAlign w:val="bottom"/>
          </w:tcPr>
          <w:p>
            <w:pPr>
              <w:jc w:val="right"/>
              <w:ind w:right="80"/>
              <w:spacing w:after="0"/>
              <w:rPr>
                <w:sz w:val="20"/>
                <w:szCs w:val="20"/>
                <w:color w:val="auto"/>
              </w:rPr>
            </w:pPr>
            <w:r>
              <w:rPr>
                <w:rFonts w:ascii="Arial" w:cs="Arial" w:eastAsia="Arial" w:hAnsi="Arial"/>
                <w:sz w:val="12"/>
                <w:szCs w:val="12"/>
                <w:color w:val="auto"/>
              </w:rPr>
              <w:t>10,229</w:t>
            </w:r>
          </w:p>
        </w:tc>
        <w:tc>
          <w:tcPr>
            <w:tcW w:w="320" w:type="dxa"/>
            <w:vAlign w:val="bottom"/>
          </w:tcPr>
          <w:p>
            <w:pPr>
              <w:spacing w:after="0"/>
              <w:rPr>
                <w:sz w:val="22"/>
                <w:szCs w:val="22"/>
                <w:color w:val="auto"/>
              </w:rPr>
            </w:pPr>
          </w:p>
        </w:tc>
        <w:tc>
          <w:tcPr>
            <w:tcW w:w="840" w:type="dxa"/>
            <w:vAlign w:val="bottom"/>
          </w:tcPr>
          <w:p>
            <w:pPr>
              <w:jc w:val="right"/>
              <w:ind w:right="340"/>
              <w:spacing w:after="0"/>
              <w:rPr>
                <w:sz w:val="20"/>
                <w:szCs w:val="20"/>
                <w:color w:val="auto"/>
              </w:rPr>
            </w:pPr>
            <w:r>
              <w:rPr>
                <w:rFonts w:ascii="Arial" w:cs="Arial" w:eastAsia="Arial" w:hAnsi="Arial"/>
                <w:sz w:val="12"/>
                <w:szCs w:val="12"/>
                <w:color w:val="auto"/>
              </w:rPr>
              <w:t>9,966</w:t>
            </w: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6</w:t>
            </w:r>
          </w:p>
        </w:tc>
        <w:tc>
          <w:tcPr>
            <w:tcW w:w="300" w:type="dxa"/>
            <w:vAlign w:val="bottom"/>
          </w:tcPr>
          <w:p>
            <w:pPr>
              <w:spacing w:after="0"/>
              <w:rPr>
                <w:sz w:val="22"/>
                <w:szCs w:val="22"/>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10,591</w:t>
            </w:r>
          </w:p>
        </w:tc>
        <w:tc>
          <w:tcPr>
            <w:tcW w:w="380" w:type="dxa"/>
            <w:vAlign w:val="bottom"/>
          </w:tcPr>
          <w:p>
            <w:pPr>
              <w:spacing w:after="0"/>
              <w:rPr>
                <w:sz w:val="22"/>
                <w:szCs w:val="22"/>
                <w:color w:val="auto"/>
              </w:rPr>
            </w:pPr>
          </w:p>
        </w:tc>
        <w:tc>
          <w:tcPr>
            <w:tcW w:w="900" w:type="dxa"/>
            <w:vAlign w:val="bottom"/>
          </w:tcPr>
          <w:p>
            <w:pPr>
              <w:jc w:val="right"/>
              <w:ind w:right="340"/>
              <w:spacing w:after="0"/>
              <w:rPr>
                <w:sz w:val="20"/>
                <w:szCs w:val="20"/>
                <w:color w:val="auto"/>
              </w:rPr>
            </w:pPr>
            <w:r>
              <w:rPr>
                <w:rFonts w:ascii="Arial" w:cs="Arial" w:eastAsia="Arial" w:hAnsi="Arial"/>
                <w:sz w:val="12"/>
                <w:szCs w:val="12"/>
                <w:color w:val="auto"/>
              </w:rPr>
              <w:t>9,966</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6</w:t>
            </w:r>
          </w:p>
        </w:tc>
      </w:tr>
      <w:tr>
        <w:trPr>
          <w:trHeight w:val="279"/>
        </w:trPr>
        <w:tc>
          <w:tcPr>
            <w:tcW w:w="26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Shareholders’ equity</w:t>
            </w:r>
          </w:p>
        </w:tc>
        <w:tc>
          <w:tcPr>
            <w:tcW w:w="66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1,566</w:t>
            </w: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1,508</w:t>
            </w:r>
          </w:p>
        </w:tc>
        <w:tc>
          <w:tcPr>
            <w:tcW w:w="32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1,458</w:t>
            </w:r>
          </w:p>
        </w:tc>
        <w:tc>
          <w:tcPr>
            <w:tcW w:w="3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1,402</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1,379</w:t>
            </w:r>
          </w:p>
        </w:tc>
        <w:tc>
          <w:tcPr>
            <w:tcW w:w="70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14</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1,566</w:t>
            </w:r>
          </w:p>
        </w:tc>
        <w:tc>
          <w:tcPr>
            <w:tcW w:w="3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1,379</w:t>
            </w: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14</w:t>
            </w:r>
          </w:p>
        </w:tc>
      </w:tr>
      <w:tr>
        <w:trPr>
          <w:trHeight w:val="252"/>
        </w:trPr>
        <w:tc>
          <w:tcPr>
            <w:tcW w:w="2600" w:type="dxa"/>
            <w:vAlign w:val="bottom"/>
          </w:tcPr>
          <w:p>
            <w:pPr>
              <w:ind w:left="180"/>
              <w:spacing w:after="0"/>
              <w:rPr>
                <w:sz w:val="20"/>
                <w:szCs w:val="20"/>
                <w:color w:val="auto"/>
              </w:rPr>
            </w:pPr>
            <w:r>
              <w:rPr>
                <w:rFonts w:ascii="Arial" w:cs="Arial" w:eastAsia="Arial" w:hAnsi="Arial"/>
                <w:sz w:val="12"/>
                <w:szCs w:val="12"/>
                <w:color w:val="auto"/>
              </w:rPr>
              <w:t>Common shares outstanding (thousands)</w:t>
            </w:r>
          </w:p>
        </w:tc>
        <w:tc>
          <w:tcPr>
            <w:tcW w:w="660" w:type="dxa"/>
            <w:vAlign w:val="bottom"/>
          </w:tcPr>
          <w:p>
            <w:pPr>
              <w:spacing w:after="0"/>
              <w:rPr>
                <w:sz w:val="21"/>
                <w:szCs w:val="21"/>
                <w:color w:val="auto"/>
              </w:rPr>
            </w:pPr>
          </w:p>
        </w:tc>
        <w:tc>
          <w:tcPr>
            <w:tcW w:w="580" w:type="dxa"/>
            <w:vAlign w:val="bottom"/>
          </w:tcPr>
          <w:p>
            <w:pPr>
              <w:jc w:val="right"/>
              <w:ind w:right="80"/>
              <w:spacing w:after="0"/>
              <w:rPr>
                <w:sz w:val="20"/>
                <w:szCs w:val="20"/>
                <w:color w:val="auto"/>
              </w:rPr>
            </w:pPr>
            <w:r>
              <w:rPr>
                <w:rFonts w:ascii="Arial" w:cs="Arial" w:eastAsia="Arial" w:hAnsi="Arial"/>
                <w:sz w:val="12"/>
                <w:szCs w:val="12"/>
                <w:color w:val="auto"/>
              </w:rPr>
              <w:t>79,075</w:t>
            </w:r>
          </w:p>
        </w:tc>
        <w:tc>
          <w:tcPr>
            <w:tcW w:w="320" w:type="dxa"/>
            <w:vAlign w:val="bottom"/>
          </w:tcPr>
          <w:p>
            <w:pPr>
              <w:spacing w:after="0"/>
              <w:rPr>
                <w:sz w:val="21"/>
                <w:szCs w:val="21"/>
                <w:color w:val="auto"/>
              </w:rPr>
            </w:pPr>
          </w:p>
        </w:tc>
        <w:tc>
          <w:tcPr>
            <w:tcW w:w="580" w:type="dxa"/>
            <w:vAlign w:val="bottom"/>
          </w:tcPr>
          <w:p>
            <w:pPr>
              <w:jc w:val="right"/>
              <w:ind w:right="60"/>
              <w:spacing w:after="0"/>
              <w:rPr>
                <w:sz w:val="20"/>
                <w:szCs w:val="20"/>
                <w:color w:val="auto"/>
              </w:rPr>
            </w:pPr>
            <w:r>
              <w:rPr>
                <w:rFonts w:ascii="Arial" w:cs="Arial" w:eastAsia="Arial" w:hAnsi="Arial"/>
                <w:sz w:val="12"/>
                <w:szCs w:val="12"/>
                <w:color w:val="auto"/>
              </w:rPr>
              <w:t>79,035</w:t>
            </w:r>
          </w:p>
        </w:tc>
        <w:tc>
          <w:tcPr>
            <w:tcW w:w="320" w:type="dxa"/>
            <w:vAlign w:val="bottom"/>
          </w:tcPr>
          <w:p>
            <w:pPr>
              <w:spacing w:after="0"/>
              <w:rPr>
                <w:sz w:val="21"/>
                <w:szCs w:val="21"/>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79,234</w:t>
            </w:r>
          </w:p>
        </w:tc>
        <w:tc>
          <w:tcPr>
            <w:tcW w:w="320" w:type="dxa"/>
            <w:vAlign w:val="bottom"/>
          </w:tcPr>
          <w:p>
            <w:pPr>
              <w:spacing w:after="0"/>
              <w:rPr>
                <w:sz w:val="21"/>
                <w:szCs w:val="21"/>
                <w:color w:val="auto"/>
              </w:rPr>
            </w:pPr>
          </w:p>
        </w:tc>
        <w:tc>
          <w:tcPr>
            <w:tcW w:w="580" w:type="dxa"/>
            <w:vAlign w:val="bottom"/>
          </w:tcPr>
          <w:p>
            <w:pPr>
              <w:jc w:val="right"/>
              <w:ind w:right="80"/>
              <w:spacing w:after="0"/>
              <w:rPr>
                <w:sz w:val="20"/>
                <w:szCs w:val="20"/>
                <w:color w:val="auto"/>
              </w:rPr>
            </w:pPr>
            <w:r>
              <w:rPr>
                <w:rFonts w:ascii="Arial" w:cs="Arial" w:eastAsia="Arial" w:hAnsi="Arial"/>
                <w:sz w:val="12"/>
                <w:szCs w:val="12"/>
                <w:color w:val="auto"/>
              </w:rPr>
              <w:t>79,202</w:t>
            </w:r>
          </w:p>
        </w:tc>
        <w:tc>
          <w:tcPr>
            <w:tcW w:w="320" w:type="dxa"/>
            <w:vAlign w:val="bottom"/>
          </w:tcPr>
          <w:p>
            <w:pPr>
              <w:spacing w:after="0"/>
              <w:rPr>
                <w:sz w:val="21"/>
                <w:szCs w:val="21"/>
                <w:color w:val="auto"/>
              </w:rPr>
            </w:pPr>
          </w:p>
        </w:tc>
        <w:tc>
          <w:tcPr>
            <w:tcW w:w="840" w:type="dxa"/>
            <w:vAlign w:val="bottom"/>
          </w:tcPr>
          <w:p>
            <w:pPr>
              <w:jc w:val="right"/>
              <w:ind w:right="340"/>
              <w:spacing w:after="0"/>
              <w:rPr>
                <w:sz w:val="20"/>
                <w:szCs w:val="20"/>
                <w:color w:val="auto"/>
              </w:rPr>
            </w:pPr>
            <w:r>
              <w:rPr>
                <w:rFonts w:ascii="Arial" w:cs="Arial" w:eastAsia="Arial" w:hAnsi="Arial"/>
                <w:sz w:val="12"/>
                <w:szCs w:val="12"/>
                <w:color w:val="auto"/>
              </w:rPr>
              <w:t>79,138</w:t>
            </w: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21"/>
                <w:szCs w:val="21"/>
                <w:color w:val="auto"/>
              </w:rPr>
            </w:pPr>
          </w:p>
        </w:tc>
        <w:tc>
          <w:tcPr>
            <w:tcW w:w="600" w:type="dxa"/>
            <w:vAlign w:val="bottom"/>
          </w:tcPr>
          <w:p>
            <w:pPr>
              <w:jc w:val="right"/>
              <w:ind w:right="80"/>
              <w:spacing w:after="0"/>
              <w:rPr>
                <w:sz w:val="20"/>
                <w:szCs w:val="20"/>
                <w:color w:val="auto"/>
              </w:rPr>
            </w:pPr>
            <w:r>
              <w:rPr>
                <w:rFonts w:ascii="Arial" w:cs="Arial" w:eastAsia="Arial" w:hAnsi="Arial"/>
                <w:sz w:val="12"/>
                <w:szCs w:val="12"/>
                <w:color w:val="auto"/>
              </w:rPr>
              <w:t>79,075</w:t>
            </w:r>
          </w:p>
        </w:tc>
        <w:tc>
          <w:tcPr>
            <w:tcW w:w="380" w:type="dxa"/>
            <w:vAlign w:val="bottom"/>
          </w:tcPr>
          <w:p>
            <w:pPr>
              <w:spacing w:after="0"/>
              <w:rPr>
                <w:sz w:val="21"/>
                <w:szCs w:val="21"/>
                <w:color w:val="auto"/>
              </w:rPr>
            </w:pPr>
          </w:p>
        </w:tc>
        <w:tc>
          <w:tcPr>
            <w:tcW w:w="900" w:type="dxa"/>
            <w:vAlign w:val="bottom"/>
          </w:tcPr>
          <w:p>
            <w:pPr>
              <w:jc w:val="right"/>
              <w:ind w:right="340"/>
              <w:spacing w:after="0"/>
              <w:rPr>
                <w:sz w:val="20"/>
                <w:szCs w:val="20"/>
                <w:color w:val="auto"/>
              </w:rPr>
            </w:pPr>
            <w:r>
              <w:rPr>
                <w:rFonts w:ascii="Arial" w:cs="Arial" w:eastAsia="Arial" w:hAnsi="Arial"/>
                <w:sz w:val="12"/>
                <w:szCs w:val="12"/>
                <w:color w:val="auto"/>
              </w:rPr>
              <w:t>79,138</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w:t>
            </w:r>
          </w:p>
        </w:tc>
      </w:tr>
    </w:tbl>
    <w:p>
      <w:pPr>
        <w:spacing w:after="0" w:line="152" w:lineRule="exact"/>
        <w:rPr>
          <w:sz w:val="20"/>
          <w:szCs w:val="20"/>
          <w:color w:val="auto"/>
        </w:rPr>
      </w:pPr>
    </w:p>
    <w:p>
      <w:pPr>
        <w:ind w:right="220" w:firstLine="8"/>
        <w:spacing w:after="0" w:line="255" w:lineRule="auto"/>
        <w:tabs>
          <w:tab w:leader="none" w:pos="136" w:val="left"/>
        </w:tabs>
        <w:numPr>
          <w:ilvl w:val="0"/>
          <w:numId w:val="6"/>
        </w:numPr>
        <w:rPr>
          <w:rFonts w:ascii="Arial" w:cs="Arial" w:eastAsia="Arial" w:hAnsi="Arial"/>
          <w:sz w:val="9"/>
          <w:szCs w:val="9"/>
          <w:color w:val="auto"/>
        </w:rPr>
      </w:pPr>
      <w:r>
        <w:rPr>
          <w:rFonts w:ascii="Arial" w:cs="Arial" w:eastAsia="Arial" w:hAnsi="Arial"/>
          <w:sz w:val="13"/>
          <w:szCs w:val="13"/>
          <w:color w:val="auto"/>
        </w:rPr>
        <w:t xml:space="preserve">Excludes merger-related and other charges which includes amortization of certain executive change of control benefits. </w:t>
      </w:r>
      <w:r>
        <w:rPr>
          <w:rFonts w:ascii="Arial" w:cs="Arial" w:eastAsia="Arial" w:hAnsi="Arial"/>
          <w:sz w:val="8"/>
          <w:szCs w:val="8"/>
          <w:color w:val="auto"/>
        </w:rPr>
        <w:t>(2)</w:t>
      </w:r>
      <w:r>
        <w:rPr>
          <w:rFonts w:ascii="Arial" w:cs="Arial" w:eastAsia="Arial" w:hAnsi="Arial"/>
          <w:sz w:val="13"/>
          <w:szCs w:val="13"/>
          <w:color w:val="auto"/>
        </w:rPr>
        <w:t xml:space="preserve"> Net income less preferred stock dividends, divided by average realized common equity, which excludes accumulated other comprehensive income (loss). </w:t>
      </w:r>
      <w:r>
        <w:rPr>
          <w:rFonts w:ascii="Arial" w:cs="Arial" w:eastAsia="Arial" w:hAnsi="Arial"/>
          <w:sz w:val="8"/>
          <w:szCs w:val="8"/>
          <w:color w:val="auto"/>
        </w:rPr>
        <w:t>(3)</w:t>
      </w:r>
      <w:r>
        <w:rPr>
          <w:rFonts w:ascii="Arial" w:cs="Arial" w:eastAsia="Arial" w:hAnsi="Arial"/>
          <w:sz w:val="13"/>
          <w:szCs w:val="13"/>
          <w:color w:val="auto"/>
        </w:rPr>
        <w:t xml:space="preserve"> Excludes effect of acquisition related intangibles and associated amortization. </w:t>
      </w:r>
      <w:r>
        <w:rPr>
          <w:rFonts w:ascii="Arial" w:cs="Arial" w:eastAsia="Arial" w:hAnsi="Arial"/>
          <w:sz w:val="8"/>
          <w:szCs w:val="8"/>
          <w:color w:val="auto"/>
        </w:rPr>
        <w:t>(4)</w:t>
      </w:r>
      <w:r>
        <w:rPr>
          <w:rFonts w:ascii="Arial" w:cs="Arial" w:eastAsia="Arial" w:hAnsi="Arial"/>
          <w:sz w:val="13"/>
          <w:szCs w:val="13"/>
          <w:color w:val="auto"/>
        </w:rPr>
        <w:t xml:space="preserve"> Annualized.</w:t>
      </w: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80"/>
          </w:cols>
          <w:pgMar w:left="240" w:top="167" w:right="379" w:bottom="1440" w:gutter="0" w:footer="0" w:header="0"/>
        </w:sectPr>
      </w:pPr>
    </w:p>
    <w:bookmarkStart w:id="50" w:name="page51"/>
    <w:bookmarkEnd w:id="50"/>
    <w:p>
      <w:pPr>
        <w:spacing w:after="0" w:line="6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UNITED COMMUNITY BANKS, INC.</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Table 1 (Continued) - Non-GAAP Performance Measures Reconciliation</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Selected Financial Information</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3"/>
            <w:vMerge w:val="restart"/>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gridSpan w:val="6"/>
          </w:tcPr>
          <w:p>
            <w:pPr>
              <w:jc w:val="right"/>
              <w:spacing w:after="0" w:line="153" w:lineRule="exact"/>
              <w:rPr>
                <w:sz w:val="20"/>
                <w:szCs w:val="20"/>
                <w:color w:val="auto"/>
              </w:rPr>
            </w:pPr>
            <w:r>
              <w:rPr>
                <w:rFonts w:ascii="Arial" w:cs="Arial" w:eastAsia="Arial" w:hAnsi="Arial"/>
                <w:sz w:val="14"/>
                <w:szCs w:val="14"/>
                <w:b w:val="1"/>
                <w:bCs w:val="1"/>
                <w:color w:val="auto"/>
                <w:w w:val="94"/>
              </w:rPr>
              <w:t>For the Six Months Ended June</w:t>
            </w:r>
          </w:p>
        </w:tc>
        <w:tc>
          <w:tcPr>
            <w:tcW w:w="0" w:type="dxa"/>
            <w:vAlign w:val="bottom"/>
          </w:tcPr>
          <w:p>
            <w:pPr>
              <w:spacing w:after="0"/>
              <w:rPr>
                <w:sz w:val="1"/>
                <w:szCs w:val="1"/>
                <w:color w:val="auto"/>
              </w:rPr>
            </w:pPr>
          </w:p>
        </w:tc>
      </w:tr>
      <w:tr>
        <w:trPr>
          <w:trHeight w:val="192"/>
        </w:trPr>
        <w:tc>
          <w:tcPr>
            <w:tcW w:w="3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2"/>
              </w:rPr>
              <w:t>30,</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1"/>
        </w:trPr>
        <w:tc>
          <w:tcPr>
            <w:tcW w:w="3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Second</w:t>
            </w:r>
          </w:p>
        </w:tc>
        <w:tc>
          <w:tcPr>
            <w:tcW w:w="10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First Quarter</w:t>
            </w:r>
          </w:p>
        </w:tc>
        <w:tc>
          <w:tcPr>
            <w:tcW w:w="160" w:type="dxa"/>
            <w:vAlign w:val="bottom"/>
          </w:tcPr>
          <w:p>
            <w:pPr>
              <w:spacing w:after="0"/>
              <w:rPr>
                <w:sz w:val="24"/>
                <w:szCs w:val="2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Fourth</w:t>
            </w: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Third Quarter</w:t>
            </w:r>
          </w:p>
        </w:tc>
        <w:tc>
          <w:tcPr>
            <w:tcW w:w="180" w:type="dxa"/>
            <w:vAlign w:val="bottom"/>
          </w:tcPr>
          <w:p>
            <w:pPr>
              <w:spacing w:after="0"/>
              <w:rPr>
                <w:sz w:val="24"/>
                <w:szCs w:val="2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Second</w:t>
            </w:r>
          </w:p>
        </w:tc>
        <w:tc>
          <w:tcPr>
            <w:tcW w:w="200" w:type="dxa"/>
            <w:vAlign w:val="bottom"/>
          </w:tcPr>
          <w:p>
            <w:pPr>
              <w:spacing w:after="0"/>
              <w:rPr>
                <w:sz w:val="24"/>
                <w:szCs w:val="24"/>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2"/>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Quarter</w:t>
            </w:r>
          </w:p>
        </w:tc>
        <w:tc>
          <w:tcPr>
            <w:tcW w:w="10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Quarter</w:t>
            </w:r>
          </w:p>
        </w:tc>
        <w:tc>
          <w:tcPr>
            <w:tcW w:w="10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Expense reconciliation</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Expenses (GAAP)</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81,813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76,084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78,242</w:t>
            </w:r>
          </w:p>
        </w:tc>
        <w:tc>
          <w:tcPr>
            <w:tcW w:w="100" w:type="dxa"/>
            <w:vAlign w:val="bottom"/>
          </w:tcPr>
          <w:p>
            <w:pPr>
              <w:spacing w:after="0"/>
              <w:rPr>
                <w:sz w:val="22"/>
                <w:szCs w:val="22"/>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77,718</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76,850</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157,897</w:t>
            </w:r>
          </w:p>
        </w:tc>
        <w:tc>
          <w:tcPr>
            <w:tcW w:w="3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150,325</w:t>
            </w:r>
          </w:p>
        </w:tc>
        <w:tc>
          <w:tcPr>
            <w:tcW w:w="0" w:type="dxa"/>
            <w:vAlign w:val="bottom"/>
          </w:tcPr>
          <w:p>
            <w:pPr>
              <w:spacing w:after="0"/>
              <w:rPr>
                <w:sz w:val="1"/>
                <w:szCs w:val="1"/>
                <w:color w:val="auto"/>
              </w:rPr>
            </w:pPr>
          </w:p>
        </w:tc>
      </w:tr>
      <w:tr>
        <w:trPr>
          <w:trHeight w:val="270"/>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Merger-related and other charges</w:t>
            </w: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(4,087)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(739)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(1,234)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(2,873)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(4,826)</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(5,519)</w:t>
            </w:r>
          </w:p>
        </w:tc>
        <w:tc>
          <w:tcPr>
            <w:tcW w:w="0" w:type="dxa"/>
            <w:vAlign w:val="bottom"/>
          </w:tcPr>
          <w:p>
            <w:pPr>
              <w:spacing w:after="0"/>
              <w:rPr>
                <w:sz w:val="1"/>
                <w:szCs w:val="1"/>
                <w:color w:val="auto"/>
              </w:rPr>
            </w:pPr>
          </w:p>
        </w:tc>
      </w:tr>
      <w:tr>
        <w:trPr>
          <w:trHeight w:val="283"/>
        </w:trPr>
        <w:tc>
          <w:tcPr>
            <w:tcW w:w="4060" w:type="dxa"/>
            <w:vAlign w:val="bottom"/>
            <w:gridSpan w:val="2"/>
          </w:tcPr>
          <w:p>
            <w:pPr>
              <w:ind w:left="180"/>
              <w:spacing w:after="0"/>
              <w:rPr>
                <w:sz w:val="20"/>
                <w:szCs w:val="20"/>
                <w:color w:val="auto"/>
              </w:rPr>
            </w:pPr>
            <w:r>
              <w:rPr>
                <w:rFonts w:ascii="Arial" w:cs="Arial" w:eastAsia="Arial" w:hAnsi="Arial"/>
                <w:sz w:val="14"/>
                <w:szCs w:val="14"/>
                <w:color w:val="auto"/>
              </w:rPr>
              <w:t>Expenses - operating</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77,726</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75,345</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77,008</w:t>
            </w:r>
          </w:p>
        </w:tc>
        <w:tc>
          <w:tcPr>
            <w:tcW w:w="10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77,126</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73,977</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153,071</w:t>
            </w:r>
          </w:p>
        </w:tc>
        <w:tc>
          <w:tcPr>
            <w:tcW w:w="3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144,806</w:t>
            </w:r>
          </w:p>
        </w:tc>
        <w:tc>
          <w:tcPr>
            <w:tcW w:w="0" w:type="dxa"/>
            <w:vAlign w:val="bottom"/>
          </w:tcPr>
          <w:p>
            <w:pPr>
              <w:spacing w:after="0"/>
              <w:rPr>
                <w:sz w:val="1"/>
                <w:szCs w:val="1"/>
                <w:color w:val="auto"/>
              </w:rPr>
            </w:pPr>
          </w:p>
        </w:tc>
      </w:tr>
      <w:tr>
        <w:trPr>
          <w:trHeight w:val="224"/>
        </w:trPr>
        <w:tc>
          <w:tcPr>
            <w:tcW w:w="39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 reconciliation</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income (GAAP)</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44,085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44,262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45,137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43,682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39,634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88,347</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77,292</w:t>
            </w:r>
          </w:p>
        </w:tc>
        <w:tc>
          <w:tcPr>
            <w:tcW w:w="0" w:type="dxa"/>
            <w:vAlign w:val="bottom"/>
          </w:tcPr>
          <w:p>
            <w:pPr>
              <w:spacing w:after="0"/>
              <w:rPr>
                <w:sz w:val="1"/>
                <w:szCs w:val="1"/>
                <w:color w:val="auto"/>
              </w:rPr>
            </w:pPr>
          </w:p>
        </w:tc>
      </w:tr>
      <w:tr>
        <w:trPr>
          <w:trHeight w:val="264"/>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Merger-related and other charges</w:t>
            </w:r>
          </w:p>
        </w:tc>
        <w:tc>
          <w:tcPr>
            <w:tcW w:w="160" w:type="dxa"/>
            <w:vAlign w:val="bottom"/>
          </w:tcPr>
          <w:p>
            <w:pPr>
              <w:spacing w:after="0"/>
              <w:rPr>
                <w:sz w:val="22"/>
                <w:szCs w:val="22"/>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4,087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739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1,234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2,873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4,826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5,519</w:t>
            </w:r>
          </w:p>
        </w:tc>
        <w:tc>
          <w:tcPr>
            <w:tcW w:w="0" w:type="dxa"/>
            <w:vAlign w:val="bottom"/>
          </w:tcPr>
          <w:p>
            <w:pPr>
              <w:spacing w:after="0"/>
              <w:rPr>
                <w:sz w:val="1"/>
                <w:szCs w:val="1"/>
                <w:color w:val="auto"/>
              </w:rPr>
            </w:pPr>
          </w:p>
        </w:tc>
      </w:tr>
      <w:tr>
        <w:trPr>
          <w:trHeight w:val="270"/>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tax benefit of merger-related and other charges</w:t>
            </w: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(940)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(604)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(1,112)</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283"/>
        </w:trPr>
        <w:tc>
          <w:tcPr>
            <w:tcW w:w="4060" w:type="dxa"/>
            <w:vAlign w:val="bottom"/>
            <w:gridSpan w:val="2"/>
          </w:tcPr>
          <w:p>
            <w:pPr>
              <w:ind w:left="180"/>
              <w:spacing w:after="0"/>
              <w:rPr>
                <w:sz w:val="20"/>
                <w:szCs w:val="20"/>
                <w:color w:val="auto"/>
              </w:rPr>
            </w:pPr>
            <w:r>
              <w:rPr>
                <w:rFonts w:ascii="Arial" w:cs="Arial" w:eastAsia="Arial" w:hAnsi="Arial"/>
                <w:sz w:val="14"/>
                <w:szCs w:val="14"/>
                <w:color w:val="auto"/>
              </w:rPr>
              <w:t>Net income - operating</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47,232</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44,829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45,767</w:t>
            </w:r>
          </w:p>
        </w:tc>
        <w:tc>
          <w:tcPr>
            <w:tcW w:w="10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44,133</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42,386</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92,061</w:t>
            </w:r>
          </w:p>
        </w:tc>
        <w:tc>
          <w:tcPr>
            <w:tcW w:w="3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82,062</w:t>
            </w:r>
          </w:p>
        </w:tc>
        <w:tc>
          <w:tcPr>
            <w:tcW w:w="0" w:type="dxa"/>
            <w:vAlign w:val="bottom"/>
          </w:tcPr>
          <w:p>
            <w:pPr>
              <w:spacing w:after="0"/>
              <w:rPr>
                <w:sz w:val="1"/>
                <w:szCs w:val="1"/>
                <w:color w:val="auto"/>
              </w:rPr>
            </w:pPr>
          </w:p>
        </w:tc>
      </w:tr>
      <w:tr>
        <w:trPr>
          <w:trHeight w:val="224"/>
        </w:trPr>
        <w:tc>
          <w:tcPr>
            <w:tcW w:w="39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Diluted income per common share reconciliation</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Diluted income per common share (GAAP)</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0.55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0.55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0.56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0.54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0.49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1.10</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0.97</w:t>
            </w:r>
          </w:p>
        </w:tc>
        <w:tc>
          <w:tcPr>
            <w:tcW w:w="0" w:type="dxa"/>
            <w:vAlign w:val="bottom"/>
          </w:tcPr>
          <w:p>
            <w:pPr>
              <w:spacing w:after="0"/>
              <w:rPr>
                <w:sz w:val="1"/>
                <w:szCs w:val="1"/>
                <w:color w:val="auto"/>
              </w:rPr>
            </w:pPr>
          </w:p>
        </w:tc>
      </w:tr>
      <w:tr>
        <w:trPr>
          <w:trHeight w:val="264"/>
        </w:trPr>
        <w:tc>
          <w:tcPr>
            <w:tcW w:w="40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Merger-related and other charges</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0.01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0.01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0.04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0.05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243"/>
        </w:trPr>
        <w:tc>
          <w:tcPr>
            <w:tcW w:w="40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Diluted income per common share - operating</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0.59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0.56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0.57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0.55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0.53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1.15</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Book value per common share reconciliation</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Book value per common share (GAAP)</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19.65</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18.93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18.24</w:t>
            </w:r>
          </w:p>
        </w:tc>
        <w:tc>
          <w:tcPr>
            <w:tcW w:w="100" w:type="dxa"/>
            <w:vAlign w:val="bottom"/>
          </w:tcPr>
          <w:p>
            <w:pPr>
              <w:spacing w:after="0"/>
              <w:rPr>
                <w:sz w:val="22"/>
                <w:szCs w:val="22"/>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17.56</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17.29</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19.65</w:t>
            </w:r>
          </w:p>
        </w:tc>
        <w:tc>
          <w:tcPr>
            <w:tcW w:w="3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17.29</w:t>
            </w:r>
          </w:p>
        </w:tc>
        <w:tc>
          <w:tcPr>
            <w:tcW w:w="0" w:type="dxa"/>
            <w:vAlign w:val="bottom"/>
          </w:tcPr>
          <w:p>
            <w:pPr>
              <w:spacing w:after="0"/>
              <w:rPr>
                <w:sz w:val="1"/>
                <w:szCs w:val="1"/>
                <w:color w:val="auto"/>
              </w:rPr>
            </w:pPr>
          </w:p>
        </w:tc>
      </w:tr>
      <w:tr>
        <w:trPr>
          <w:trHeight w:val="270"/>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Effect of goodwill and other intangibles</w:t>
            </w: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(4.27)</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(4.04)</w:t>
            </w:r>
          </w:p>
        </w:tc>
        <w:tc>
          <w:tcPr>
            <w:tcW w:w="0" w:type="dxa"/>
            <w:vAlign w:val="bottom"/>
          </w:tcPr>
          <w:p>
            <w:pPr>
              <w:spacing w:after="0"/>
              <w:rPr>
                <w:sz w:val="1"/>
                <w:szCs w:val="1"/>
                <w:color w:val="auto"/>
              </w:rPr>
            </w:pPr>
          </w:p>
        </w:tc>
      </w:tr>
      <w:tr>
        <w:trPr>
          <w:trHeight w:val="283"/>
        </w:trPr>
        <w:tc>
          <w:tcPr>
            <w:tcW w:w="4060" w:type="dxa"/>
            <w:vAlign w:val="bottom"/>
            <w:gridSpan w:val="2"/>
          </w:tcPr>
          <w:p>
            <w:pPr>
              <w:ind w:left="180"/>
              <w:spacing w:after="0"/>
              <w:rPr>
                <w:sz w:val="20"/>
                <w:szCs w:val="20"/>
                <w:color w:val="auto"/>
              </w:rPr>
            </w:pPr>
            <w:r>
              <w:rPr>
                <w:rFonts w:ascii="Arial" w:cs="Arial" w:eastAsia="Arial" w:hAnsi="Arial"/>
                <w:sz w:val="14"/>
                <w:szCs w:val="14"/>
                <w:color w:val="auto"/>
              </w:rPr>
              <w:t>Tangible book value per common share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15.38</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08"/>
              <w:spacing w:after="0"/>
              <w:rPr>
                <w:sz w:val="20"/>
                <w:szCs w:val="20"/>
                <w:color w:val="auto"/>
              </w:rPr>
            </w:pPr>
            <w:r>
              <w:rPr>
                <w:rFonts w:ascii="Arial" w:cs="Arial" w:eastAsia="Arial" w:hAnsi="Arial"/>
                <w:sz w:val="14"/>
                <w:szCs w:val="14"/>
                <w:color w:val="auto"/>
              </w:rPr>
              <w:t>14.93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color w:val="auto"/>
              </w:rPr>
              <w:t>14.24</w:t>
            </w:r>
          </w:p>
        </w:tc>
        <w:tc>
          <w:tcPr>
            <w:tcW w:w="10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13.54</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13.25</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15.38</w:t>
            </w:r>
          </w:p>
        </w:tc>
        <w:tc>
          <w:tcPr>
            <w:tcW w:w="3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13.25</w:t>
            </w:r>
          </w:p>
        </w:tc>
        <w:tc>
          <w:tcPr>
            <w:tcW w:w="0" w:type="dxa"/>
            <w:vAlign w:val="bottom"/>
          </w:tcPr>
          <w:p>
            <w:pPr>
              <w:spacing w:after="0"/>
              <w:rPr>
                <w:sz w:val="1"/>
                <w:szCs w:val="1"/>
                <w:color w:val="auto"/>
              </w:rPr>
            </w:pPr>
          </w:p>
        </w:tc>
      </w:tr>
      <w:tr>
        <w:trPr>
          <w:trHeight w:val="224"/>
        </w:trPr>
        <w:tc>
          <w:tcPr>
            <w:tcW w:w="39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Return on tangible common equity reconciliation</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Return on common equity (GAAP)</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11.45 %</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11.85 %</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12.08 %</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11.20 %</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11.65 %</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11.15 %</w:t>
            </w:r>
          </w:p>
        </w:tc>
        <w:tc>
          <w:tcPr>
            <w:tcW w:w="0" w:type="dxa"/>
            <w:vAlign w:val="bottom"/>
          </w:tcPr>
          <w:p>
            <w:pPr>
              <w:spacing w:after="0"/>
              <w:rPr>
                <w:sz w:val="1"/>
                <w:szCs w:val="1"/>
                <w:color w:val="auto"/>
              </w:rPr>
            </w:pPr>
          </w:p>
        </w:tc>
      </w:tr>
      <w:tr>
        <w:trPr>
          <w:trHeight w:val="264"/>
        </w:trPr>
        <w:tc>
          <w:tcPr>
            <w:tcW w:w="40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Merger-related and other charges</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0.82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0.15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0.17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0.77</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0.49</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256"/>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Return on common equity - operating</w:t>
            </w: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12.27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11.97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12.14</w:t>
            </w: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11.84</w:t>
            </w:r>
          </w:p>
        </w:tc>
        <w:tc>
          <w:tcPr>
            <w:tcW w:w="0" w:type="dxa"/>
            <w:vAlign w:val="bottom"/>
          </w:tcPr>
          <w:p>
            <w:pPr>
              <w:spacing w:after="0"/>
              <w:rPr>
                <w:sz w:val="1"/>
                <w:szCs w:val="1"/>
                <w:color w:val="auto"/>
              </w:rPr>
            </w:pPr>
          </w:p>
        </w:tc>
      </w:tr>
      <w:tr>
        <w:trPr>
          <w:trHeight w:val="264"/>
        </w:trPr>
        <w:tc>
          <w:tcPr>
            <w:tcW w:w="40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Effect of goodwill and other intangibles</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3.61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3.63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3.72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3.82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3.53</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Return on tangible common equity - operating</w:t>
            </w: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15.88 %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15.46 %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15.88 %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15.81 %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15.79 %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15.67 %</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15.53 %</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Return on assets reconciliation</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Return on assets (GAAP)</w:t>
            </w: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1.40 %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1.44 %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1.43 %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1.41 %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1.30 %</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1.42 %</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1.28 %</w:t>
            </w:r>
          </w:p>
        </w:tc>
        <w:tc>
          <w:tcPr>
            <w:tcW w:w="0" w:type="dxa"/>
            <w:vAlign w:val="bottom"/>
          </w:tcPr>
          <w:p>
            <w:pPr>
              <w:spacing w:after="0"/>
              <w:rPr>
                <w:sz w:val="1"/>
                <w:szCs w:val="1"/>
                <w:color w:val="auto"/>
              </w:rPr>
            </w:pPr>
          </w:p>
        </w:tc>
      </w:tr>
      <w:tr>
        <w:trPr>
          <w:trHeight w:val="270"/>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Merger-related and other charges</w:t>
            </w: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0.10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0.01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0.02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0.06</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83"/>
        </w:trPr>
        <w:tc>
          <w:tcPr>
            <w:tcW w:w="40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Return on assets - operating</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1.50 %</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1.45 %</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1.45 %</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1.42 %</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1.39 %</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1.48 %</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1.36 %</w:t>
            </w: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Dividend payout ratio reconciliation</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Dividend payout ratio (GAAP)</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30.91 %</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29.09 %</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28.57 %</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27.78 %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30.61 %</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30.00 %</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27.84 %</w:t>
            </w:r>
          </w:p>
        </w:tc>
        <w:tc>
          <w:tcPr>
            <w:tcW w:w="0" w:type="dxa"/>
            <w:vAlign w:val="bottom"/>
          </w:tcPr>
          <w:p>
            <w:pPr>
              <w:spacing w:after="0"/>
              <w:rPr>
                <w:sz w:val="1"/>
                <w:szCs w:val="1"/>
                <w:color w:val="auto"/>
              </w:rPr>
            </w:pPr>
          </w:p>
        </w:tc>
      </w:tr>
      <w:tr>
        <w:trPr>
          <w:trHeight w:val="264"/>
        </w:trPr>
        <w:tc>
          <w:tcPr>
            <w:tcW w:w="40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Merger-related and other charges</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(0.52)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(0.50)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(0.51)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(1.30)</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Dividend payout ratio - operating</w:t>
            </w: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28.81 %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28.57 %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28.07 %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27.27 %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28.30 %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28.70 %</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26.21 %</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Efficiency ratio reconciliation</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Efficiency ratio (GAAP)</w:t>
            </w: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57.28 %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55.32 %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56.73 %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56.82 %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57.94 %</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56.32 %</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57.89 %</w:t>
            </w:r>
          </w:p>
        </w:tc>
        <w:tc>
          <w:tcPr>
            <w:tcW w:w="0" w:type="dxa"/>
            <w:vAlign w:val="bottom"/>
          </w:tcPr>
          <w:p>
            <w:pPr>
              <w:spacing w:after="0"/>
              <w:rPr>
                <w:sz w:val="1"/>
                <w:szCs w:val="1"/>
                <w:color w:val="auto"/>
              </w:rPr>
            </w:pPr>
          </w:p>
        </w:tc>
      </w:tr>
      <w:tr>
        <w:trPr>
          <w:trHeight w:val="270"/>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Merger-related and other charges</w:t>
            </w: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(0.54)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(0.90)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(0.43)</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83"/>
        </w:trPr>
        <w:tc>
          <w:tcPr>
            <w:tcW w:w="406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Efficiency ratio - operating</w:t>
            </w: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54.42 %</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54.78 %</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55.83 %</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56.39 %</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55.77 %</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54.60 %</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55.76 %</w:t>
            </w:r>
          </w:p>
        </w:tc>
        <w:tc>
          <w:tcPr>
            <w:tcW w:w="0" w:type="dxa"/>
            <w:vAlign w:val="bottom"/>
          </w:tcPr>
          <w:p>
            <w:pPr>
              <w:spacing w:after="0"/>
              <w:rPr>
                <w:sz w:val="1"/>
                <w:szCs w:val="1"/>
                <w:color w:val="auto"/>
              </w:rPr>
            </w:pPr>
          </w:p>
        </w:tc>
      </w:tr>
      <w:tr>
        <w:trPr>
          <w:trHeight w:val="224"/>
        </w:trPr>
        <w:tc>
          <w:tcPr>
            <w:tcW w:w="3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060" w:type="dxa"/>
            <w:vAlign w:val="bottom"/>
            <w:gridSpan w:val="2"/>
          </w:tcPr>
          <w:p>
            <w:pPr>
              <w:ind w:left="40"/>
              <w:spacing w:after="0"/>
              <w:rPr>
                <w:sz w:val="20"/>
                <w:szCs w:val="20"/>
                <w:color w:val="auto"/>
              </w:rPr>
            </w:pPr>
            <w:r>
              <w:rPr>
                <w:rFonts w:ascii="Arial" w:cs="Arial" w:eastAsia="Arial" w:hAnsi="Arial"/>
                <w:sz w:val="14"/>
                <w:szCs w:val="14"/>
                <w:b w:val="1"/>
                <w:bCs w:val="1"/>
                <w:color w:val="auto"/>
              </w:rPr>
              <w:t>Average equity to assets reconciliation</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Equity to average assets (GAAP)</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12.14 %</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11.82 %</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11.35 %</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11.21 %</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11.98 %</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11.13 %</w:t>
            </w:r>
          </w:p>
        </w:tc>
        <w:tc>
          <w:tcPr>
            <w:tcW w:w="0" w:type="dxa"/>
            <w:vAlign w:val="bottom"/>
          </w:tcPr>
          <w:p>
            <w:pPr>
              <w:spacing w:after="0"/>
              <w:rPr>
                <w:sz w:val="1"/>
                <w:szCs w:val="1"/>
                <w:color w:val="auto"/>
              </w:rPr>
            </w:pPr>
          </w:p>
        </w:tc>
      </w:tr>
      <w:tr>
        <w:trPr>
          <w:trHeight w:val="264"/>
        </w:trPr>
        <w:tc>
          <w:tcPr>
            <w:tcW w:w="40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Effect of goodwill and other intangibles</w:t>
            </w: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(2.38)</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Average tangible common equity to average assets</w:t>
            </w: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9.79 %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9.53 %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8.97 %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8.83 %</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9.66 %</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8.82 %</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95"/>
              </w:rPr>
              <w:t>Tangible common equity to risk-weighted assets reconciliation</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60" w:type="dxa"/>
            <w:vAlign w:val="bottom"/>
            <w:gridSpan w:val="2"/>
          </w:tcPr>
          <w:p>
            <w:pPr>
              <w:ind w:left="40"/>
              <w:spacing w:after="0"/>
              <w:rPr>
                <w:sz w:val="20"/>
                <w:szCs w:val="20"/>
                <w:color w:val="auto"/>
              </w:rPr>
            </w:pPr>
            <w:r>
              <w:rPr>
                <w:rFonts w:ascii="Arial" w:cs="Arial" w:eastAsia="Arial" w:hAnsi="Arial"/>
                <w:sz w:val="14"/>
                <w:szCs w:val="14"/>
                <w:color w:val="auto"/>
              </w:rPr>
              <w:t>Tier 1 capital ratio (Regulatory)</w:t>
            </w: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12.38 %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12.69 %</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12.42 %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12.25 %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11.94 %</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12.38 %</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11.94 %</w:t>
            </w:r>
          </w:p>
        </w:tc>
        <w:tc>
          <w:tcPr>
            <w:tcW w:w="0" w:type="dxa"/>
            <w:vAlign w:val="bottom"/>
          </w:tcPr>
          <w:p>
            <w:pPr>
              <w:spacing w:after="0"/>
              <w:rPr>
                <w:sz w:val="1"/>
                <w:szCs w:val="1"/>
                <w:color w:val="auto"/>
              </w:rPr>
            </w:pPr>
          </w:p>
        </w:tc>
      </w:tr>
      <w:tr>
        <w:trPr>
          <w:trHeight w:val="276"/>
        </w:trPr>
        <w:tc>
          <w:tcPr>
            <w:tcW w:w="4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Effect of other comprehensive income</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(0.44)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(0.57)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0.07</w:t>
            </w: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r>
        <w:trPr>
          <w:trHeight w:val="266"/>
        </w:trPr>
        <w:tc>
          <w:tcPr>
            <w:tcW w:w="40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Effect of deferred tax limitation</w:t>
            </w:r>
          </w:p>
        </w:tc>
        <w:tc>
          <w:tcPr>
            <w:tcW w:w="16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jc w:val="right"/>
              <w:ind w:right="128"/>
              <w:spacing w:after="0"/>
              <w:rPr>
                <w:sz w:val="20"/>
                <w:szCs w:val="20"/>
                <w:color w:val="auto"/>
              </w:rPr>
            </w:pPr>
            <w:r>
              <w:rPr>
                <w:rFonts w:ascii="Arial" w:cs="Arial" w:eastAsia="Arial" w:hAnsi="Arial"/>
                <w:sz w:val="14"/>
                <w:szCs w:val="14"/>
                <w:color w:val="auto"/>
              </w:rPr>
              <w:t>0.18</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0.22</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jc w:val="right"/>
              <w:ind w:right="128"/>
              <w:spacing w:after="0"/>
              <w:rPr>
                <w:sz w:val="20"/>
                <w:szCs w:val="20"/>
                <w:color w:val="auto"/>
              </w:rPr>
            </w:pPr>
            <w:r>
              <w:rPr>
                <w:rFonts w:ascii="Arial" w:cs="Arial" w:eastAsia="Arial" w:hAnsi="Arial"/>
                <w:sz w:val="14"/>
                <w:szCs w:val="14"/>
                <w:color w:val="auto"/>
              </w:rPr>
              <w:t>0.28</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74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0.30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78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0.33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jc w:val="right"/>
              <w:ind w:right="88"/>
              <w:spacing w:after="0"/>
              <w:rPr>
                <w:sz w:val="20"/>
                <w:szCs w:val="20"/>
                <w:color w:val="auto"/>
              </w:rPr>
            </w:pPr>
            <w:r>
              <w:rPr>
                <w:rFonts w:ascii="Arial" w:cs="Arial" w:eastAsia="Arial" w:hAnsi="Arial"/>
                <w:sz w:val="14"/>
                <w:szCs w:val="14"/>
                <w:color w:val="auto"/>
              </w:rPr>
              <w:t>0.18</w:t>
            </w:r>
          </w:p>
        </w:tc>
        <w:tc>
          <w:tcPr>
            <w:tcW w:w="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760" w:type="dxa"/>
            <w:vAlign w:val="bottom"/>
            <w:tcBorders>
              <w:bottom w:val="single" w:sz="8" w:color="CCEEFF"/>
            </w:tcBorders>
          </w:tcPr>
          <w:p>
            <w:pPr>
              <w:jc w:val="right"/>
              <w:ind w:right="108"/>
              <w:spacing w:after="0"/>
              <w:rPr>
                <w:sz w:val="20"/>
                <w:szCs w:val="20"/>
                <w:color w:val="auto"/>
              </w:rPr>
            </w:pPr>
            <w:r>
              <w:rPr>
                <w:rFonts w:ascii="Arial" w:cs="Arial" w:eastAsia="Arial" w:hAnsi="Arial"/>
                <w:sz w:val="14"/>
                <w:szCs w:val="14"/>
                <w:color w:val="auto"/>
              </w:rPr>
              <w:t>0.33</w:t>
            </w:r>
          </w:p>
        </w:tc>
        <w:tc>
          <w:tcPr>
            <w:tcW w:w="0" w:type="dxa"/>
            <w:vAlign w:val="bottom"/>
          </w:tcPr>
          <w:p>
            <w:pPr>
              <w:spacing w:after="0"/>
              <w:rPr>
                <w:sz w:val="1"/>
                <w:szCs w:val="1"/>
                <w:color w:val="auto"/>
              </w:rPr>
            </w:pPr>
          </w:p>
        </w:tc>
      </w:tr>
    </w:tbl>
    <w:p>
      <w:pPr>
        <w:sectPr>
          <w:pgSz w:w="11900" w:h="16900" w:orient="portrait"/>
          <w:cols w:equalWidth="0" w:num="1">
            <w:col w:w="11420"/>
          </w:cols>
          <w:pgMar w:left="240" w:top="806" w:right="239" w:bottom="0" w:gutter="0" w:footer="0" w:header="0"/>
        </w:sectPr>
      </w:pPr>
    </w:p>
    <w:bookmarkStart w:id="51" w:name="page52"/>
    <w:bookmarkEnd w:id="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Effect of trust preferred</w:t>
            </w:r>
          </w:p>
        </w:tc>
        <w:tc>
          <w:tcPr>
            <w:tcW w:w="9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(0.34)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(0.34)</w:t>
            </w:r>
          </w:p>
        </w:tc>
      </w:tr>
      <w:tr>
        <w:trPr>
          <w:trHeight w:val="237"/>
        </w:trPr>
        <w:tc>
          <w:tcPr>
            <w:tcW w:w="4060" w:type="dxa"/>
            <w:vAlign w:val="bottom"/>
          </w:tcPr>
          <w:p>
            <w:pPr>
              <w:ind w:left="180"/>
              <w:spacing w:after="0"/>
              <w:rPr>
                <w:sz w:val="20"/>
                <w:szCs w:val="20"/>
                <w:color w:val="auto"/>
              </w:rPr>
            </w:pPr>
            <w:r>
              <w:rPr>
                <w:rFonts w:ascii="Arial" w:cs="Arial" w:eastAsia="Arial" w:hAnsi="Arial"/>
                <w:sz w:val="14"/>
                <w:szCs w:val="14"/>
                <w:color w:val="auto"/>
              </w:rPr>
              <w:t>Tangible common equity to risk-weighted assets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12.38 %</w:t>
            </w:r>
          </w:p>
        </w:tc>
        <w:tc>
          <w:tcPr>
            <w:tcW w:w="1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12.48 %</w:t>
            </w:r>
          </w:p>
        </w:tc>
        <w:tc>
          <w:tcPr>
            <w:tcW w:w="1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12.00 %</w:t>
            </w:r>
          </w:p>
        </w:tc>
        <w:tc>
          <w:tcPr>
            <w:tcW w:w="1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11.61 %</w:t>
            </w:r>
          </w:p>
        </w:tc>
        <w:tc>
          <w:tcPr>
            <w:tcW w:w="1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11.36 %</w:t>
            </w:r>
          </w:p>
        </w:tc>
        <w:tc>
          <w:tcPr>
            <w:tcW w:w="1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12.38 %</w:t>
            </w:r>
          </w:p>
        </w:tc>
        <w:tc>
          <w:tcPr>
            <w:tcW w:w="1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11.36 %</w:t>
            </w:r>
          </w:p>
        </w:tc>
      </w:tr>
      <w:tr>
        <w:trPr>
          <w:trHeight w:val="20"/>
        </w:trPr>
        <w:tc>
          <w:tcPr>
            <w:tcW w:w="40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40"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Net Interest Revenue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interest revenue, which is the difference between the interest earned on assets and the interest paid on deposits and borrowed funds, is the single largest component of total revenue. Management seeks to optimize this revenue while balancing interest rate, credit and liquidity risks.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banking industry uses two ratios to measure the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noninterest-bearing deposits and stockholders’ equity.</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interest revenue for the second quarter of 2019 and 2018 was $118 million and $108 million, respectively. As set forth in the following tables, fully taxable equivalent net interest revenue for the second quarter of 2019 was $118 million, representing an increase of $9.50 million, or 9%, from the same period in 2018. The net interest spread and net interest margin for the second quarter of 2019 of 3.72% and 4.12%, respectively, increased seven basis points and 22 basis points, respectively, from the second quarter of 2018. For the first six months of 2019 and 2018, net interest revenue was $233 million and $212 million, respectively. Fully taxable equivalent net interest revenue for the first six months of 2019 was $235 million, an increase of $22.1 million, or 10%, from the first six months of 2018.</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tables also indicate the relationship between interest revenue and expense and the average amounts of assets and liabilities for the periods indicated. As shown in the tables, both average interest-earning assets and interest-bearing liabilities for the three and six months ended June 30, 2019 increased compared to the same periods of 2018. The quarterly increase in average interest-earning assets was primarily related to the increase in average loans of $493 million, or 6%, from the second quarter of 2018, which reflected both organic growth and the addition of loans acquired from FMBT. The six months ended June 30, 2019 also includes the full six months effect of equipment financing loans and leases acquired in the Navitas transaction. The increase in loans was partially offset by a reduction in taxable securities. The quarterly increase in average assets was funded primarily through an increase in average customer deposits since the second quarter of 2018 of $620 million, of which $167 million was noninterest-bearing.</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increase in the net interest margin and net interest spread during the second quarter and first half of 2019 was primarily attributable to the increase in yield on average loans, which increased 47 and 56 basis points from the corresponding periods in 2018, respectively. Nationally, the federal funds rate increased 50 basis points since June 30, 2018, and United’s loan yield reflected these rising interest rates, as well as higher yielding loans from Navitas. The increase in the average rate on interest-earning assets more than offset the increase in the average rate paid on interest-bearing liabilities of 40 and 43 basis points from the three and six months ended June 30, 2018, respectively. The increase in the average rate paid on interest-bearing liabilities reflected a higher average rate on interest-bearing deposits, as United increased deposit rates to retain and capture more deposit market share. Rates paid on core deposits lagged behind general increases in market rates. The increase in noninterest-bearing deposits also contributed to the improvement in the net interest margin for the three and six months ended June 30, 2019.</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0" w:right="239" w:bottom="1440" w:gutter="0" w:footer="0" w:header="0"/>
        </w:sectPr>
      </w:pPr>
    </w:p>
    <w:bookmarkStart w:id="53" w:name="page54"/>
    <w:bookmarkEnd w:id="53"/>
    <w:p>
      <w:pPr>
        <w:ind w:left="40"/>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Arial" w:cs="Arial" w:eastAsia="Arial" w:hAnsi="Arial"/>
                <w:sz w:val="16"/>
                <w:szCs w:val="16"/>
                <w:b w:val="1"/>
                <w:bCs w:val="1"/>
                <w:color w:val="auto"/>
              </w:rPr>
              <w:t>Average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210"/>
        </w:trPr>
        <w:tc>
          <w:tcPr>
            <w:tcW w:w="458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(dollars in thousands, fully taxable equivalent (FTE))</w:t>
            </w: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Balance</w:t>
            </w:r>
          </w:p>
        </w:tc>
        <w:tc>
          <w:tcPr>
            <w:tcW w:w="160" w:type="dxa"/>
            <w:vAlign w:val="bottom"/>
          </w:tcPr>
          <w:p>
            <w:pPr>
              <w:spacing w:after="0"/>
              <w:rPr>
                <w:sz w:val="18"/>
                <w:szCs w:val="18"/>
                <w:color w:val="auto"/>
              </w:rPr>
            </w:pPr>
          </w:p>
        </w:tc>
        <w:tc>
          <w:tcPr>
            <w:tcW w:w="960" w:type="dxa"/>
            <w:vAlign w:val="bottom"/>
            <w:gridSpan w:val="2"/>
          </w:tcPr>
          <w:p>
            <w:pPr>
              <w:ind w:left="80"/>
              <w:spacing w:after="0"/>
              <w:rPr>
                <w:sz w:val="20"/>
                <w:szCs w:val="20"/>
                <w:color w:val="auto"/>
              </w:rPr>
            </w:pPr>
            <w:r>
              <w:rPr>
                <w:rFonts w:ascii="Arial" w:cs="Arial" w:eastAsia="Arial" w:hAnsi="Arial"/>
                <w:sz w:val="16"/>
                <w:szCs w:val="16"/>
                <w:b w:val="1"/>
                <w:bCs w:val="1"/>
                <w:color w:val="auto"/>
              </w:rPr>
              <w:t>Interest</w:t>
            </w:r>
          </w:p>
        </w:tc>
        <w:tc>
          <w:tcPr>
            <w:tcW w:w="960" w:type="dxa"/>
            <w:vAlign w:val="bottom"/>
          </w:tcPr>
          <w:p>
            <w:pPr>
              <w:ind w:left="320"/>
              <w:spacing w:after="0"/>
              <w:rPr>
                <w:sz w:val="20"/>
                <w:szCs w:val="20"/>
                <w:color w:val="auto"/>
              </w:rPr>
            </w:pPr>
            <w:r>
              <w:rPr>
                <w:rFonts w:ascii="Arial" w:cs="Arial" w:eastAsia="Arial" w:hAnsi="Arial"/>
                <w:sz w:val="16"/>
                <w:szCs w:val="16"/>
                <w:b w:val="1"/>
                <w:bCs w:val="1"/>
                <w:color w:val="auto"/>
              </w:rPr>
              <w:t>Rate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Balance</w:t>
            </w: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Arial" w:cs="Arial" w:eastAsia="Arial" w:hAnsi="Arial"/>
                <w:sz w:val="16"/>
                <w:szCs w:val="16"/>
                <w:b w:val="1"/>
                <w:bCs w:val="1"/>
                <w:color w:val="auto"/>
              </w:rPr>
              <w:t>Interest</w:t>
            </w:r>
          </w:p>
        </w:tc>
        <w:tc>
          <w:tcPr>
            <w:tcW w:w="960" w:type="dxa"/>
            <w:vAlign w:val="bottom"/>
          </w:tcPr>
          <w:p>
            <w:pPr>
              <w:ind w:left="320"/>
              <w:spacing w:after="0"/>
              <w:rPr>
                <w:sz w:val="20"/>
                <w:szCs w:val="20"/>
                <w:color w:val="auto"/>
              </w:rPr>
            </w:pPr>
            <w:r>
              <w:rPr>
                <w:rFonts w:ascii="Arial" w:cs="Arial" w:eastAsia="Arial" w:hAnsi="Arial"/>
                <w:sz w:val="16"/>
                <w:szCs w:val="16"/>
                <w:b w:val="1"/>
                <w:bCs w:val="1"/>
                <w:color w:val="auto"/>
              </w:rPr>
              <w:t>Rate</w:t>
            </w:r>
          </w:p>
        </w:tc>
        <w:tc>
          <w:tcPr>
            <w:tcW w:w="0" w:type="dxa"/>
            <w:vAlign w:val="bottom"/>
          </w:tcPr>
          <w:p>
            <w:pPr>
              <w:spacing w:after="0"/>
              <w:rPr>
                <w:sz w:val="1"/>
                <w:szCs w:val="1"/>
                <w:color w:val="auto"/>
              </w:rPr>
            </w:pPr>
          </w:p>
        </w:tc>
      </w:tr>
      <w:tr>
        <w:trPr>
          <w:trHeight w:val="33"/>
        </w:trPr>
        <w:tc>
          <w:tcPr>
            <w:tcW w:w="4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8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Interest-earning assets: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 xml:space="preserve">Loans, net of unearned income (FTE) </w:t>
            </w:r>
            <w:r>
              <w:rPr>
                <w:rFonts w:ascii="Arial" w:cs="Arial" w:eastAsia="Arial" w:hAnsi="Arial"/>
                <w:sz w:val="21"/>
                <w:szCs w:val="21"/>
                <w:color w:val="auto"/>
                <w:vertAlign w:val="superscript"/>
              </w:rPr>
              <w:t>(1)(2)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8,669,847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119,668</w:t>
            </w:r>
          </w:p>
        </w:tc>
        <w:tc>
          <w:tcPr>
            <w:tcW w:w="120" w:type="dxa"/>
            <w:vAlign w:val="bottom"/>
          </w:tcPr>
          <w:p>
            <w:pPr>
              <w:spacing w:after="0"/>
              <w:rPr>
                <w:sz w:val="23"/>
                <w:szCs w:val="23"/>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w w:val="96"/>
              </w:rPr>
              <w:t>5.54%</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8,177,343</w:t>
            </w:r>
          </w:p>
        </w:tc>
        <w:tc>
          <w:tcPr>
            <w:tcW w:w="12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103,395</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w w:val="92"/>
              </w:rPr>
              <w:t>5.07%</w:t>
            </w:r>
          </w:p>
        </w:tc>
        <w:tc>
          <w:tcPr>
            <w:tcW w:w="0" w:type="dxa"/>
            <w:vAlign w:val="bottom"/>
          </w:tcPr>
          <w:p>
            <w:pPr>
              <w:spacing w:after="0"/>
              <w:rPr>
                <w:sz w:val="1"/>
                <w:szCs w:val="1"/>
                <w:color w:val="auto"/>
              </w:rPr>
            </w:pPr>
          </w:p>
        </w:tc>
      </w:tr>
      <w:tr>
        <w:trPr>
          <w:trHeight w:val="270"/>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xml:space="preserve">Taxable securities </w:t>
            </w:r>
            <w:r>
              <w:rPr>
                <w:rFonts w:ascii="Arial" w:cs="Arial" w:eastAsia="Arial" w:hAnsi="Arial"/>
                <w:sz w:val="21"/>
                <w:szCs w:val="21"/>
                <w:color w:val="auto"/>
                <w:vertAlign w:val="superscript"/>
              </w:rPr>
              <w:t>(3)</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2,506,942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17,954</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2,651,816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17,229</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270"/>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 xml:space="preserve">Tax-exempt securities (FTE) </w:t>
            </w:r>
            <w:r>
              <w:rPr>
                <w:rFonts w:ascii="Arial" w:cs="Arial" w:eastAsia="Arial" w:hAnsi="Arial"/>
                <w:sz w:val="21"/>
                <w:szCs w:val="21"/>
                <w:color w:val="auto"/>
                <w:vertAlign w:val="superscript"/>
              </w:rPr>
              <w:t>(1)(3)</w:t>
            </w: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166,628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1,507</w:t>
            </w:r>
          </w:p>
        </w:tc>
        <w:tc>
          <w:tcPr>
            <w:tcW w:w="120" w:type="dxa"/>
            <w:vAlign w:val="bottom"/>
          </w:tcPr>
          <w:p>
            <w:pPr>
              <w:spacing w:after="0"/>
              <w:rPr>
                <w:sz w:val="23"/>
                <w:szCs w:val="23"/>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3.62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150,503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1,380</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3.67</w:t>
            </w: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Federal funds sold and other interest-earning assets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190,678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212,849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674</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7"/>
        </w:trPr>
        <w:tc>
          <w:tcPr>
            <w:tcW w:w="458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interest-earning assets (FTE)</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11,534,095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139,808</w:t>
            </w:r>
          </w:p>
        </w:tc>
        <w:tc>
          <w:tcPr>
            <w:tcW w:w="120" w:type="dxa"/>
            <w:vAlign w:val="bottom"/>
          </w:tcPr>
          <w:p>
            <w:pPr>
              <w:spacing w:after="0"/>
              <w:rPr>
                <w:sz w:val="18"/>
                <w:szCs w:val="18"/>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9"/>
              </w:rPr>
              <w:t>11,192,511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122,678</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4.39</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Noninterest-earning assets: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Allowance for loan losses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(62,716)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(62,275)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Cash and due from banks</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125,021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133,060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Premises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224,018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218,517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 xml:space="preserve">Other assets </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787,859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731,514</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9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580" w:type="dxa"/>
            <w:vAlign w:val="bottom"/>
            <w:gridSpan w:val="2"/>
            <w:shd w:val="clear" w:color="auto" w:fill="CCEEFF"/>
          </w:tcPr>
          <w:p>
            <w:pPr>
              <w:ind w:left="28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12,608,277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12,213,327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Interest-bearing liabilities: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Interest-bearing deposits: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NOW and interest-bearing demand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2,107,041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3,377</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0.64</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2,071,289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1,303</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0.25</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Money market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2,269,321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4,925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0.87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2,214,077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0.47</w:t>
            </w:r>
          </w:p>
        </w:tc>
        <w:tc>
          <w:tcPr>
            <w:tcW w:w="0" w:type="dxa"/>
            <w:vAlign w:val="bottom"/>
          </w:tcPr>
          <w:p>
            <w:pPr>
              <w:spacing w:after="0"/>
              <w:rPr>
                <w:sz w:val="1"/>
                <w:szCs w:val="1"/>
                <w:color w:val="auto"/>
              </w:rPr>
            </w:pPr>
          </w:p>
        </w:tc>
      </w:tr>
      <w:tr>
        <w:trPr>
          <w:trHeight w:val="237"/>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Savings</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687,753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678,988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Time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1,773,968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6,949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1,524,124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2,696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0.71</w:t>
            </w:r>
          </w:p>
        </w:tc>
        <w:tc>
          <w:tcPr>
            <w:tcW w:w="0" w:type="dxa"/>
            <w:vAlign w:val="bottom"/>
          </w:tcPr>
          <w:p>
            <w:pPr>
              <w:spacing w:after="0"/>
              <w:rPr>
                <w:sz w:val="1"/>
                <w:szCs w:val="1"/>
                <w:color w:val="auto"/>
              </w:rPr>
            </w:pPr>
          </w:p>
        </w:tc>
      </w:tr>
      <w:tr>
        <w:trPr>
          <w:trHeight w:val="237"/>
        </w:trPr>
        <w:tc>
          <w:tcPr>
            <w:tcW w:w="4580" w:type="dxa"/>
            <w:vAlign w:val="bottom"/>
            <w:gridSpan w:val="2"/>
          </w:tcPr>
          <w:p>
            <w:pPr>
              <w:ind w:left="280"/>
              <w:spacing w:after="0"/>
              <w:rPr>
                <w:sz w:val="20"/>
                <w:szCs w:val="20"/>
                <w:color w:val="auto"/>
              </w:rPr>
            </w:pPr>
            <w:r>
              <w:rPr>
                <w:rFonts w:ascii="Arial" w:cs="Arial" w:eastAsia="Arial" w:hAnsi="Arial"/>
                <w:sz w:val="16"/>
                <w:szCs w:val="16"/>
                <w:color w:val="auto"/>
              </w:rPr>
              <w:t>Brokered time deposits</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298,553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1,822</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300,389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1,502</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interest-bearing deposits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7,136,636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17,115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6,788,867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8,119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0.48</w:t>
            </w:r>
          </w:p>
        </w:tc>
        <w:tc>
          <w:tcPr>
            <w:tcW w:w="0" w:type="dxa"/>
            <w:vAlign w:val="bottom"/>
          </w:tcPr>
          <w:p>
            <w:pPr>
              <w:spacing w:after="0"/>
              <w:rPr>
                <w:sz w:val="1"/>
                <w:szCs w:val="1"/>
                <w:color w:val="auto"/>
              </w:rPr>
            </w:pPr>
          </w:p>
        </w:tc>
      </w:tr>
      <w:tr>
        <w:trPr>
          <w:trHeight w:val="217"/>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Federal funds purchased and other borrowings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38,838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8"/>
                <w:szCs w:val="18"/>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45,241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Federal Home Loan Bank advances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117,912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752</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335,521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37"/>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252,351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3,257</w:t>
            </w:r>
          </w:p>
        </w:tc>
        <w:tc>
          <w:tcPr>
            <w:tcW w:w="120" w:type="dxa"/>
            <w:vAlign w:val="bottom"/>
          </w:tcPr>
          <w:p>
            <w:pPr>
              <w:spacing w:after="0"/>
              <w:rPr>
                <w:sz w:val="20"/>
                <w:szCs w:val="20"/>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316,812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3,786</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borrowed funds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409,101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697,574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5,620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7"/>
        </w:trPr>
        <w:tc>
          <w:tcPr>
            <w:tcW w:w="458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interest-bearing liabilities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7,545,737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21,372</w:t>
            </w:r>
          </w:p>
        </w:tc>
        <w:tc>
          <w:tcPr>
            <w:tcW w:w="120" w:type="dxa"/>
            <w:vAlign w:val="bottom"/>
          </w:tcPr>
          <w:p>
            <w:pPr>
              <w:spacing w:after="0"/>
              <w:rPr>
                <w:sz w:val="18"/>
                <w:szCs w:val="18"/>
                <w:color w:val="auto"/>
              </w:rPr>
            </w:pPr>
          </w:p>
        </w:tc>
        <w:tc>
          <w:tcPr>
            <w:tcW w:w="960" w:type="dxa"/>
            <w:vAlign w:val="bottom"/>
          </w:tcPr>
          <w:p>
            <w:pPr>
              <w:ind w:left="500"/>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7,486,441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13,739</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Noninterest-bearing liabilities: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Noninterest-bearing deposits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3,355,930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3,188,847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180"/>
              <w:spacing w:after="0"/>
              <w:rPr>
                <w:sz w:val="20"/>
                <w:szCs w:val="20"/>
                <w:color w:val="auto"/>
              </w:rPr>
            </w:pPr>
            <w:r>
              <w:rPr>
                <w:rFonts w:ascii="Arial" w:cs="Arial" w:eastAsia="Arial" w:hAnsi="Arial"/>
                <w:sz w:val="16"/>
                <w:szCs w:val="16"/>
                <w:color w:val="auto"/>
              </w:rPr>
              <w:t>Other liabilities</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175,806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168,417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11,077,473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10,843,705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Shareholders' equity</w:t>
            </w: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1,530,804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1,369,622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Total liabilities and shareholders' equity</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12,608,277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12,213,327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interest revenue (FTE)</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118,436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108,939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ind w:left="40"/>
              <w:spacing w:after="0"/>
              <w:rPr>
                <w:sz w:val="20"/>
                <w:szCs w:val="20"/>
                <w:color w:val="auto"/>
              </w:rPr>
            </w:pPr>
            <w:r>
              <w:rPr>
                <w:rFonts w:ascii="Arial" w:cs="Arial" w:eastAsia="Arial" w:hAnsi="Arial"/>
                <w:sz w:val="16"/>
                <w:szCs w:val="16"/>
                <w:color w:val="auto"/>
              </w:rPr>
              <w:t>Net interest-rate spread (FTE)</w:t>
            </w: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vMerge w:val="restart"/>
          </w:tcPr>
          <w:p>
            <w:pPr>
              <w:ind w:left="500"/>
              <w:spacing w:after="0"/>
              <w:rPr>
                <w:sz w:val="20"/>
                <w:szCs w:val="20"/>
                <w:color w:val="auto"/>
              </w:rPr>
            </w:pPr>
            <w:r>
              <w:rPr>
                <w:rFonts w:ascii="Arial" w:cs="Arial" w:eastAsia="Arial" w:hAnsi="Arial"/>
                <w:sz w:val="16"/>
                <w:szCs w:val="16"/>
                <w:color w:val="auto"/>
                <w:w w:val="96"/>
              </w:rPr>
              <w:t>3.72%</w:t>
            </w: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restart"/>
          </w:tcPr>
          <w:p>
            <w:pPr>
              <w:ind w:left="520"/>
              <w:spacing w:after="0"/>
              <w:rPr>
                <w:sz w:val="20"/>
                <w:szCs w:val="20"/>
                <w:color w:val="auto"/>
              </w:rPr>
            </w:pPr>
            <w:r>
              <w:rPr>
                <w:rFonts w:ascii="Arial" w:cs="Arial" w:eastAsia="Arial" w:hAnsi="Arial"/>
                <w:sz w:val="16"/>
                <w:szCs w:val="16"/>
                <w:color w:val="auto"/>
                <w:w w:val="92"/>
              </w:rPr>
              <w:t>3.65%</w:t>
            </w:r>
          </w:p>
        </w:tc>
        <w:tc>
          <w:tcPr>
            <w:tcW w:w="0" w:type="dxa"/>
            <w:vAlign w:val="bottom"/>
          </w:tcPr>
          <w:p>
            <w:pPr>
              <w:spacing w:after="0" w:line="20" w:lineRule="exact"/>
              <w:rPr>
                <w:sz w:val="1"/>
                <w:szCs w:val="1"/>
                <w:color w:val="auto"/>
              </w:rPr>
            </w:pPr>
          </w:p>
        </w:tc>
      </w:tr>
      <w:tr>
        <w:trPr>
          <w:trHeight w:val="277"/>
        </w:trPr>
        <w:tc>
          <w:tcPr>
            <w:tcW w:w="4580" w:type="dxa"/>
            <w:vAlign w:val="bottom"/>
            <w:tcBorders>
              <w:bottom w:val="single" w:sz="8" w:color="CCEEFF"/>
            </w:tcBorders>
            <w:gridSpan w:val="2"/>
            <w:vMerge w:val="continue"/>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Net interest margin (FTE) </w:t>
            </w:r>
            <w:r>
              <w:rPr>
                <w:rFonts w:ascii="Arial" w:cs="Arial" w:eastAsia="Arial" w:hAnsi="Arial"/>
                <w:sz w:val="21"/>
                <w:szCs w:val="21"/>
                <w:color w:val="auto"/>
                <w:vertAlign w:val="superscript"/>
              </w:rPr>
              <w:t>(4)</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6"/>
                <w:szCs w:val="16"/>
                <w:color w:val="auto"/>
                <w:w w:val="96"/>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w w:val="92"/>
              </w:rPr>
              <w:t>3.90%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right="300" w:hanging="332"/>
        <w:spacing w:after="0" w:line="250" w:lineRule="auto"/>
        <w:tabs>
          <w:tab w:leader="none" w:pos="340" w:val="left"/>
        </w:tabs>
        <w:numPr>
          <w:ilvl w:val="0"/>
          <w:numId w:val="7"/>
        </w:numPr>
        <w:rPr>
          <w:rFonts w:ascii="Arial" w:cs="Arial" w:eastAsia="Arial" w:hAnsi="Arial"/>
          <w:sz w:val="9"/>
          <w:szCs w:val="9"/>
          <w:color w:val="auto"/>
        </w:rPr>
      </w:pPr>
      <w:r>
        <w:rPr>
          <w:rFonts w:ascii="Arial" w:cs="Arial" w:eastAsia="Arial" w:hAnsi="Arial"/>
          <w:sz w:val="14"/>
          <w:szCs w:val="14"/>
          <w:color w:val="auto"/>
        </w:rPr>
        <w:t>Interest revenue on tax-exempt securities and loans has been increased to reflect comparable interest on taxable securities and loans. The rate used was 26%, reflecting the statutory federal income tax rate and the federal tax adjusted state income tax rate.</w:t>
      </w:r>
    </w:p>
    <w:p>
      <w:pPr>
        <w:ind w:left="340" w:hanging="332"/>
        <w:spacing w:after="0"/>
        <w:tabs>
          <w:tab w:leader="none" w:pos="340" w:val="left"/>
        </w:tabs>
        <w:numPr>
          <w:ilvl w:val="0"/>
          <w:numId w:val="7"/>
        </w:numPr>
        <w:rPr>
          <w:rFonts w:ascii="Arial" w:cs="Arial" w:eastAsia="Arial" w:hAnsi="Arial"/>
          <w:sz w:val="9"/>
          <w:szCs w:val="9"/>
          <w:color w:val="auto"/>
        </w:rPr>
      </w:pPr>
      <w:r>
        <w:rPr>
          <w:rFonts w:ascii="Arial" w:cs="Arial" w:eastAsia="Arial" w:hAnsi="Arial"/>
          <w:sz w:val="14"/>
          <w:szCs w:val="14"/>
          <w:color w:val="auto"/>
        </w:rPr>
        <w:t>Included in the average balance of loans outstanding are loans on which the accrual of interest has been discontinued and loans that are held for sale.</w:t>
      </w:r>
    </w:p>
    <w:p>
      <w:pPr>
        <w:spacing w:after="0" w:line="1" w:lineRule="exact"/>
        <w:rPr>
          <w:rFonts w:ascii="Arial" w:cs="Arial" w:eastAsia="Arial" w:hAnsi="Arial"/>
          <w:sz w:val="9"/>
          <w:szCs w:val="9"/>
          <w:color w:val="auto"/>
        </w:rPr>
      </w:pPr>
    </w:p>
    <w:p>
      <w:pPr>
        <w:ind w:left="340" w:right="500" w:hanging="332"/>
        <w:spacing w:after="0" w:line="241" w:lineRule="auto"/>
        <w:tabs>
          <w:tab w:leader="none" w:pos="340" w:val="left"/>
        </w:tabs>
        <w:numPr>
          <w:ilvl w:val="0"/>
          <w:numId w:val="7"/>
        </w:numPr>
        <w:rPr>
          <w:rFonts w:ascii="Arial" w:cs="Arial" w:eastAsia="Arial" w:hAnsi="Arial"/>
          <w:sz w:val="9"/>
          <w:szCs w:val="9"/>
          <w:color w:val="auto"/>
        </w:rPr>
      </w:pPr>
      <w:r>
        <w:rPr>
          <w:rFonts w:ascii="Arial" w:cs="Arial" w:eastAsia="Arial" w:hAnsi="Arial"/>
          <w:sz w:val="14"/>
          <w:szCs w:val="14"/>
          <w:color w:val="auto"/>
        </w:rPr>
        <w:t>Securities available for sale are shown at amortized cost. Pretax unrealized gains of $5.00 million in 2019 and unrealized losses of $42.9 million in 2018 are included in other assets for purposes of this presentation.</w:t>
      </w:r>
    </w:p>
    <w:p>
      <w:pPr>
        <w:ind w:left="340" w:hanging="332"/>
        <w:spacing w:after="0"/>
        <w:tabs>
          <w:tab w:leader="none" w:pos="340" w:val="left"/>
        </w:tabs>
        <w:numPr>
          <w:ilvl w:val="0"/>
          <w:numId w:val="7"/>
        </w:numPr>
        <w:rPr>
          <w:rFonts w:ascii="Arial" w:cs="Arial" w:eastAsia="Arial" w:hAnsi="Arial"/>
          <w:sz w:val="9"/>
          <w:szCs w:val="9"/>
          <w:color w:val="auto"/>
        </w:rPr>
      </w:pPr>
      <w:r>
        <w:rPr>
          <w:rFonts w:ascii="Arial" w:cs="Arial" w:eastAsia="Arial" w:hAnsi="Arial"/>
          <w:sz w:val="14"/>
          <w:szCs w:val="14"/>
          <w:color w:val="auto"/>
        </w:rPr>
        <w:t>Net interest margin is taxable equivalent net interest revenue divided by average interest-earning assets.</w:t>
      </w:r>
    </w:p>
    <w:p>
      <w:pPr>
        <w:sectPr>
          <w:pgSz w:w="11900" w:h="16838" w:orient="portrait"/>
          <w:cols w:equalWidth="0" w:num="1">
            <w:col w:w="11420"/>
          </w:cols>
          <w:pgMar w:left="240" w:top="742" w:right="2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742" w:right="239" w:bottom="1440" w:gutter="0" w:footer="0" w:header="0"/>
          <w:type w:val="continuous"/>
        </w:sectPr>
      </w:pPr>
    </w:p>
    <w:bookmarkStart w:id="54" w:name="page55"/>
    <w:bookmarkEnd w:id="54"/>
    <w:p>
      <w:pPr>
        <w:ind w:left="40"/>
        <w:spacing w:after="0"/>
        <w:rPr>
          <w:sz w:val="20"/>
          <w:szCs w:val="20"/>
          <w:color w:val="auto"/>
        </w:rPr>
      </w:pPr>
      <w:r>
        <w:rPr>
          <w:rFonts w:ascii="Arial" w:cs="Arial" w:eastAsia="Arial" w:hAnsi="Arial"/>
          <w:sz w:val="18"/>
          <w:szCs w:val="18"/>
          <w:b w:val="1"/>
          <w:bCs w:val="1"/>
          <w:color w:val="auto"/>
        </w:rPr>
        <w:t>Table 3 - Average Consolidated Balance Sheets and Net Interest Analysis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210"/>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i w:val="1"/>
                <w:iCs w:val="1"/>
                <w:color w:val="auto"/>
              </w:rPr>
              <w:t>(dollars in thousands, fully taxable equivalent (FTE))</w:t>
            </w: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Interest</w:t>
            </w:r>
          </w:p>
        </w:tc>
        <w:tc>
          <w:tcPr>
            <w:tcW w:w="960" w:type="dxa"/>
            <w:vAlign w:val="bottom"/>
          </w:tcPr>
          <w:p>
            <w:pPr>
              <w:ind w:left="320"/>
              <w:spacing w:after="0"/>
              <w:rPr>
                <w:sz w:val="20"/>
                <w:szCs w:val="20"/>
                <w:color w:val="auto"/>
              </w:rPr>
            </w:pPr>
            <w:r>
              <w:rPr>
                <w:rFonts w:ascii="Arial" w:cs="Arial" w:eastAsia="Arial" w:hAnsi="Arial"/>
                <w:sz w:val="16"/>
                <w:szCs w:val="16"/>
                <w:b w:val="1"/>
                <w:bCs w:val="1"/>
                <w:color w:val="auto"/>
              </w:rPr>
              <w:t>Rate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Interest</w:t>
            </w:r>
          </w:p>
        </w:tc>
        <w:tc>
          <w:tcPr>
            <w:tcW w:w="960" w:type="dxa"/>
            <w:vAlign w:val="bottom"/>
          </w:tcPr>
          <w:p>
            <w:pPr>
              <w:ind w:left="320"/>
              <w:spacing w:after="0"/>
              <w:rPr>
                <w:sz w:val="20"/>
                <w:szCs w:val="20"/>
                <w:color w:val="auto"/>
              </w:rPr>
            </w:pPr>
            <w:r>
              <w:rPr>
                <w:rFonts w:ascii="Arial" w:cs="Arial" w:eastAsia="Arial" w:hAnsi="Arial"/>
                <w:sz w:val="16"/>
                <w:szCs w:val="16"/>
                <w:b w:val="1"/>
                <w:bCs w:val="1"/>
                <w:color w:val="auto"/>
              </w:rPr>
              <w:t>Rate</w:t>
            </w:r>
          </w:p>
        </w:tc>
        <w:tc>
          <w:tcPr>
            <w:tcW w:w="0" w:type="dxa"/>
            <w:vAlign w:val="bottom"/>
          </w:tcPr>
          <w:p>
            <w:pPr>
              <w:spacing w:after="0"/>
              <w:rPr>
                <w:sz w:val="1"/>
                <w:szCs w:val="1"/>
                <w:color w:val="auto"/>
              </w:rPr>
            </w:pPr>
          </w:p>
        </w:tc>
      </w:tr>
      <w:tr>
        <w:trPr>
          <w:trHeight w:val="33"/>
        </w:trPr>
        <w:tc>
          <w:tcPr>
            <w:tcW w:w="4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Interest-earning assets: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 xml:space="preserve">Loans, net of unearned income (FTE) </w:t>
            </w:r>
            <w:r>
              <w:rPr>
                <w:rFonts w:ascii="Arial" w:cs="Arial" w:eastAsia="Arial" w:hAnsi="Arial"/>
                <w:sz w:val="21"/>
                <w:szCs w:val="21"/>
                <w:color w:val="auto"/>
                <w:vertAlign w:val="superscript"/>
              </w:rPr>
              <w:t>(1)(2)</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8,550,574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235,015</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w w:val="92"/>
              </w:rPr>
              <w:t>5.54%</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8,085,849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199,784</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w w:val="92"/>
              </w:rPr>
              <w:t>4.98%</w:t>
            </w:r>
          </w:p>
        </w:tc>
        <w:tc>
          <w:tcPr>
            <w:tcW w:w="0" w:type="dxa"/>
            <w:vAlign w:val="bottom"/>
          </w:tcPr>
          <w:p>
            <w:pPr>
              <w:spacing w:after="0"/>
              <w:rPr>
                <w:sz w:val="1"/>
                <w:szCs w:val="1"/>
                <w:color w:val="auto"/>
              </w:rPr>
            </w:pPr>
          </w:p>
        </w:tc>
      </w:tr>
      <w:tr>
        <w:trPr>
          <w:trHeight w:val="270"/>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xml:space="preserve">Taxable securities </w:t>
            </w:r>
            <w:r>
              <w:rPr>
                <w:rFonts w:ascii="Arial" w:cs="Arial" w:eastAsia="Arial" w:hAnsi="Arial"/>
                <w:sz w:val="21"/>
                <w:szCs w:val="21"/>
                <w:color w:val="auto"/>
                <w:vertAlign w:val="superscript"/>
              </w:rPr>
              <w:t>(3)</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2,609,400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37,603</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2,687,200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34,552</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70"/>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 xml:space="preserve">Tax-exempt securities (FTE) </w:t>
            </w:r>
            <w:r>
              <w:rPr>
                <w:rFonts w:ascii="Arial" w:cs="Arial" w:eastAsia="Arial" w:hAnsi="Arial"/>
                <w:sz w:val="21"/>
                <w:szCs w:val="21"/>
                <w:color w:val="auto"/>
                <w:vertAlign w:val="superscript"/>
              </w:rPr>
              <w:t>(1)(3)</w:t>
            </w:r>
          </w:p>
        </w:tc>
        <w:tc>
          <w:tcPr>
            <w:tcW w:w="18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168,156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3,077</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3.66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148,528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2,689</w:t>
            </w:r>
          </w:p>
        </w:tc>
        <w:tc>
          <w:tcPr>
            <w:tcW w:w="100" w:type="dxa"/>
            <w:vAlign w:val="bottom"/>
          </w:tcPr>
          <w:p>
            <w:pPr>
              <w:spacing w:after="0"/>
              <w:rPr>
                <w:sz w:val="23"/>
                <w:szCs w:val="23"/>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Federal funds sold and other interest-earning assets</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188,165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1,297</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212,951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1,372</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7"/>
        </w:trPr>
        <w:tc>
          <w:tcPr>
            <w:tcW w:w="470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interest-earning assets (FTE)</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11,516,295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276,992</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11,134,528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238,397</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Non-interest-earning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Allowance for loan losses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(60,718)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Cash and due from banks</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124,414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146,697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Premises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220,335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217,625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 xml:space="preserve">Other assets </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759,899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724,488</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9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700" w:type="dxa"/>
            <w:vAlign w:val="bottom"/>
            <w:gridSpan w:val="2"/>
            <w:shd w:val="clear" w:color="auto" w:fill="CCEEFF"/>
          </w:tcPr>
          <w:p>
            <w:pPr>
              <w:ind w:left="28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12,558,690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12,162,620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Interest-bearing liabilities: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Interest-bearing deposits: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NOW and interest-bearing demand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2,157,648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6,913</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0.65</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2,077,461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2,416</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Money market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2,222,846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9,130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2,222,304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4,758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Savings</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680,018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667,431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Time</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1,701,181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12,285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1,529,639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4,937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237"/>
        </w:trPr>
        <w:tc>
          <w:tcPr>
            <w:tcW w:w="4700" w:type="dxa"/>
            <w:vAlign w:val="bottom"/>
            <w:gridSpan w:val="2"/>
          </w:tcPr>
          <w:p>
            <w:pPr>
              <w:ind w:left="280"/>
              <w:spacing w:after="0"/>
              <w:rPr>
                <w:sz w:val="20"/>
                <w:szCs w:val="20"/>
                <w:color w:val="auto"/>
              </w:rPr>
            </w:pPr>
            <w:r>
              <w:rPr>
                <w:rFonts w:ascii="Arial" w:cs="Arial" w:eastAsia="Arial" w:hAnsi="Arial"/>
                <w:sz w:val="16"/>
                <w:szCs w:val="16"/>
                <w:color w:val="auto"/>
              </w:rPr>
              <w:t>Brokered time deposits</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389,794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4,670</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229,766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2,217</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interest-bearing deposits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7,151,487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33,072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6,726,601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14,412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21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Federal funds purchased and other borrowings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30,241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2.73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61,894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Federal Home Loan Bank advances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170,636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423,137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3,760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257,134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6,599</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295,763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7,074</w:t>
            </w:r>
          </w:p>
        </w:tc>
        <w:tc>
          <w:tcPr>
            <w:tcW w:w="100" w:type="dxa"/>
            <w:vAlign w:val="bottom"/>
          </w:tcPr>
          <w:p>
            <w:pPr>
              <w:spacing w:after="0"/>
              <w:rPr>
                <w:sz w:val="20"/>
                <w:szCs w:val="20"/>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borrowed funds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458,011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9,182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780,794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11,332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17"/>
        </w:trPr>
        <w:tc>
          <w:tcPr>
            <w:tcW w:w="470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 interest-bearing 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7,609,498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42,254</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7,507,395</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25,744</w:t>
            </w:r>
          </w:p>
        </w:tc>
        <w:tc>
          <w:tcPr>
            <w:tcW w:w="100" w:type="dxa"/>
            <w:vAlign w:val="bottom"/>
          </w:tcPr>
          <w:p>
            <w:pPr>
              <w:spacing w:after="0"/>
              <w:rPr>
                <w:sz w:val="18"/>
                <w:szCs w:val="18"/>
                <w:color w:val="auto"/>
              </w:rPr>
            </w:pPr>
          </w:p>
        </w:tc>
        <w:tc>
          <w:tcPr>
            <w:tcW w:w="960" w:type="dxa"/>
            <w:vAlign w:val="bottom"/>
          </w:tcPr>
          <w:p>
            <w:pPr>
              <w:ind w:left="520"/>
              <w:spacing w:after="0"/>
              <w:rPr>
                <w:sz w:val="20"/>
                <w:szCs w:val="20"/>
                <w:color w:val="auto"/>
              </w:rPr>
            </w:pPr>
            <w:r>
              <w:rPr>
                <w:rFonts w:ascii="Arial" w:cs="Arial" w:eastAsia="Arial" w:hAnsi="Arial"/>
                <w:sz w:val="16"/>
                <w:szCs w:val="16"/>
                <w:color w:val="auto"/>
              </w:rPr>
              <w:t>0.69</w:t>
            </w: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Noninterest-bearing liabilities: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Noninterest-bearing deposits</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3,275,612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3,142,384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180"/>
              <w:spacing w:after="0"/>
              <w:rPr>
                <w:sz w:val="20"/>
                <w:szCs w:val="20"/>
                <w:color w:val="auto"/>
              </w:rPr>
            </w:pPr>
            <w:r>
              <w:rPr>
                <w:rFonts w:ascii="Arial" w:cs="Arial" w:eastAsia="Arial" w:hAnsi="Arial"/>
                <w:sz w:val="16"/>
                <w:szCs w:val="16"/>
                <w:color w:val="auto"/>
              </w:rPr>
              <w:t>Other liabilities</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169,048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159,734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11,054,158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9"/>
              </w:rPr>
              <w:t>10,809,513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Shareholders' equity</w:t>
            </w: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1,504,532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1,353,107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Total liabilities and shareholders' equity</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12,558,690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12,162,620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Net interest revenue (FTE)</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234,738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212,653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ind w:left="40"/>
              <w:spacing w:after="0"/>
              <w:rPr>
                <w:sz w:val="20"/>
                <w:szCs w:val="20"/>
                <w:color w:val="auto"/>
              </w:rPr>
            </w:pPr>
            <w:r>
              <w:rPr>
                <w:rFonts w:ascii="Arial" w:cs="Arial" w:eastAsia="Arial" w:hAnsi="Arial"/>
                <w:sz w:val="16"/>
                <w:szCs w:val="16"/>
                <w:color w:val="auto"/>
              </w:rPr>
              <w:t>Net interest-rate spread (FTE)</w:t>
            </w: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restart"/>
          </w:tcPr>
          <w:p>
            <w:pPr>
              <w:ind w:left="520"/>
              <w:spacing w:after="0"/>
              <w:rPr>
                <w:sz w:val="20"/>
                <w:szCs w:val="20"/>
                <w:color w:val="auto"/>
              </w:rPr>
            </w:pPr>
            <w:r>
              <w:rPr>
                <w:rFonts w:ascii="Arial" w:cs="Arial" w:eastAsia="Arial" w:hAnsi="Arial"/>
                <w:sz w:val="16"/>
                <w:szCs w:val="16"/>
                <w:color w:val="auto"/>
                <w:w w:val="92"/>
              </w:rPr>
              <w:t>3.72%</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vMerge w:val="restart"/>
          </w:tcPr>
          <w:p>
            <w:pPr>
              <w:ind w:left="520"/>
              <w:spacing w:after="0"/>
              <w:rPr>
                <w:sz w:val="20"/>
                <w:szCs w:val="20"/>
                <w:color w:val="auto"/>
              </w:rPr>
            </w:pPr>
            <w:r>
              <w:rPr>
                <w:rFonts w:ascii="Arial" w:cs="Arial" w:eastAsia="Arial" w:hAnsi="Arial"/>
                <w:sz w:val="16"/>
                <w:szCs w:val="16"/>
                <w:color w:val="auto"/>
                <w:w w:val="92"/>
              </w:rPr>
              <w:t>3.62%</w:t>
            </w:r>
          </w:p>
        </w:tc>
        <w:tc>
          <w:tcPr>
            <w:tcW w:w="0" w:type="dxa"/>
            <w:vAlign w:val="bottom"/>
          </w:tcPr>
          <w:p>
            <w:pPr>
              <w:spacing w:after="0" w:line="20" w:lineRule="exact"/>
              <w:rPr>
                <w:sz w:val="1"/>
                <w:szCs w:val="1"/>
                <w:color w:val="auto"/>
              </w:rPr>
            </w:pPr>
          </w:p>
        </w:tc>
      </w:tr>
      <w:tr>
        <w:trPr>
          <w:trHeight w:val="277"/>
        </w:trPr>
        <w:tc>
          <w:tcPr>
            <w:tcW w:w="4700" w:type="dxa"/>
            <w:vAlign w:val="bottom"/>
            <w:tcBorders>
              <w:bottom w:val="single" w:sz="8" w:color="CCEEFF"/>
            </w:tcBorders>
            <w:gridSpan w:val="2"/>
            <w:vMerge w:val="continue"/>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Net interest margin (FTE) </w:t>
            </w:r>
            <w:r>
              <w:rPr>
                <w:rFonts w:ascii="Arial" w:cs="Arial" w:eastAsia="Arial" w:hAnsi="Arial"/>
                <w:sz w:val="21"/>
                <w:szCs w:val="21"/>
                <w:color w:val="auto"/>
                <w:vertAlign w:val="superscript"/>
              </w:rPr>
              <w:t>(4)</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w w:val="92"/>
              </w:rPr>
              <w:t>4.11%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6"/>
                <w:szCs w:val="16"/>
                <w:color w:val="auto"/>
                <w:w w:val="92"/>
              </w:rPr>
              <w:t>3.85%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180" w:right="440" w:hanging="172"/>
        <w:spacing w:after="0" w:line="250" w:lineRule="auto"/>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Interest revenue on tax-exempt securities and loans has been increased to reflect comparable interest on taxable securities and loans. The rate used was 26%, reflecting the statutory federal income tax rate and the federal tax adjusted state income tax rate.</w:t>
      </w:r>
    </w:p>
    <w:p>
      <w:pPr>
        <w:ind w:left="180" w:hanging="172"/>
        <w:spacing w:after="0"/>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Included in the average balance of loans outstanding are loans on which the accrual of interest has been discontinued and loans that are held for sale.</w:t>
      </w:r>
    </w:p>
    <w:p>
      <w:pPr>
        <w:spacing w:after="0" w:line="1" w:lineRule="exact"/>
        <w:rPr>
          <w:rFonts w:ascii="Arial" w:cs="Arial" w:eastAsia="Arial" w:hAnsi="Arial"/>
          <w:sz w:val="9"/>
          <w:szCs w:val="9"/>
          <w:color w:val="auto"/>
        </w:rPr>
      </w:pPr>
    </w:p>
    <w:p>
      <w:pPr>
        <w:ind w:left="180" w:right="200" w:hanging="172"/>
        <w:spacing w:after="0" w:line="241" w:lineRule="auto"/>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Securities available for sale are shown at amortized cost. Pretax unrealized losses of $10.4 million and $35.6 million in 2019 and 2018, respectively, are included in other assets for purposes of this presentation.</w:t>
      </w:r>
    </w:p>
    <w:p>
      <w:pPr>
        <w:ind w:left="180" w:hanging="172"/>
        <w:spacing w:after="0"/>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Net interest margin is taxable equivalent net-interest revenue divided by average interest-earning assets.</w:t>
      </w:r>
    </w:p>
    <w:p>
      <w:pPr>
        <w:sectPr>
          <w:pgSz w:w="11900" w:h="16838" w:orient="portrait"/>
          <w:cols w:equalWidth="0" w:num="1">
            <w:col w:w="11420"/>
          </w:cols>
          <w:pgMar w:left="240" w:top="742" w:right="2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742" w:right="239" w:bottom="1440" w:gutter="0" w:footer="0" w:header="0"/>
          <w:type w:val="continuous"/>
        </w:sectPr>
      </w:pPr>
    </w:p>
    <w:bookmarkStart w:id="55" w:name="page56"/>
    <w:bookmarkEnd w:id="55"/>
    <w:p>
      <w:pPr>
        <w:jc w:val="both"/>
        <w:spacing w:after="0" w:line="264"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339" w:lineRule="exact"/>
        <w:rPr>
          <w:sz w:val="20"/>
          <w:szCs w:val="20"/>
          <w:color w:val="auto"/>
        </w:rPr>
      </w:pPr>
    </w:p>
    <w:p>
      <w:pPr>
        <w:ind w:left="40" w:right="5180"/>
        <w:spacing w:after="0" w:line="344" w:lineRule="auto"/>
        <w:rPr>
          <w:sz w:val="20"/>
          <w:szCs w:val="20"/>
          <w:color w:val="auto"/>
        </w:rPr>
      </w:pPr>
      <w:r>
        <w:rPr>
          <w:rFonts w:ascii="Arial" w:cs="Arial" w:eastAsia="Arial" w:hAnsi="Arial"/>
          <w:sz w:val="18"/>
          <w:szCs w:val="18"/>
          <w:b w:val="1"/>
          <w:bCs w:val="1"/>
          <w:color w:val="auto"/>
        </w:rPr>
        <w:t xml:space="preserve">Table 4 - Change in Interest Revenue and Expense on a Taxable Equivalent Basis </w:t>
      </w: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700" w:type="dxa"/>
            <w:vAlign w:val="bottom"/>
            <w:gridSpan w:val="7"/>
          </w:tcPr>
          <w:p>
            <w:pPr>
              <w:jc w:val="center"/>
              <w:ind w:right="200"/>
              <w:spacing w:after="0"/>
              <w:rPr>
                <w:sz w:val="20"/>
                <w:szCs w:val="20"/>
                <w:color w:val="auto"/>
              </w:rPr>
            </w:pPr>
            <w:r>
              <w:rPr>
                <w:rFonts w:ascii="Arial" w:cs="Arial" w:eastAsia="Arial" w:hAnsi="Arial"/>
                <w:sz w:val="16"/>
                <w:szCs w:val="16"/>
                <w:b w:val="1"/>
                <w:bCs w:val="1"/>
                <w:color w:val="auto"/>
                <w:w w:val="92"/>
              </w:rPr>
              <w:t>Three Months Ended</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Six Months Ended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0"/>
              </w:rPr>
              <w:t>June 30, 2019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June 30, 2019</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Compared to 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920" w:type="dxa"/>
            <w:vAlign w:val="bottom"/>
            <w:gridSpan w:val="9"/>
          </w:tcPr>
          <w:p>
            <w:pPr>
              <w:jc w:val="right"/>
              <w:ind w:right="179"/>
              <w:spacing w:after="0"/>
              <w:rPr>
                <w:sz w:val="20"/>
                <w:szCs w:val="20"/>
                <w:color w:val="auto"/>
              </w:rPr>
            </w:pPr>
            <w:r>
              <w:rPr>
                <w:rFonts w:ascii="Arial" w:cs="Arial" w:eastAsia="Arial" w:hAnsi="Arial"/>
                <w:sz w:val="16"/>
                <w:szCs w:val="16"/>
                <w:b w:val="1"/>
                <w:bCs w:val="1"/>
                <w:color w:val="auto"/>
                <w:w w:val="89"/>
              </w:rPr>
              <w:t>Increase (Decrease) Due to Changes in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b w:val="1"/>
                <w:bCs w:val="1"/>
                <w:color w:val="auto"/>
              </w:rPr>
              <w:t>Volume</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2"/>
              </w:rPr>
              <w:t>Rate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20"/>
                <w:szCs w:val="20"/>
                <w:color w:val="auto"/>
              </w:rPr>
            </w:pPr>
          </w:p>
        </w:tc>
        <w:tc>
          <w:tcPr>
            <w:tcW w:w="920" w:type="dxa"/>
            <w:vAlign w:val="bottom"/>
          </w:tcPr>
          <w:p>
            <w:pPr>
              <w:jc w:val="right"/>
              <w:ind w:right="219"/>
              <w:spacing w:after="0"/>
              <w:rPr>
                <w:sz w:val="20"/>
                <w:szCs w:val="20"/>
                <w:color w:val="auto"/>
              </w:rPr>
            </w:pPr>
            <w:r>
              <w:rPr>
                <w:rFonts w:ascii="Arial" w:cs="Arial" w:eastAsia="Arial" w:hAnsi="Arial"/>
                <w:sz w:val="16"/>
                <w:szCs w:val="16"/>
                <w:b w:val="1"/>
                <w:bCs w:val="1"/>
                <w:color w:val="auto"/>
              </w:rPr>
              <w:t>Volume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Rate</w:t>
            </w:r>
          </w:p>
        </w:tc>
        <w:tc>
          <w:tcPr>
            <w:tcW w:w="240" w:type="dxa"/>
            <w:vAlign w:val="bottom"/>
          </w:tcPr>
          <w:p>
            <w:pPr>
              <w:spacing w:after="0"/>
              <w:rPr>
                <w:sz w:val="20"/>
                <w:szCs w:val="20"/>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0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Interest-earning assets:</w:t>
            </w: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Loans (FTE)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6,454</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9,819</w:t>
            </w:r>
          </w:p>
        </w:tc>
        <w:tc>
          <w:tcPr>
            <w:tcW w:w="4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11,919</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23,312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35,231</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Taxable securities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1,700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4,075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3,051</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Tax-exempt securities (FTE)</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Federal funds sold and other interest-earning assets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Total interest-earning assets (FTE)</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11,579</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11,087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27,508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38,595</w:t>
            </w:r>
          </w:p>
        </w:tc>
        <w:tc>
          <w:tcPr>
            <w:tcW w:w="0" w:type="dxa"/>
            <w:vAlign w:val="bottom"/>
          </w:tcPr>
          <w:p>
            <w:pPr>
              <w:spacing w:after="0"/>
              <w:rPr>
                <w:sz w:val="1"/>
                <w:szCs w:val="1"/>
                <w:color w:val="auto"/>
              </w:rPr>
            </w:pPr>
          </w:p>
        </w:tc>
      </w:tr>
      <w:tr>
        <w:trPr>
          <w:trHeight w:val="264"/>
        </w:trPr>
        <w:tc>
          <w:tcPr>
            <w:tcW w:w="40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Interest-bearing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NOW and interest-bearing demand accounts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2,051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4,400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4,497</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Money market accounts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4,372</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Savings deposits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Time deposits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7,348</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Brokered deposits</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2,453</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interest-bearing deposits</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8,410</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18,660</w:t>
            </w:r>
          </w:p>
        </w:tc>
        <w:tc>
          <w:tcPr>
            <w:tcW w:w="0" w:type="dxa"/>
            <w:vAlign w:val="bottom"/>
          </w:tcPr>
          <w:p>
            <w:pPr>
              <w:spacing w:after="0"/>
              <w:rPr>
                <w:sz w:val="1"/>
                <w:szCs w:val="1"/>
                <w:color w:val="auto"/>
              </w:rPr>
            </w:pPr>
          </w:p>
        </w:tc>
      </w:tr>
      <w:tr>
        <w:trPr>
          <w:trHeight w:val="231"/>
        </w:trPr>
        <w:tc>
          <w:tcPr>
            <w:tcW w:w="4020" w:type="dxa"/>
            <w:vAlign w:val="bottom"/>
          </w:tcPr>
          <w:p>
            <w:pPr>
              <w:ind w:left="40"/>
              <w:spacing w:after="0"/>
              <w:rPr>
                <w:sz w:val="20"/>
                <w:szCs w:val="20"/>
                <w:color w:val="auto"/>
              </w:rPr>
            </w:pPr>
            <w:r>
              <w:rPr>
                <w:rFonts w:ascii="Arial" w:cs="Arial" w:eastAsia="Arial" w:hAnsi="Arial"/>
                <w:sz w:val="16"/>
                <w:szCs w:val="16"/>
                <w:color w:val="auto"/>
              </w:rPr>
              <w:t>Federal funds purchased &amp; other borrowings</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(329)</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Federal Home Loan Bank advances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(1,283)</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(1,586)</w:t>
            </w:r>
          </w:p>
        </w:tc>
        <w:tc>
          <w:tcPr>
            <w:tcW w:w="0" w:type="dxa"/>
            <w:vAlign w:val="bottom"/>
          </w:tcPr>
          <w:p>
            <w:pPr>
              <w:spacing w:after="0"/>
              <w:rPr>
                <w:sz w:val="1"/>
                <w:szCs w:val="1"/>
                <w:color w:val="auto"/>
              </w:rPr>
            </w:pPr>
          </w:p>
        </w:tc>
      </w:tr>
      <w:tr>
        <w:trPr>
          <w:trHeight w:val="237"/>
        </w:trPr>
        <w:tc>
          <w:tcPr>
            <w:tcW w:w="402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286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borrowed funds</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(4,103)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0" w:type="dxa"/>
            <w:vAlign w:val="bottom"/>
          </w:tcPr>
          <w:p>
            <w:pPr>
              <w:spacing w:after="0"/>
              <w:rPr>
                <w:sz w:val="1"/>
                <w:szCs w:val="1"/>
                <w:color w:val="auto"/>
              </w:rPr>
            </w:pPr>
          </w:p>
        </w:tc>
      </w:tr>
      <w:tr>
        <w:trPr>
          <w:trHeight w:val="231"/>
        </w:trPr>
        <w:tc>
          <w:tcPr>
            <w:tcW w:w="4020" w:type="dxa"/>
            <w:vAlign w:val="bottom"/>
          </w:tcPr>
          <w:p>
            <w:pPr>
              <w:ind w:left="280"/>
              <w:spacing w:after="0"/>
              <w:rPr>
                <w:sz w:val="20"/>
                <w:szCs w:val="20"/>
                <w:color w:val="auto"/>
              </w:rPr>
            </w:pPr>
            <w:r>
              <w:rPr>
                <w:rFonts w:ascii="Arial" w:cs="Arial" w:eastAsia="Arial" w:hAnsi="Arial"/>
                <w:sz w:val="16"/>
                <w:szCs w:val="16"/>
                <w:b w:val="1"/>
                <w:bCs w:val="1"/>
                <w:color w:val="auto"/>
              </w:rPr>
              <w:t>Total interest-bearing liabilities</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(1,543)</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9,176</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7,633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(1,571)</w:t>
            </w: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18,081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16,510</w:t>
            </w:r>
          </w:p>
        </w:tc>
        <w:tc>
          <w:tcPr>
            <w:tcW w:w="0" w:type="dxa"/>
            <w:vAlign w:val="bottom"/>
          </w:tcPr>
          <w:p>
            <w:pPr>
              <w:spacing w:after="0"/>
              <w:rPr>
                <w:sz w:val="1"/>
                <w:szCs w:val="1"/>
                <w:color w:val="auto"/>
              </w:rPr>
            </w:pPr>
          </w:p>
        </w:tc>
      </w:tr>
      <w:tr>
        <w:trPr>
          <w:trHeight w:val="33"/>
        </w:trPr>
        <w:tc>
          <w:tcPr>
            <w:tcW w:w="40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20" w:type="dxa"/>
            <w:vAlign w:val="bottom"/>
          </w:tcPr>
          <w:p>
            <w:pPr>
              <w:ind w:left="380"/>
              <w:spacing w:after="0"/>
              <w:rPr>
                <w:sz w:val="20"/>
                <w:szCs w:val="20"/>
                <w:color w:val="auto"/>
              </w:rPr>
            </w:pPr>
            <w:r>
              <w:rPr>
                <w:rFonts w:ascii="Arial" w:cs="Arial" w:eastAsia="Arial" w:hAnsi="Arial"/>
                <w:sz w:val="16"/>
                <w:szCs w:val="16"/>
                <w:b w:val="1"/>
                <w:bCs w:val="1"/>
                <w:color w:val="auto"/>
              </w:rPr>
              <w:t>Increase in net interest revenue (FTE)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7,094</w:t>
            </w: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2,403</w:t>
            </w:r>
          </w:p>
        </w:tc>
        <w:tc>
          <w:tcPr>
            <w:tcW w:w="4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9,497</w:t>
            </w:r>
          </w:p>
        </w:tc>
        <w:tc>
          <w:tcPr>
            <w:tcW w:w="1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12,658</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9,427</w:t>
            </w:r>
          </w:p>
        </w:tc>
        <w:tc>
          <w:tcPr>
            <w:tcW w:w="10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22,085</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provision for credit losses is based on management’s evaluation of probable incurred losses in the loan portfolio and unfunded loan commitments and corresponding analysis of the allowance for credit losses at quarter-end. The provision for credit losses was $3.25 million and $6.55 million, respectively, for the three and six months ended June 30, 2019, compared to $1.80 million and $5.60 million, respectively, for the same periods in 2018. For the six months ended June 30, 2019, net loan charge-offs as an annualized percentage of average outstanding loans were 0.13% compared to 0.07% for the same period in 2018. The amount of provision recorded in each period was the amount required such that the total allowance for loan losses reflected the appropriate balance, in the estimation of management, sufficient to cover incurred losses in the loan portfolio. In accordance with the accounting guidance for business combinations, there was no allowance for loan losses brought forward on loans acquired from FMBT on May 1, 2019. The increase in provision expense for the second quarter and first half of 2019 compared to the same periods of 2018 was primarily as a result of loan growth and increased charge-offs. The increase in charge-offs was partly attributable to incorporating equipment financing loans acquired in the Navitas transaction into the loan portfolio for the full first half of 2019. Charge-offs from equipment financing loans totaled $1.01 million and $2.43 million for the second quarter and first half of 2019, which was in line with management’s expectations for this now-seasoned product line of higher yielding loans.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allowance for unfunded commitments represents probable incurred losses on unfunded loan commitments that are expected to result in outstanding loan balances. The allowance for unfunded loan commitments was established through the provision for credit losses.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discussion on credit quality and the allowance for loan losses is included in the “Asset Quality and Risk Elements” discussion elsewhere in this document.</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584" w:right="2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income for the periods indicated.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5 - Noninterest Income</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5"/>
          </w:tcPr>
          <w:p>
            <w:pPr>
              <w:ind w:left="200"/>
              <w:spacing w:after="0"/>
              <w:rPr>
                <w:sz w:val="20"/>
                <w:szCs w:val="20"/>
                <w:color w:val="auto"/>
              </w:rPr>
            </w:pPr>
            <w:r>
              <w:rPr>
                <w:rFonts w:ascii="Arial" w:cs="Arial" w:eastAsia="Arial" w:hAnsi="Arial"/>
                <w:sz w:val="16"/>
                <w:szCs w:val="16"/>
                <w:b w:val="1"/>
                <w:bCs w:val="1"/>
                <w:color w:val="auto"/>
              </w:rPr>
              <w:t>Six Months Ended</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0"/>
        </w:trPr>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ind w:left="560"/>
              <w:spacing w:after="0"/>
              <w:rPr>
                <w:sz w:val="20"/>
                <w:szCs w:val="20"/>
                <w:color w:val="auto"/>
              </w:rPr>
            </w:pPr>
            <w:r>
              <w:rPr>
                <w:rFonts w:ascii="Arial" w:cs="Arial" w:eastAsia="Arial" w:hAnsi="Arial"/>
                <w:sz w:val="16"/>
                <w:szCs w:val="16"/>
                <w:b w:val="1"/>
                <w:bCs w:val="1"/>
                <w:color w:val="auto"/>
                <w:w w:val="96"/>
              </w:rPr>
              <w:t>June 30,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ind w:left="580"/>
              <w:spacing w:after="0"/>
              <w:rPr>
                <w:sz w:val="20"/>
                <w:szCs w:val="20"/>
                <w:color w:val="auto"/>
              </w:rPr>
            </w:pPr>
            <w:r>
              <w:rPr>
                <w:rFonts w:ascii="Arial" w:cs="Arial" w:eastAsia="Arial" w:hAnsi="Arial"/>
                <w:sz w:val="16"/>
                <w:szCs w:val="16"/>
                <w:b w:val="1"/>
                <w:bCs w:val="1"/>
                <w:color w:val="auto"/>
                <w:w w:val="88"/>
              </w:rPr>
              <w:t>Change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ind w:left="580"/>
              <w:spacing w:after="0"/>
              <w:rPr>
                <w:sz w:val="20"/>
                <w:szCs w:val="20"/>
                <w:color w:val="auto"/>
              </w:rPr>
            </w:pPr>
            <w:r>
              <w:rPr>
                <w:rFonts w:ascii="Arial" w:cs="Arial" w:eastAsia="Arial" w:hAnsi="Arial"/>
                <w:sz w:val="16"/>
                <w:szCs w:val="16"/>
                <w:b w:val="1"/>
                <w:bCs w:val="1"/>
                <w:color w:val="auto"/>
                <w:w w:val="88"/>
              </w:rPr>
              <w:t>Change</w:t>
            </w:r>
          </w:p>
        </w:tc>
        <w:tc>
          <w:tcPr>
            <w:tcW w:w="720" w:type="dxa"/>
            <w:vAlign w:val="bottom"/>
          </w:tcPr>
          <w:p>
            <w:pPr>
              <w:spacing w:after="0"/>
              <w:rPr>
                <w:sz w:val="18"/>
                <w:szCs w:val="18"/>
                <w:color w:val="auto"/>
              </w:rPr>
            </w:pPr>
          </w:p>
        </w:tc>
      </w:tr>
      <w:tr>
        <w:trPr>
          <w:trHeight w:val="33"/>
        </w:trPr>
        <w:tc>
          <w:tcPr>
            <w:tcW w:w="2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1"/>
        </w:trPr>
        <w:tc>
          <w:tcPr>
            <w:tcW w:w="2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ind w:left="12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7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3"/>
          </w:tcPr>
          <w:p>
            <w:pPr>
              <w:ind w:left="60"/>
              <w:spacing w:after="0"/>
              <w:rPr>
                <w:sz w:val="20"/>
                <w:szCs w:val="20"/>
                <w:color w:val="auto"/>
              </w:rPr>
            </w:pPr>
            <w:r>
              <w:rPr>
                <w:rFonts w:ascii="Arial" w:cs="Arial" w:eastAsia="Arial" w:hAnsi="Arial"/>
                <w:sz w:val="16"/>
                <w:szCs w:val="16"/>
                <w:b w:val="1"/>
                <w:bCs w:val="1"/>
                <w:color w:val="auto"/>
              </w:rPr>
              <w:t>Amount</w:t>
            </w: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Percent</w:t>
            </w:r>
          </w:p>
        </w:tc>
        <w:tc>
          <w:tcPr>
            <w:tcW w:w="240" w:type="dxa"/>
            <w:vAlign w:val="bottom"/>
          </w:tcPr>
          <w:p>
            <w:pPr>
              <w:spacing w:after="0"/>
              <w:rPr>
                <w:sz w:val="20"/>
                <w:szCs w:val="20"/>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3"/>
          </w:tcPr>
          <w:p>
            <w:pPr>
              <w:ind w:left="60"/>
              <w:spacing w:after="0"/>
              <w:rPr>
                <w:sz w:val="20"/>
                <w:szCs w:val="20"/>
                <w:color w:val="auto"/>
              </w:rPr>
            </w:pPr>
            <w:r>
              <w:rPr>
                <w:rFonts w:ascii="Arial" w:cs="Arial" w:eastAsia="Arial" w:hAnsi="Arial"/>
                <w:sz w:val="16"/>
                <w:szCs w:val="16"/>
                <w:b w:val="1"/>
                <w:bCs w:val="1"/>
                <w:color w:val="auto"/>
              </w:rPr>
              <w:t>Amount</w:t>
            </w: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Percent</w:t>
            </w:r>
          </w:p>
        </w:tc>
      </w:tr>
      <w:tr>
        <w:trPr>
          <w:trHeight w:val="33"/>
        </w:trPr>
        <w:tc>
          <w:tcPr>
            <w:tcW w:w="2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2820" w:type="dxa"/>
            <w:vAlign w:val="bottom"/>
          </w:tcPr>
          <w:p>
            <w:pPr>
              <w:ind w:left="40"/>
              <w:spacing w:after="0"/>
              <w:rPr>
                <w:sz w:val="20"/>
                <w:szCs w:val="20"/>
                <w:color w:val="auto"/>
              </w:rPr>
            </w:pPr>
            <w:r>
              <w:rPr>
                <w:rFonts w:ascii="Arial" w:cs="Arial" w:eastAsia="Arial" w:hAnsi="Arial"/>
                <w:sz w:val="16"/>
                <w:szCs w:val="16"/>
                <w:color w:val="auto"/>
              </w:rPr>
              <w:t>Overdraft fees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3,473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3,480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Arial" w:cs="Arial" w:eastAsia="Arial" w:hAnsi="Arial"/>
                <w:sz w:val="16"/>
                <w:szCs w:val="16"/>
                <w:color w:val="auto"/>
              </w:rPr>
              <w:t>— %</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6,928</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7,132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ATM and debit card fees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r>
      <w:tr>
        <w:trPr>
          <w:trHeight w:val="237"/>
        </w:trPr>
        <w:tc>
          <w:tcPr>
            <w:tcW w:w="2820" w:type="dxa"/>
            <w:vAlign w:val="bottom"/>
          </w:tcPr>
          <w:p>
            <w:pPr>
              <w:ind w:left="40"/>
              <w:spacing w:after="0"/>
              <w:rPr>
                <w:sz w:val="20"/>
                <w:szCs w:val="20"/>
                <w:color w:val="auto"/>
              </w:rPr>
            </w:pPr>
            <w:r>
              <w:rPr>
                <w:rFonts w:ascii="Arial" w:cs="Arial" w:eastAsia="Arial" w:hAnsi="Arial"/>
                <w:sz w:val="16"/>
                <w:szCs w:val="16"/>
                <w:color w:val="auto"/>
              </w:rPr>
              <w:t>Other service charges and fees</w:t>
            </w: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2,257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2,243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4,377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4,245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3</w:t>
            </w:r>
          </w:p>
        </w:tc>
      </w:tr>
      <w:tr>
        <w:trPr>
          <w:trHeight w:val="33"/>
        </w:trPr>
        <w:tc>
          <w:tcPr>
            <w:tcW w:w="2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r>
      <w:tr>
        <w:trPr>
          <w:trHeight w:val="230"/>
        </w:trPr>
        <w:tc>
          <w:tcPr>
            <w:tcW w:w="2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Service charges and fees</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9,060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17,513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17,719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r>
      <w:tr>
        <w:trPr>
          <w:trHeight w:val="237"/>
        </w:trPr>
        <w:tc>
          <w:tcPr>
            <w:tcW w:w="2820" w:type="dxa"/>
            <w:vAlign w:val="bottom"/>
          </w:tcPr>
          <w:p>
            <w:pPr>
              <w:ind w:left="40"/>
              <w:spacing w:after="0"/>
              <w:rPr>
                <w:sz w:val="20"/>
                <w:szCs w:val="20"/>
                <w:color w:val="auto"/>
              </w:rPr>
            </w:pPr>
            <w:r>
              <w:rPr>
                <w:rFonts w:ascii="Arial" w:cs="Arial" w:eastAsia="Arial" w:hAnsi="Arial"/>
                <w:sz w:val="16"/>
                <w:szCs w:val="16"/>
                <w:color w:val="auto"/>
              </w:rPr>
              <w:t>Mortgage loan and related fees</w:t>
            </w: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5,344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5,307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9,092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10,666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(15)</w:t>
            </w:r>
          </w:p>
        </w:tc>
      </w:tr>
      <w:tr>
        <w:trPr>
          <w:trHeight w:val="33"/>
        </w:trPr>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Brokerage fees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41</w:t>
            </w:r>
          </w:p>
        </w:tc>
      </w:tr>
      <w:tr>
        <w:trPr>
          <w:trHeight w:val="237"/>
        </w:trPr>
        <w:tc>
          <w:tcPr>
            <w:tcW w:w="2820" w:type="dxa"/>
            <w:vAlign w:val="bottom"/>
          </w:tcPr>
          <w:p>
            <w:pPr>
              <w:ind w:left="40"/>
              <w:spacing w:after="0"/>
              <w:rPr>
                <w:sz w:val="20"/>
                <w:szCs w:val="20"/>
                <w:color w:val="auto"/>
              </w:rPr>
            </w:pPr>
            <w:r>
              <w:rPr>
                <w:rFonts w:ascii="Arial" w:cs="Arial" w:eastAsia="Arial" w:hAnsi="Arial"/>
                <w:sz w:val="16"/>
                <w:szCs w:val="16"/>
                <w:color w:val="auto"/>
              </w:rPr>
              <w:t>Gains on sales of SBA/USDA loans</w:t>
            </w: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1,470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2,401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2,773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4,179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(34)</w:t>
            </w:r>
          </w:p>
        </w:tc>
      </w:tr>
      <w:tr>
        <w:trPr>
          <w:trHeight w:val="33"/>
        </w:trPr>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Customer derivatives</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20</w:t>
            </w:r>
          </w:p>
        </w:tc>
      </w:tr>
      <w:tr>
        <w:trPr>
          <w:trHeight w:val="237"/>
        </w:trPr>
        <w:tc>
          <w:tcPr>
            <w:tcW w:w="2820" w:type="dxa"/>
            <w:vAlign w:val="bottom"/>
          </w:tcPr>
          <w:p>
            <w:pPr>
              <w:ind w:left="40"/>
              <w:spacing w:after="0"/>
              <w:rPr>
                <w:sz w:val="20"/>
                <w:szCs w:val="20"/>
                <w:color w:val="auto"/>
              </w:rPr>
            </w:pPr>
            <w:r>
              <w:rPr>
                <w:rFonts w:ascii="Arial" w:cs="Arial" w:eastAsia="Arial" w:hAnsi="Arial"/>
                <w:sz w:val="16"/>
                <w:szCs w:val="16"/>
                <w:color w:val="auto"/>
              </w:rPr>
              <w:t>Securities gains (losses), net</w:t>
            </w: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
        </w:trPr>
        <w:tc>
          <w:tcPr>
            <w:tcW w:w="2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5,702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w:t>
            </w:r>
          </w:p>
        </w:tc>
      </w:tr>
      <w:tr>
        <w:trPr>
          <w:trHeight w:val="244"/>
        </w:trPr>
        <w:tc>
          <w:tcPr>
            <w:tcW w:w="2820" w:type="dxa"/>
            <w:vAlign w:val="bottom"/>
          </w:tcPr>
          <w:p>
            <w:pPr>
              <w:ind w:left="180"/>
              <w:spacing w:after="0"/>
              <w:rPr>
                <w:sz w:val="20"/>
                <w:szCs w:val="20"/>
                <w:color w:val="auto"/>
              </w:rPr>
            </w:pPr>
            <w:r>
              <w:rPr>
                <w:rFonts w:ascii="Arial" w:cs="Arial" w:eastAsia="Arial" w:hAnsi="Arial"/>
                <w:sz w:val="16"/>
                <w:szCs w:val="16"/>
                <w:color w:val="auto"/>
              </w:rPr>
              <w:t>Total noninterest income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24,531</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23,340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45,499</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45,736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w:t>
            </w:r>
          </w:p>
        </w:tc>
      </w:tr>
      <w:tr>
        <w:trPr>
          <w:trHeight w:val="20"/>
        </w:trPr>
        <w:tc>
          <w:tcPr>
            <w:tcW w:w="2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Service charges and fees increased $266,000 for the second quarter of 2019 in comparison to the same period of 2018 partly due to the acquisition of FMBT.</w:t>
      </w:r>
    </w:p>
    <w:p>
      <w:pPr>
        <w:spacing w:after="0" w:line="2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Mortgage loan and related fees for the second quarter of 2019 reflected an increase in fees on mortgage rate locks and mortgage closings compared to the same period of last year. The increase in fees was offset by a negative fair value adjustment on the mortgage servicing rights asset, resulting in flat mortgage loan and related fees for the second quarter of 2019 compared to the same period of 2018. These factors also contributed to the change in mortgage fees for the six months ended June 30, 2019, compared to the same period of 2018, in combination with the first quarter of 2019 negative fair value adjustment on the fair value of the mortgage servicing asset. The negative fair value adjustments were driven by a decrease in mortgage interest rates.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Mortgage rate locks during the second quarter of 2019 increased 25% to $390 million in 2019 compared to $313 million in the second quarter of 2018. Mortgage production in the second quarter of 2019 increased slightly compared to the same period of 2018. United closed 1,082 mortgage loans totaling $260 million in the second quarter of 2019 compared with 1,077 mortgage loans totaling $259 million in the second quarter of 2018. United had $209 million in home purchase mortgage originations in the second quarter of 2019, which accounted for 80% of mortgage production volume, compared to $151 million, or 59% of production volume for the same period a year ago.</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half of 2019, United closed 1,845 loans totaling $440 million compared to 1,876 loans totaling $450 million for the same period of last year.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United had $325 million in home purchase mortgage originations in the first six months of 2019, which accounted for 74% of mortgage production volume.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six months of 2018, United had $254 million, in home purchase originations, or 58%, of production volume.</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Brokerage fees for the second quarter of 2019 increased 32% compared to the second quarter of 2018, which primarily resulted from an increase in recurring revenue, which yielded higher and more consistent brokerage revenue. For the six months ended June 30, 2019, brokerage fees increased 41% compared to the same period a year ago partly due to the same factors affecting the quarter and partly attributable to lower brokerage fees during the first quarter of 2018 reflecting downtime associated with transitioning to a new third-party broker dealer.</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United’s SBA/USDA lending strategy includes selling a portion of the loan production each quarter. The amount of loans sold depends on several variables including the current lending environment and balance sheet management activities. Beginning in the first quarter of 2019, United made a strategic decision to hold more of its government guaranteed loans in order to benefit from the stable yield on these lower-risk assets. In the second quarter of 2019 and 2018, United sold the guaranteed portion of loans in the amount of $17.1 million and $28.5 million, respectively, which resulted in gains of $1.47 million and $2.40 million, respectively. In the first six months of 2019 and 2018, United sold the guaranteed portion of loans in the amount of $34.2 million and $50.7 million, respectively, which resulted in gains of $2.77 million and $4.18 million, respectively.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7" w:name="page58"/>
    <w:bookmarkEnd w:id="57"/>
    <w:p>
      <w:pPr>
        <w:jc w:val="both"/>
        <w:spacing w:after="0" w:line="276" w:lineRule="auto"/>
        <w:rPr>
          <w:sz w:val="20"/>
          <w:szCs w:val="20"/>
          <w:color w:val="auto"/>
        </w:rPr>
      </w:pPr>
      <w:r>
        <w:rPr>
          <w:rFonts w:ascii="Arial" w:cs="Arial" w:eastAsia="Arial" w:hAnsi="Arial"/>
          <w:sz w:val="17"/>
          <w:szCs w:val="17"/>
          <w:color w:val="auto"/>
        </w:rPr>
        <w:t>Customer derivative fees relate primarily to interest rate swaps to commercial customers who desire fixed rate loans. United makes a floating rate loan to those customers and enters into an interest rate swap contract with the customer to swap the floating rate to a fixed rate. United then enters into an offsetting swap with a swap dealer with terms that mirror the customer swap. The fixed and variable legs of the customer and dealer swaps offset leaving United with the equivalent of a variable rate loan. During the second quarter and six months ended June 30, 2019, fees on customer derivatives increased from the same periods of last year reflecting the changing interest rate environment and customer preference.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noninterest income for the second quarter and first six months of 2019 increased from the same periods of 2018 primarily due to increases in equipment finance fee revenue, primarily attributable to loan growth, and gains on other investments. These increases were partially offset by a negative fair value adjustment on deferred compensation plan assets during the second quarter of 2019.</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noninterest income for the second quarter and first six months of 2018 included $533,000 of gains on the prepayment of Federal Home Loan Bank (“FHLB”) advances. In addition to those gains, other noninterest income for the first six months of 2018 includes $1.16 million in gains from the first quarter cancellation of interest rate swaps and caps that were serving as economic hedges to protect against rising interest rates.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second quarter and first six months of 2019, United recognized $149,000 in net gains and $118,000 in net losses, respectively, on the sale of securities. The securities losses of $364,000 and $1.30 million recognized in the second quarter and first six months of 2018, respectively, were part of a larger balance sheet management strategy that resulted in the gains from prepayment of FHLB advances and cancellation of the derivative instruments discussed above. The gains from those activities and the securities losses were mostly offsetting.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noninterest expenses for the periods indicated.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6 - Noninterest Expenses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20" w:type="dxa"/>
            <w:vAlign w:val="bottom"/>
            <w:gridSpan w:val="5"/>
          </w:tcPr>
          <w:p>
            <w:pPr>
              <w:ind w:left="220"/>
              <w:spacing w:after="0"/>
              <w:rPr>
                <w:sz w:val="20"/>
                <w:szCs w:val="20"/>
                <w:color w:val="auto"/>
              </w:rPr>
            </w:pPr>
            <w:r>
              <w:rPr>
                <w:rFonts w:ascii="Arial" w:cs="Arial" w:eastAsia="Arial" w:hAnsi="Arial"/>
                <w:sz w:val="16"/>
                <w:szCs w:val="16"/>
                <w:b w:val="1"/>
                <w:bCs w:val="1"/>
                <w:color w:val="auto"/>
              </w:rPr>
              <w:t>Six Months Ended</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0"/>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ind w:left="560"/>
              <w:spacing w:after="0"/>
              <w:rPr>
                <w:sz w:val="20"/>
                <w:szCs w:val="20"/>
                <w:color w:val="auto"/>
              </w:rPr>
            </w:pPr>
            <w:r>
              <w:rPr>
                <w:rFonts w:ascii="Arial" w:cs="Arial" w:eastAsia="Arial" w:hAnsi="Arial"/>
                <w:sz w:val="16"/>
                <w:szCs w:val="16"/>
                <w:b w:val="1"/>
                <w:bCs w:val="1"/>
                <w:color w:val="auto"/>
                <w:w w:val="93"/>
              </w:rPr>
              <w:t>June 30,</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ind w:left="580"/>
              <w:spacing w:after="0"/>
              <w:rPr>
                <w:sz w:val="20"/>
                <w:szCs w:val="20"/>
                <w:color w:val="auto"/>
              </w:rPr>
            </w:pPr>
            <w:r>
              <w:rPr>
                <w:rFonts w:ascii="Arial" w:cs="Arial" w:eastAsia="Arial" w:hAnsi="Arial"/>
                <w:sz w:val="16"/>
                <w:szCs w:val="16"/>
                <w:b w:val="1"/>
                <w:bCs w:val="1"/>
                <w:color w:val="auto"/>
                <w:w w:val="88"/>
              </w:rPr>
              <w:t>Change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ind w:left="580"/>
              <w:spacing w:after="0"/>
              <w:rPr>
                <w:sz w:val="20"/>
                <w:szCs w:val="20"/>
                <w:color w:val="auto"/>
              </w:rPr>
            </w:pPr>
            <w:r>
              <w:rPr>
                <w:rFonts w:ascii="Arial" w:cs="Arial" w:eastAsia="Arial" w:hAnsi="Arial"/>
                <w:sz w:val="16"/>
                <w:szCs w:val="16"/>
                <w:b w:val="1"/>
                <w:bCs w:val="1"/>
                <w:color w:val="auto"/>
                <w:w w:val="88"/>
              </w:rPr>
              <w:t>Change</w:t>
            </w:r>
          </w:p>
        </w:tc>
        <w:tc>
          <w:tcPr>
            <w:tcW w:w="720" w:type="dxa"/>
            <w:vAlign w:val="bottom"/>
          </w:tcPr>
          <w:p>
            <w:pPr>
              <w:spacing w:after="0"/>
              <w:rPr>
                <w:sz w:val="18"/>
                <w:szCs w:val="18"/>
                <w:color w:val="auto"/>
              </w:rPr>
            </w:pPr>
          </w:p>
        </w:tc>
      </w:tr>
      <w:tr>
        <w:trPr>
          <w:trHeight w:val="33"/>
        </w:trPr>
        <w:tc>
          <w:tcPr>
            <w:tcW w:w="2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17"/>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ind w:left="12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ind w:left="60"/>
              <w:spacing w:after="0"/>
              <w:rPr>
                <w:sz w:val="20"/>
                <w:szCs w:val="20"/>
                <w:color w:val="auto"/>
              </w:rPr>
            </w:pPr>
            <w:r>
              <w:rPr>
                <w:rFonts w:ascii="Arial" w:cs="Arial" w:eastAsia="Arial" w:hAnsi="Arial"/>
                <w:sz w:val="16"/>
                <w:szCs w:val="16"/>
                <w:b w:val="1"/>
                <w:bCs w:val="1"/>
                <w:color w:val="auto"/>
              </w:rPr>
              <w:t>Amount</w:t>
            </w:r>
          </w:p>
        </w:tc>
        <w:tc>
          <w:tcPr>
            <w:tcW w:w="820" w:type="dxa"/>
            <w:vAlign w:val="bottom"/>
            <w:gridSpan w:val="2"/>
          </w:tcPr>
          <w:p>
            <w:pPr>
              <w:spacing w:after="0"/>
              <w:rPr>
                <w:sz w:val="20"/>
                <w:szCs w:val="20"/>
                <w:color w:val="auto"/>
              </w:rPr>
            </w:pPr>
            <w:r>
              <w:rPr>
                <w:rFonts w:ascii="Arial" w:cs="Arial" w:eastAsia="Arial" w:hAnsi="Arial"/>
                <w:sz w:val="16"/>
                <w:szCs w:val="16"/>
                <w:b w:val="1"/>
                <w:bCs w:val="1"/>
                <w:color w:val="auto"/>
              </w:rPr>
              <w:t>Percent</w:t>
            </w:r>
          </w:p>
        </w:tc>
        <w:tc>
          <w:tcPr>
            <w:tcW w:w="220" w:type="dxa"/>
            <w:vAlign w:val="bottom"/>
          </w:tcPr>
          <w:p>
            <w:pPr>
              <w:spacing w:after="0"/>
              <w:rPr>
                <w:sz w:val="18"/>
                <w:szCs w:val="18"/>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ind w:right="27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ind w:left="60"/>
              <w:spacing w:after="0"/>
              <w:rPr>
                <w:sz w:val="20"/>
                <w:szCs w:val="20"/>
                <w:color w:val="auto"/>
              </w:rPr>
            </w:pPr>
            <w:r>
              <w:rPr>
                <w:rFonts w:ascii="Arial" w:cs="Arial" w:eastAsia="Arial" w:hAnsi="Arial"/>
                <w:sz w:val="16"/>
                <w:szCs w:val="16"/>
                <w:b w:val="1"/>
                <w:bCs w:val="1"/>
                <w:color w:val="auto"/>
              </w:rPr>
              <w:t>Amount</w:t>
            </w:r>
          </w:p>
        </w:tc>
        <w:tc>
          <w:tcPr>
            <w:tcW w:w="720" w:type="dxa"/>
            <w:vAlign w:val="bottom"/>
          </w:tcPr>
          <w:p>
            <w:pPr>
              <w:jc w:val="right"/>
              <w:ind w:right="99"/>
              <w:spacing w:after="0"/>
              <w:rPr>
                <w:sz w:val="20"/>
                <w:szCs w:val="20"/>
                <w:color w:val="auto"/>
              </w:rPr>
            </w:pPr>
            <w:r>
              <w:rPr>
                <w:rFonts w:ascii="Arial" w:cs="Arial" w:eastAsia="Arial" w:hAnsi="Arial"/>
                <w:sz w:val="16"/>
                <w:szCs w:val="16"/>
                <w:b w:val="1"/>
                <w:bCs w:val="1"/>
                <w:color w:val="auto"/>
                <w:w w:val="88"/>
              </w:rPr>
              <w:t>Percent</w:t>
            </w:r>
          </w:p>
        </w:tc>
      </w:tr>
      <w:tr>
        <w:trPr>
          <w:trHeight w:val="47"/>
        </w:trPr>
        <w:tc>
          <w:tcPr>
            <w:tcW w:w="28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3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Salaries and employee benefits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48,157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45,363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95,660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88,238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8 %</w:t>
            </w:r>
          </w:p>
        </w:tc>
      </w:tr>
      <w:tr>
        <w:trPr>
          <w:trHeight w:val="237"/>
        </w:trPr>
        <w:tc>
          <w:tcPr>
            <w:tcW w:w="2840" w:type="dxa"/>
            <w:vAlign w:val="bottom"/>
          </w:tcPr>
          <w:p>
            <w:pPr>
              <w:ind w:left="40"/>
              <w:spacing w:after="0"/>
              <w:rPr>
                <w:sz w:val="20"/>
                <w:szCs w:val="20"/>
                <w:color w:val="auto"/>
              </w:rPr>
            </w:pPr>
            <w:r>
              <w:rPr>
                <w:rFonts w:ascii="Arial" w:cs="Arial" w:eastAsia="Arial" w:hAnsi="Arial"/>
                <w:sz w:val="16"/>
                <w:szCs w:val="16"/>
                <w:color w:val="auto"/>
              </w:rPr>
              <w:t>Communications and equipment</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6,222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4,849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12,010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9,481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2,529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27</w:t>
            </w:r>
          </w:p>
        </w:tc>
      </w:tr>
      <w:tr>
        <w:trPr>
          <w:trHeight w:val="33"/>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Occupancy</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11,503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w:t>
            </w:r>
          </w:p>
        </w:tc>
      </w:tr>
      <w:tr>
        <w:trPr>
          <w:trHeight w:val="237"/>
        </w:trPr>
        <w:tc>
          <w:tcPr>
            <w:tcW w:w="2840" w:type="dxa"/>
            <w:vAlign w:val="bottom"/>
          </w:tcPr>
          <w:p>
            <w:pPr>
              <w:ind w:left="40"/>
              <w:spacing w:after="0"/>
              <w:rPr>
                <w:sz w:val="20"/>
                <w:szCs w:val="20"/>
                <w:color w:val="auto"/>
              </w:rPr>
            </w:pPr>
            <w:r>
              <w:rPr>
                <w:rFonts w:ascii="Arial" w:cs="Arial" w:eastAsia="Arial" w:hAnsi="Arial"/>
                <w:sz w:val="16"/>
                <w:szCs w:val="16"/>
                <w:color w:val="auto"/>
              </w:rPr>
              <w:t>Advertising and public relations</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1,596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1,384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2,882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2,899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w:t>
            </w:r>
          </w:p>
        </w:tc>
      </w:tr>
      <w:tr>
        <w:trPr>
          <w:trHeight w:val="33"/>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Postage, printing and supplies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r>
      <w:tr>
        <w:trPr>
          <w:trHeight w:val="237"/>
        </w:trPr>
        <w:tc>
          <w:tcPr>
            <w:tcW w:w="2840" w:type="dxa"/>
            <w:vAlign w:val="bottom"/>
          </w:tcPr>
          <w:p>
            <w:pPr>
              <w:ind w:left="40"/>
              <w:spacing w:after="0"/>
              <w:rPr>
                <w:sz w:val="20"/>
                <w:szCs w:val="20"/>
                <w:color w:val="auto"/>
              </w:rPr>
            </w:pPr>
            <w:r>
              <w:rPr>
                <w:rFonts w:ascii="Arial" w:cs="Arial" w:eastAsia="Arial" w:hAnsi="Arial"/>
                <w:sz w:val="16"/>
                <w:szCs w:val="16"/>
                <w:color w:val="auto"/>
              </w:rPr>
              <w:t>Professional fees</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4,054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3,464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7,215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7,508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(4)</w:t>
            </w:r>
          </w:p>
        </w:tc>
      </w:tr>
      <w:tr>
        <w:trPr>
          <w:trHeight w:val="33"/>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0"/>
        </w:trPr>
        <w:tc>
          <w:tcPr>
            <w:tcW w:w="28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FDIC assessments and other regulatory</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9"/>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charges</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3,257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4,449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w:t>
            </w:r>
          </w:p>
        </w:tc>
      </w:tr>
      <w:tr>
        <w:trPr>
          <w:trHeight w:val="237"/>
        </w:trPr>
        <w:tc>
          <w:tcPr>
            <w:tcW w:w="2840" w:type="dxa"/>
            <w:vAlign w:val="bottom"/>
          </w:tcPr>
          <w:p>
            <w:pPr>
              <w:ind w:left="40"/>
              <w:spacing w:after="0"/>
              <w:rPr>
                <w:sz w:val="20"/>
                <w:szCs w:val="20"/>
                <w:color w:val="auto"/>
              </w:rPr>
            </w:pPr>
            <w:r>
              <w:rPr>
                <w:rFonts w:ascii="Arial" w:cs="Arial" w:eastAsia="Arial" w:hAnsi="Arial"/>
                <w:sz w:val="16"/>
                <w:szCs w:val="16"/>
                <w:color w:val="auto"/>
                <w:w w:val="99"/>
              </w:rPr>
              <w:t>Amortization of core deposit intangibles</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1,149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1,254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2,249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2,560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(12)</w:t>
            </w:r>
          </w:p>
        </w:tc>
      </w:tr>
      <w:tr>
        <w:trPr>
          <w:trHeight w:val="33"/>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7,553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00"/>
        </w:trPr>
        <w:tc>
          <w:tcPr>
            <w:tcW w:w="2840" w:type="dxa"/>
            <w:vAlign w:val="bottom"/>
          </w:tcPr>
          <w:p>
            <w:pPr>
              <w:ind w:left="180"/>
              <w:spacing w:after="0"/>
              <w:rPr>
                <w:sz w:val="20"/>
                <w:szCs w:val="20"/>
                <w:color w:val="auto"/>
              </w:rPr>
            </w:pPr>
            <w:r>
              <w:rPr>
                <w:rFonts w:ascii="Arial" w:cs="Arial" w:eastAsia="Arial" w:hAnsi="Arial"/>
                <w:sz w:val="16"/>
                <w:szCs w:val="16"/>
                <w:color w:val="auto"/>
              </w:rPr>
              <w:t>Total excluding merger-related and</w:t>
            </w: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06"/>
        </w:trPr>
        <w:tc>
          <w:tcPr>
            <w:tcW w:w="2840" w:type="dxa"/>
            <w:vAlign w:val="bottom"/>
          </w:tcPr>
          <w:p>
            <w:pPr>
              <w:ind w:left="180"/>
              <w:spacing w:after="0"/>
              <w:rPr>
                <w:sz w:val="20"/>
                <w:szCs w:val="20"/>
                <w:color w:val="auto"/>
              </w:rPr>
            </w:pPr>
            <w:r>
              <w:rPr>
                <w:rFonts w:ascii="Arial" w:cs="Arial" w:eastAsia="Arial" w:hAnsi="Arial"/>
                <w:sz w:val="16"/>
                <w:szCs w:val="16"/>
                <w:color w:val="auto"/>
              </w:rPr>
              <w:t>other charges</w:t>
            </w:r>
          </w:p>
        </w:tc>
        <w:tc>
          <w:tcPr>
            <w:tcW w:w="22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77,726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73,977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3,749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153,071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144,806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8,265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6</w:t>
            </w:r>
          </w:p>
        </w:tc>
      </w:tr>
      <w:tr>
        <w:trPr>
          <w:trHeight w:val="33"/>
        </w:trPr>
        <w:tc>
          <w:tcPr>
            <w:tcW w:w="2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Merger-related and other charges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7"/>
        </w:trPr>
        <w:tc>
          <w:tcPr>
            <w:tcW w:w="2840" w:type="dxa"/>
            <w:vAlign w:val="bottom"/>
          </w:tcPr>
          <w:p>
            <w:pPr>
              <w:ind w:left="40"/>
              <w:spacing w:after="0"/>
              <w:rPr>
                <w:sz w:val="20"/>
                <w:szCs w:val="20"/>
                <w:color w:val="auto"/>
              </w:rPr>
            </w:pPr>
            <w:r>
              <w:rPr>
                <w:rFonts w:ascii="Arial" w:cs="Arial" w:eastAsia="Arial" w:hAnsi="Arial"/>
                <w:sz w:val="16"/>
                <w:szCs w:val="16"/>
                <w:color w:val="auto"/>
                <w:w w:val="96"/>
              </w:rPr>
              <w:t>Amortization of noncompete agreements</w:t>
            </w:r>
          </w:p>
        </w:tc>
        <w:tc>
          <w:tcPr>
            <w:tcW w:w="2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593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1,185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33"/>
        </w:trPr>
        <w:tc>
          <w:tcPr>
            <w:tcW w:w="2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r>
      <w:tr>
        <w:trPr>
          <w:trHeight w:val="244"/>
        </w:trPr>
        <w:tc>
          <w:tcPr>
            <w:tcW w:w="2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noninterest expenses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81,813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76,850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157,897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150,325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w:t>
            </w:r>
          </w:p>
        </w:tc>
      </w:tr>
      <w:tr>
        <w:trPr>
          <w:trHeight w:val="20"/>
        </w:trPr>
        <w:tc>
          <w:tcPr>
            <w:tcW w:w="2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Noninterest expenses for the second quarter and first half of 2019 totaled $81.8 million and $158 million, respectively, up 6% and 5%, respectively, from the same periods of 2018. Increases in salaries and employee benefits and communications and equipment, partially offset by lower other noninterest expense and FDIC assessments and other regulatory charges, accounted for much of the change in noninterest expense for the periods presented.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Salaries and employee benefits for the second quarter of 2019 increased 6% from same period of 2018. The increase was primarily attributable to the annual merit-based salary increases awarded during the period, the addition of FMBT employees, higher group medical costs, additional stock compensation expense from new restricted stock unit awards issued in the third quarter of 2018, and investments in additional staff to expand Commercial Banking Solutions and other key areas. In addition to these factors, salaries and employee</w:t>
      </w:r>
    </w:p>
    <w:p>
      <w:pPr>
        <w:sectPr>
          <w:pgSz w:w="11900" w:h="16838" w:orient="portrait"/>
          <w:cols w:equalWidth="0" w:num="1">
            <w:col w:w="11420"/>
          </w:cols>
          <w:pgMar w:left="240" w:top="584"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584" w:right="239" w:bottom="1440" w:gutter="0" w:footer="0" w:header="0"/>
          <w:type w:val="continuous"/>
        </w:sectPr>
      </w:pPr>
    </w:p>
    <w:bookmarkStart w:id="58" w:name="page59"/>
    <w:bookmarkEnd w:id="58"/>
    <w:p>
      <w:pPr>
        <w:jc w:val="both"/>
        <w:ind w:right="20"/>
        <w:spacing w:after="0" w:line="342" w:lineRule="auto"/>
        <w:rPr>
          <w:sz w:val="20"/>
          <w:szCs w:val="20"/>
          <w:color w:val="auto"/>
        </w:rPr>
      </w:pPr>
      <w:r>
        <w:rPr>
          <w:rFonts w:ascii="Arial" w:cs="Arial" w:eastAsia="Arial" w:hAnsi="Arial"/>
          <w:sz w:val="16"/>
          <w:szCs w:val="16"/>
          <w:color w:val="auto"/>
        </w:rPr>
        <w:t>benefits for the six months ended June 30, 2019 were also affected by the inclusion of Navitas for the entire first half of 2019 and an increase in the 401(k) matching contribution which went into effect March 1, 2018. Full time equivalent headcount totaled 2,316 at June 30, 2019, up from 2,289 at June 30, 2018.</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Communications and equipment expense increased primarily due to additional software maintenance costs and new software contracts. Professional fees for the second quarter of 2019 increased primarily due to recent acquisition activity. Professional fees for the six months ended June 30, 2019, remained relatively consistent with the same period a year ago. FDIC assessments and other regulatory charges for the six months ended June 30, 2019 decreased relative to the same period in 2018 primarily due to a reduction in United’s FDIC assessment rate. The decrease in other noninterest expense in the second quarter of 2019 was primarily attributable to cost reduction initiatives and gains recognized on sales of other real estate owned of approximately $330,000 compared to minimal losses recorded in the second quarter of 2018. For the six months ended June 30, 2019 and 2018, other noninterest income remained relatively consistent.</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Merger-related and other charges for the three and six months ended June 30, 2019 included FMBT acquisition related costs, branch closure costs, and executive retirement charges. Merger-related and other charges for the second quarter and first half of 2018 consisted primarily of severance, conversion costs, branch closure costs and legal and professional fees. Additionally, the reduction of amortization of noncompete agreements was a result of the expiration of certain of these agreements since the second quarter of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income tax provision for the three and six months ended June 30, 2019 was $13.2 million and $26.1 million, respectively, which represents an effective tax rate of 23.0% and 22.8%, respectively. The income tax provision for the three and six months ended June 30, 2018 was $13.5 million and $24.3 million, which represents an effective tax rate of 25.5% and 23.9%, respectively.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16 to the consolidated financial statements filed with United’s 2018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assets at June 30, 2019 and December 31, 2018 were $12.8 billion and $12.6 billion, respectively. Average total assets for both the second quarter and first half of 2019 were $12.6 billion, up from $12.2 billion in the second quarter and first half of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9" w:name="page60"/>
    <w:bookmarkEnd w:id="59"/>
    <w:p>
      <w:pPr>
        <w:jc w:val="both"/>
        <w:spacing w:after="0" w:line="308" w:lineRule="auto"/>
        <w:rPr>
          <w:sz w:val="20"/>
          <w:szCs w:val="20"/>
          <w:color w:val="auto"/>
        </w:rPr>
      </w:pPr>
      <w:r>
        <w:rPr>
          <w:rFonts w:ascii="Arial" w:cs="Arial" w:eastAsia="Arial" w:hAnsi="Arial"/>
          <w:sz w:val="17"/>
          <w:szCs w:val="17"/>
          <w:color w:val="auto"/>
        </w:rPr>
        <w:t>Total loans increased 5% since December 31, 2018 due to organic growth and the inclusion of FMBT’s loans for the second quarter of 2019. As of June 30, 2019, approximately 74% of United’s loans are secured by real estate. The following table presents a summary of the loan portfolio.</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7 - Loans Outstanding</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Arial" w:cs="Arial" w:eastAsia="Arial" w:hAnsi="Arial"/>
                <w:sz w:val="16"/>
                <w:szCs w:val="16"/>
                <w:b w:val="1"/>
                <w:bCs w:val="1"/>
                <w:color w:val="auto"/>
              </w:rPr>
              <w:t>June 30, 2019</w:t>
            </w:r>
          </w:p>
        </w:tc>
        <w:tc>
          <w:tcPr>
            <w:tcW w:w="160" w:type="dxa"/>
            <w:vAlign w:val="bottom"/>
          </w:tcPr>
          <w:p>
            <w:pPr>
              <w:spacing w:after="0"/>
              <w:rPr>
                <w:sz w:val="18"/>
                <w:szCs w:val="18"/>
                <w:color w:val="auto"/>
              </w:rPr>
            </w:pPr>
          </w:p>
        </w:tc>
        <w:tc>
          <w:tcPr>
            <w:tcW w:w="36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2018</w:t>
            </w:r>
          </w:p>
        </w:tc>
      </w:tr>
      <w:tr>
        <w:trPr>
          <w:trHeight w:val="33"/>
        </w:trPr>
        <w:tc>
          <w:tcPr>
            <w:tcW w:w="5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6"/>
                <w:szCs w:val="16"/>
                <w:b w:val="1"/>
                <w:bCs w:val="1"/>
                <w:color w:val="auto"/>
              </w:rPr>
              <w:t>By Loan Type</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Owner occupied commercial real estate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1,658,514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1,647,904</w:t>
            </w:r>
          </w:p>
        </w:tc>
        <w:tc>
          <w:tcPr>
            <w:tcW w:w="2060" w:type="dxa"/>
            <w:vAlign w:val="bottom"/>
          </w:tcPr>
          <w:p>
            <w:pPr>
              <w:spacing w:after="0"/>
              <w:rPr>
                <w:sz w:val="20"/>
                <w:szCs w:val="20"/>
                <w:color w:val="auto"/>
              </w:rPr>
            </w:pPr>
          </w:p>
        </w:tc>
      </w:tr>
      <w:tr>
        <w:trPr>
          <w:trHeight w:val="33"/>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6"/>
                <w:szCs w:val="16"/>
                <w:color w:val="auto"/>
              </w:rPr>
              <w:t>Income producing commercial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1,939,569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1,812,420</w:t>
            </w: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Commercial &amp; industrial</w:t>
            </w:r>
          </w:p>
        </w:tc>
        <w:tc>
          <w:tcPr>
            <w:tcW w:w="24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1,298,794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1,278,347</w:t>
            </w:r>
          </w:p>
        </w:tc>
        <w:tc>
          <w:tcPr>
            <w:tcW w:w="2060" w:type="dxa"/>
            <w:vAlign w:val="bottom"/>
          </w:tcPr>
          <w:p>
            <w:pPr>
              <w:spacing w:after="0"/>
              <w:rPr>
                <w:sz w:val="20"/>
                <w:szCs w:val="20"/>
                <w:color w:val="auto"/>
              </w:rPr>
            </w:pPr>
          </w:p>
        </w:tc>
      </w:tr>
      <w:tr>
        <w:trPr>
          <w:trHeight w:val="33"/>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6"/>
                <w:szCs w:val="16"/>
                <w:color w:val="auto"/>
              </w:rPr>
              <w:t>Commercial construction</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982,739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796,158</w:t>
            </w: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Equipment financing</w:t>
            </w:r>
          </w:p>
        </w:tc>
        <w:tc>
          <w:tcPr>
            <w:tcW w:w="24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673,858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564,614</w:t>
            </w:r>
          </w:p>
        </w:tc>
        <w:tc>
          <w:tcPr>
            <w:tcW w:w="2060" w:type="dxa"/>
            <w:vAlign w:val="bottom"/>
          </w:tcPr>
          <w:p>
            <w:pPr>
              <w:spacing w:after="0"/>
              <w:rPr>
                <w:sz w:val="20"/>
                <w:szCs w:val="20"/>
                <w:color w:val="auto"/>
              </w:rPr>
            </w:pPr>
          </w:p>
        </w:tc>
      </w:tr>
      <w:tr>
        <w:trPr>
          <w:trHeight w:val="33"/>
        </w:trPr>
        <w:tc>
          <w:tcPr>
            <w:tcW w:w="5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30"/>
        </w:trPr>
        <w:tc>
          <w:tcPr>
            <w:tcW w:w="578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6"/>
                <w:szCs w:val="16"/>
                <w:color w:val="auto"/>
              </w:rPr>
              <w:t>Total commercial</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6,553,474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6,099,443</w:t>
            </w:r>
          </w:p>
        </w:tc>
        <w:tc>
          <w:tcPr>
            <w:tcW w:w="2060" w:type="dxa"/>
            <w:vAlign w:val="bottom"/>
            <w:tcBorders>
              <w:bottom w:val="single" w:sz="8" w:color="CCEEFF"/>
            </w:tcBorders>
            <w:shd w:val="clear" w:color="auto" w:fill="CCEEFF"/>
          </w:tcPr>
          <w:p>
            <w:pPr>
              <w:spacing w:after="0"/>
              <w:rPr>
                <w:sz w:val="20"/>
                <w:szCs w:val="20"/>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Residential mortgage</w:t>
            </w:r>
          </w:p>
        </w:tc>
        <w:tc>
          <w:tcPr>
            <w:tcW w:w="24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1,108,242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1,049,232</w:t>
            </w:r>
          </w:p>
        </w:tc>
        <w:tc>
          <w:tcPr>
            <w:tcW w:w="2060" w:type="dxa"/>
            <w:vAlign w:val="bottom"/>
          </w:tcPr>
          <w:p>
            <w:pPr>
              <w:spacing w:after="0"/>
              <w:rPr>
                <w:sz w:val="20"/>
                <w:szCs w:val="20"/>
                <w:color w:val="auto"/>
              </w:rPr>
            </w:pPr>
          </w:p>
        </w:tc>
      </w:tr>
      <w:tr>
        <w:trPr>
          <w:trHeight w:val="33"/>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6"/>
                <w:szCs w:val="16"/>
                <w:color w:val="auto"/>
              </w:rPr>
              <w:t>Home equity lines of credit</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675,184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694,010</w:t>
            </w: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Residential construction</w:t>
            </w:r>
          </w:p>
        </w:tc>
        <w:tc>
          <w:tcPr>
            <w:tcW w:w="24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218,607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211,011</w:t>
            </w:r>
          </w:p>
        </w:tc>
        <w:tc>
          <w:tcPr>
            <w:tcW w:w="2060" w:type="dxa"/>
            <w:vAlign w:val="bottom"/>
          </w:tcPr>
          <w:p>
            <w:pPr>
              <w:spacing w:after="0"/>
              <w:rPr>
                <w:sz w:val="20"/>
                <w:szCs w:val="20"/>
                <w:color w:val="auto"/>
              </w:rPr>
            </w:pPr>
          </w:p>
        </w:tc>
      </w:tr>
      <w:tr>
        <w:trPr>
          <w:trHeight w:val="33"/>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6"/>
                <w:szCs w:val="16"/>
                <w:color w:val="auto"/>
              </w:rPr>
              <w:t>Consumer direct</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127,966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122,013</w:t>
            </w: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Indirect auto</w:t>
            </w:r>
          </w:p>
        </w:tc>
        <w:tc>
          <w:tcPr>
            <w:tcW w:w="24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154,745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207,692</w:t>
            </w:r>
          </w:p>
        </w:tc>
        <w:tc>
          <w:tcPr>
            <w:tcW w:w="2060" w:type="dxa"/>
            <w:vAlign w:val="bottom"/>
          </w:tcPr>
          <w:p>
            <w:pPr>
              <w:spacing w:after="0"/>
              <w:rPr>
                <w:sz w:val="20"/>
                <w:szCs w:val="20"/>
                <w:color w:val="auto"/>
              </w:rPr>
            </w:pPr>
          </w:p>
        </w:tc>
      </w:tr>
      <w:tr>
        <w:trPr>
          <w:trHeight w:val="33"/>
        </w:trPr>
        <w:tc>
          <w:tcPr>
            <w:tcW w:w="5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6"/>
                <w:szCs w:val="16"/>
                <w:color w:val="auto"/>
              </w:rPr>
              <w:t>Total loans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8,838,218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8,383,401</w:t>
            </w:r>
          </w:p>
        </w:tc>
        <w:tc>
          <w:tcPr>
            <w:tcW w:w="2060" w:type="dxa"/>
            <w:vAlign w:val="bottom"/>
            <w:tcBorders>
              <w:bottom w:val="single" w:sz="8" w:color="CCEEFF"/>
            </w:tcBorders>
            <w:shd w:val="clear" w:color="auto" w:fill="CCEEFF"/>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71"/>
        </w:trPr>
        <w:tc>
          <w:tcPr>
            <w:tcW w:w="5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060" w:type="dxa"/>
            <w:vAlign w:val="bottom"/>
          </w:tcPr>
          <w:p>
            <w:pPr>
              <w:spacing w:after="0"/>
              <w:rPr>
                <w:sz w:val="23"/>
                <w:szCs w:val="23"/>
                <w:color w:val="auto"/>
              </w:rPr>
            </w:pPr>
          </w:p>
        </w:tc>
      </w:tr>
      <w:tr>
        <w:trPr>
          <w:trHeight w:val="250"/>
        </w:trPr>
        <w:tc>
          <w:tcPr>
            <w:tcW w:w="578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6"/>
                <w:szCs w:val="16"/>
                <w:color w:val="auto"/>
              </w:rPr>
              <w:t>As a percentage of total loans: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Owner occupied commercial real estate</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w:t>
            </w:r>
          </w:p>
        </w:tc>
        <w:tc>
          <w:tcPr>
            <w:tcW w:w="2060" w:type="dxa"/>
            <w:vAlign w:val="bottom"/>
          </w:tcPr>
          <w:p>
            <w:pPr>
              <w:spacing w:after="0"/>
              <w:rPr>
                <w:sz w:val="20"/>
                <w:szCs w:val="20"/>
                <w:color w:val="auto"/>
              </w:rPr>
            </w:pPr>
          </w:p>
        </w:tc>
      </w:tr>
      <w:tr>
        <w:trPr>
          <w:trHeight w:val="33"/>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6"/>
                <w:szCs w:val="16"/>
                <w:color w:val="auto"/>
              </w:rPr>
              <w:t>Income producing commercial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w:t>
            </w: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Commercial &amp; industrial</w:t>
            </w:r>
          </w:p>
        </w:tc>
        <w:tc>
          <w:tcPr>
            <w:tcW w:w="24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15</w:t>
            </w:r>
          </w:p>
        </w:tc>
        <w:tc>
          <w:tcPr>
            <w:tcW w:w="2060" w:type="dxa"/>
            <w:vAlign w:val="bottom"/>
          </w:tcPr>
          <w:p>
            <w:pPr>
              <w:spacing w:after="0"/>
              <w:rPr>
                <w:sz w:val="20"/>
                <w:szCs w:val="20"/>
                <w:color w:val="auto"/>
              </w:rPr>
            </w:pPr>
          </w:p>
        </w:tc>
      </w:tr>
      <w:tr>
        <w:trPr>
          <w:trHeight w:val="33"/>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6"/>
                <w:szCs w:val="16"/>
                <w:color w:val="auto"/>
              </w:rPr>
              <w:t>Commercial construction</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w:t>
            </w: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Equipment financing</w:t>
            </w:r>
          </w:p>
        </w:tc>
        <w:tc>
          <w:tcPr>
            <w:tcW w:w="24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2060" w:type="dxa"/>
            <w:vAlign w:val="bottom"/>
          </w:tcPr>
          <w:p>
            <w:pPr>
              <w:spacing w:after="0"/>
              <w:rPr>
                <w:sz w:val="20"/>
                <w:szCs w:val="20"/>
                <w:color w:val="auto"/>
              </w:rPr>
            </w:pPr>
          </w:p>
        </w:tc>
      </w:tr>
      <w:tr>
        <w:trPr>
          <w:trHeight w:val="33"/>
        </w:trPr>
        <w:tc>
          <w:tcPr>
            <w:tcW w:w="5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30"/>
        </w:trPr>
        <w:tc>
          <w:tcPr>
            <w:tcW w:w="578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6"/>
                <w:szCs w:val="16"/>
                <w:color w:val="auto"/>
              </w:rPr>
              <w:t>Total commercial</w:t>
            </w:r>
          </w:p>
        </w:tc>
        <w:tc>
          <w:tcPr>
            <w:tcW w:w="2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73</w:t>
            </w:r>
          </w:p>
        </w:tc>
        <w:tc>
          <w:tcPr>
            <w:tcW w:w="2060" w:type="dxa"/>
            <w:vAlign w:val="bottom"/>
            <w:tcBorders>
              <w:bottom w:val="single" w:sz="8" w:color="CCEEFF"/>
            </w:tcBorders>
            <w:shd w:val="clear" w:color="auto" w:fill="CCEEFF"/>
          </w:tcPr>
          <w:p>
            <w:pPr>
              <w:spacing w:after="0"/>
              <w:rPr>
                <w:sz w:val="20"/>
                <w:szCs w:val="20"/>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Residential mortgage</w:t>
            </w:r>
          </w:p>
        </w:tc>
        <w:tc>
          <w:tcPr>
            <w:tcW w:w="24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13</w:t>
            </w:r>
          </w:p>
        </w:tc>
        <w:tc>
          <w:tcPr>
            <w:tcW w:w="2060" w:type="dxa"/>
            <w:vAlign w:val="bottom"/>
          </w:tcPr>
          <w:p>
            <w:pPr>
              <w:spacing w:after="0"/>
              <w:rPr>
                <w:sz w:val="20"/>
                <w:szCs w:val="20"/>
                <w:color w:val="auto"/>
              </w:rPr>
            </w:pPr>
          </w:p>
        </w:tc>
      </w:tr>
      <w:tr>
        <w:trPr>
          <w:trHeight w:val="33"/>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6"/>
                <w:szCs w:val="16"/>
                <w:color w:val="auto"/>
              </w:rPr>
              <w:t>Home equity lines of credit</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Residential construction</w:t>
            </w:r>
          </w:p>
        </w:tc>
        <w:tc>
          <w:tcPr>
            <w:tcW w:w="24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2060" w:type="dxa"/>
            <w:vAlign w:val="bottom"/>
          </w:tcPr>
          <w:p>
            <w:pPr>
              <w:spacing w:after="0"/>
              <w:rPr>
                <w:sz w:val="20"/>
                <w:szCs w:val="20"/>
                <w:color w:val="auto"/>
              </w:rPr>
            </w:pPr>
          </w:p>
        </w:tc>
      </w:tr>
      <w:tr>
        <w:trPr>
          <w:trHeight w:val="33"/>
        </w:trPr>
        <w:tc>
          <w:tcPr>
            <w:tcW w:w="5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60"/>
              <w:spacing w:after="0"/>
              <w:rPr>
                <w:sz w:val="20"/>
                <w:szCs w:val="20"/>
                <w:color w:val="auto"/>
              </w:rPr>
            </w:pPr>
            <w:r>
              <w:rPr>
                <w:rFonts w:ascii="Arial" w:cs="Arial" w:eastAsia="Arial" w:hAnsi="Arial"/>
                <w:sz w:val="16"/>
                <w:szCs w:val="16"/>
                <w:color w:val="auto"/>
              </w:rPr>
              <w:t>Consumer direct</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w:t>
            </w:r>
          </w:p>
        </w:tc>
        <w:tc>
          <w:tcPr>
            <w:tcW w:w="2060" w:type="dxa"/>
            <w:vAlign w:val="bottom"/>
            <w:tcBorders>
              <w:bottom w:val="single" w:sz="8" w:color="CCEEFF"/>
            </w:tcBorders>
            <w:shd w:val="clear" w:color="auto" w:fill="CCEEFF"/>
          </w:tcPr>
          <w:p>
            <w:pPr>
              <w:spacing w:after="0"/>
              <w:rPr>
                <w:sz w:val="21"/>
                <w:szCs w:val="21"/>
                <w:color w:val="auto"/>
              </w:rPr>
            </w:pPr>
          </w:p>
        </w:tc>
      </w:tr>
      <w:tr>
        <w:trPr>
          <w:trHeight w:val="237"/>
        </w:trPr>
        <w:tc>
          <w:tcPr>
            <w:tcW w:w="5780" w:type="dxa"/>
            <w:vAlign w:val="bottom"/>
          </w:tcPr>
          <w:p>
            <w:pPr>
              <w:ind w:left="2060"/>
              <w:spacing w:after="0"/>
              <w:rPr>
                <w:sz w:val="20"/>
                <w:szCs w:val="20"/>
                <w:color w:val="auto"/>
              </w:rPr>
            </w:pPr>
            <w:r>
              <w:rPr>
                <w:rFonts w:ascii="Arial" w:cs="Arial" w:eastAsia="Arial" w:hAnsi="Arial"/>
                <w:sz w:val="16"/>
                <w:szCs w:val="16"/>
                <w:color w:val="auto"/>
              </w:rPr>
              <w:t>Indirect auto</w:t>
            </w:r>
          </w:p>
        </w:tc>
        <w:tc>
          <w:tcPr>
            <w:tcW w:w="240" w:type="dxa"/>
            <w:vAlign w:val="bottom"/>
          </w:tcPr>
          <w:p>
            <w:pPr>
              <w:spacing w:after="0"/>
              <w:rPr>
                <w:sz w:val="20"/>
                <w:szCs w:val="20"/>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2060" w:type="dxa"/>
            <w:vAlign w:val="bottom"/>
          </w:tcPr>
          <w:p>
            <w:pPr>
              <w:spacing w:after="0"/>
              <w:rPr>
                <w:sz w:val="20"/>
                <w:szCs w:val="20"/>
                <w:color w:val="auto"/>
              </w:rPr>
            </w:pPr>
          </w:p>
        </w:tc>
      </w:tr>
      <w:tr>
        <w:trPr>
          <w:trHeight w:val="33"/>
        </w:trPr>
        <w:tc>
          <w:tcPr>
            <w:tcW w:w="5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r>
      <w:tr>
        <w:trPr>
          <w:trHeight w:val="244"/>
        </w:trPr>
        <w:tc>
          <w:tcPr>
            <w:tcW w:w="5780" w:type="dxa"/>
            <w:vAlign w:val="bottom"/>
            <w:tcBorders>
              <w:bottom w:val="single" w:sz="8" w:color="CCEEFF"/>
            </w:tcBorders>
            <w:shd w:val="clear" w:color="auto" w:fill="CCEEFF"/>
          </w:tcPr>
          <w:p>
            <w:pPr>
              <w:ind w:left="230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2060" w:type="dxa"/>
            <w:vAlign w:val="bottom"/>
            <w:tcBorders>
              <w:bottom w:val="single" w:sz="8" w:color="CCEEFF"/>
            </w:tcBorders>
            <w:shd w:val="clear" w:color="auto" w:fill="CCEEFF"/>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United manages asset quality and controls credit risk through review and oversight of the loan portfolio as well as adherence to policies designed to promote sound underwriting and loan monitoring practices. United’s credit risk management function is responsible for monitoring asset quality and Board of Directors-approved portfolio limits, establishing credit policies and procedures and enforcing the consistent application of these policies and procedures among all lending units. Additional information on the credit risk management function is included in Item 1 under the heading </w:t>
      </w:r>
      <w:r>
        <w:rPr>
          <w:rFonts w:ascii="Arial" w:cs="Arial" w:eastAsia="Arial" w:hAnsi="Arial"/>
          <w:sz w:val="18"/>
          <w:szCs w:val="18"/>
          <w:i w:val="1"/>
          <w:iCs w:val="1"/>
          <w:color w:val="auto"/>
        </w:rPr>
        <w:t>Lending Activities</w:t>
      </w:r>
      <w:r>
        <w:rPr>
          <w:rFonts w:ascii="Arial" w:cs="Arial" w:eastAsia="Arial" w:hAnsi="Arial"/>
          <w:sz w:val="18"/>
          <w:szCs w:val="18"/>
          <w:color w:val="auto"/>
        </w:rPr>
        <w:t xml:space="preserve"> in United’s 2018 10-K.</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classifies commercial performing loans as “substandard” when there is a well-defined weakness or weaknesses that jeopardizes the repayment by the borrower and there is a distinct possibility that United could sustain some loss if the deficiency is not corrected. United classifies consumer performing loans as “substandard” when the loan is in bankruptcy.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58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The table below presents performing classified loans for the last five quarters.</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8 - Performing Classified Loans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0"/>
        </w:trPr>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6"/>
                <w:szCs w:val="16"/>
                <w:b w:val="1"/>
                <w:bCs w:val="1"/>
                <w:color w:val="auto"/>
              </w:rPr>
              <w:t>June 30, 2019</w:t>
            </w:r>
          </w:p>
        </w:tc>
        <w:tc>
          <w:tcPr>
            <w:tcW w:w="1400" w:type="dxa"/>
            <w:vAlign w:val="bottom"/>
            <w:gridSpan w:val="3"/>
          </w:tcPr>
          <w:p>
            <w:pPr>
              <w:ind w:left="120"/>
              <w:spacing w:after="0"/>
              <w:rPr>
                <w:sz w:val="20"/>
                <w:szCs w:val="20"/>
                <w:color w:val="auto"/>
              </w:rPr>
            </w:pPr>
            <w:r>
              <w:rPr>
                <w:rFonts w:ascii="Arial" w:cs="Arial" w:eastAsia="Arial" w:hAnsi="Arial"/>
                <w:sz w:val="16"/>
                <w:szCs w:val="16"/>
                <w:b w:val="1"/>
                <w:bCs w:val="1"/>
                <w:color w:val="auto"/>
              </w:rPr>
              <w:t>March 31, 2019</w:t>
            </w:r>
          </w:p>
        </w:tc>
        <w:tc>
          <w:tcPr>
            <w:tcW w:w="120" w:type="dxa"/>
            <w:vAlign w:val="bottom"/>
          </w:tcPr>
          <w:p>
            <w:pPr>
              <w:spacing w:after="0"/>
              <w:rPr>
                <w:sz w:val="18"/>
                <w:szCs w:val="18"/>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6"/>
              </w:rPr>
              <w:t>June 30, 2018</w:t>
            </w:r>
          </w:p>
        </w:tc>
      </w:tr>
      <w:tr>
        <w:trPr>
          <w:trHeight w:val="33"/>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By Category</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Owner occupied commercial real estate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34,650</w:t>
            </w:r>
          </w:p>
        </w:tc>
        <w:tc>
          <w:tcPr>
            <w:tcW w:w="120" w:type="dxa"/>
            <w:vAlign w:val="bottom"/>
          </w:tcPr>
          <w:p>
            <w:pPr>
              <w:spacing w:after="0"/>
              <w:rPr>
                <w:sz w:val="20"/>
                <w:szCs w:val="20"/>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32,433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32,909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38,601</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42,169</w:t>
            </w: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producing commercial 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26,219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24,170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26,120</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Commercial &amp; industrial</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34,015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21,125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20,980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21,509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17,820</w:t>
            </w: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construction</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10,102</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Equipment financing</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820</w:t>
            </w:r>
          </w:p>
        </w:tc>
      </w:tr>
      <w:tr>
        <w:trPr>
          <w:trHeight w:val="33"/>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commercial</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102,749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80,969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81,703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92,566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97,031</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Residential mortgage</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4,719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5,600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5,623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13,582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14,970</w:t>
            </w: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Home equity</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1,504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5,117</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Residential construction</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1,397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1,567</w:t>
            </w:r>
          </w:p>
        </w:tc>
      </w:tr>
      <w:tr>
        <w:trPr>
          <w:trHeight w:val="33"/>
        </w:trPr>
        <w:tc>
          <w:tcPr>
            <w:tcW w:w="4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Consumer direct</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w:t>
            </w:r>
          </w:p>
        </w:tc>
      </w:tr>
      <w:tr>
        <w:trPr>
          <w:trHeight w:val="237"/>
        </w:trPr>
        <w:tc>
          <w:tcPr>
            <w:tcW w:w="4920" w:type="dxa"/>
            <w:vAlign w:val="bottom"/>
          </w:tcPr>
          <w:p>
            <w:pPr>
              <w:ind w:left="40"/>
              <w:spacing w:after="0"/>
              <w:rPr>
                <w:sz w:val="20"/>
                <w:szCs w:val="20"/>
                <w:color w:val="auto"/>
              </w:rPr>
            </w:pPr>
            <w:r>
              <w:rPr>
                <w:rFonts w:ascii="Arial" w:cs="Arial" w:eastAsia="Arial" w:hAnsi="Arial"/>
                <w:sz w:val="16"/>
                <w:szCs w:val="16"/>
                <w:color w:val="auto"/>
              </w:rPr>
              <w:t>Indirect auto</w:t>
            </w:r>
          </w:p>
        </w:tc>
        <w:tc>
          <w:tcPr>
            <w:tcW w:w="12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1,391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1,555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1,704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1,291</w:t>
            </w:r>
          </w:p>
        </w:tc>
      </w:tr>
      <w:tr>
        <w:trPr>
          <w:trHeight w:val="33"/>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110,934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90,205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90,783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114,483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120,474</w:t>
            </w:r>
          </w:p>
        </w:tc>
      </w:tr>
      <w:tr>
        <w:trPr>
          <w:trHeight w:val="20"/>
        </w:trPr>
        <w:tc>
          <w:tcPr>
            <w:tcW w:w="4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Reviews of classified performing and non-performing loans, past due loans and larger credits are conducted on a regular basis and are designed to identify risk migration and potential charges to the allowance for loan losses. These reviews are presented by the responsible lending officers or respective credit officer and specific action plans are discussed along with the financial strength of borrowers, the value of the applicable collateral, past loan loss experience, anticipated loan losses, changes in risk profile, the effect of prevailing economic conditions on the borrower and other factors specific to the borrower and its industry. In addition to the reviews mentioned above, an independent loan review team reviews the portfolio to ensure consistent application of risk rating policies and procedures.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The following table presents a summary of the changes in the allowance for credit losses for the periods indicated.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9 - Allowance for Credit Losses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222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6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60" w:type="dxa"/>
            <w:vAlign w:val="bottom"/>
          </w:tcPr>
          <w:p>
            <w:pPr>
              <w:spacing w:after="0"/>
              <w:rPr>
                <w:sz w:val="18"/>
                <w:szCs w:val="18"/>
                <w:color w:val="auto"/>
              </w:rPr>
            </w:pPr>
          </w:p>
        </w:tc>
      </w:tr>
      <w:tr>
        <w:trPr>
          <w:trHeight w:val="33"/>
        </w:trPr>
        <w:tc>
          <w:tcPr>
            <w:tcW w:w="6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6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r>
      <w:tr>
        <w:trPr>
          <w:trHeight w:val="33"/>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 for loan and lease losses at beginning of period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61,642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61,085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61,203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58,914</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Charge-offs: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Owner occupied commercial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67</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Income producing commercial real estate</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1,653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505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2,310</w:t>
            </w: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&amp; industrial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617</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Commercial construction</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416</w:t>
            </w: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Equipment financing</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2,434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162</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Residential mortgage</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182</w:t>
            </w: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Home equity lines of credit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335</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Residential construction</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w:t>
            </w: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Consumer direct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1,203</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Indirect auto</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379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815</w:t>
            </w:r>
          </w:p>
        </w:tc>
      </w:tr>
      <w:tr>
        <w:trPr>
          <w:trHeight w:val="33"/>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loans charged-off</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3,827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8,187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6,115</w:t>
            </w:r>
          </w:p>
        </w:tc>
      </w:tr>
      <w:tr>
        <w:trPr>
          <w:trHeight w:val="231"/>
        </w:trPr>
        <w:tc>
          <w:tcPr>
            <w:tcW w:w="6400" w:type="dxa"/>
            <w:vAlign w:val="bottom"/>
          </w:tcPr>
          <w:p>
            <w:pPr>
              <w:ind w:left="40"/>
              <w:spacing w:after="0"/>
              <w:rPr>
                <w:sz w:val="20"/>
                <w:szCs w:val="20"/>
                <w:color w:val="auto"/>
              </w:rPr>
            </w:pPr>
            <w:r>
              <w:rPr>
                <w:rFonts w:ascii="Arial" w:cs="Arial" w:eastAsia="Arial" w:hAnsi="Arial"/>
                <w:sz w:val="16"/>
                <w:szCs w:val="16"/>
                <w:color w:val="auto"/>
              </w:rPr>
              <w:t>Recoveries: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Owner occupied commercial real estate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688</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Income producing commercial real estate</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467</w:t>
            </w: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Commercial &amp; industrial</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606</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Commercial construction</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256</w:t>
            </w: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Equipment financing</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168</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Residential mortgage</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224</w:t>
            </w: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Home equity lines of credit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225</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Residential construction</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131</w:t>
            </w: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Consumer direct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355</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Indirect auto</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135</w:t>
            </w:r>
          </w:p>
        </w:tc>
      </w:tr>
      <w:tr>
        <w:trPr>
          <w:trHeight w:val="33"/>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recoveries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3,255</w:t>
            </w:r>
          </w:p>
        </w:tc>
      </w:tr>
      <w:tr>
        <w:trPr>
          <w:trHeight w:val="217"/>
        </w:trPr>
        <w:tc>
          <w:tcPr>
            <w:tcW w:w="6400" w:type="dxa"/>
            <w:vAlign w:val="bottom"/>
          </w:tcPr>
          <w:p>
            <w:pPr>
              <w:ind w:left="280"/>
              <w:spacing w:after="0"/>
              <w:rPr>
                <w:sz w:val="20"/>
                <w:szCs w:val="20"/>
                <w:color w:val="auto"/>
              </w:rPr>
            </w:pPr>
            <w:r>
              <w:rPr>
                <w:rFonts w:ascii="Arial" w:cs="Arial" w:eastAsia="Arial" w:hAnsi="Arial"/>
                <w:sz w:val="16"/>
                <w:szCs w:val="16"/>
                <w:color w:val="auto"/>
              </w:rPr>
              <w:t>Net charge-offs</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2,438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1,359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5,568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2,860</w:t>
            </w:r>
          </w:p>
        </w:tc>
      </w:tr>
      <w:tr>
        <w:trPr>
          <w:trHeight w:val="33"/>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Provision for loan and lease losses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6,569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5,017</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Allowance for loan and lease losses at end of period</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62,204</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61,071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62,204</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61,071</w:t>
            </w:r>
          </w:p>
        </w:tc>
      </w:tr>
      <w:tr>
        <w:trPr>
          <w:trHeight w:val="33"/>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4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Allowance for unfunded commitments at beginning of period</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3,141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2,440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3,410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2,312</w:t>
            </w: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Provision for losses on unfunded commitments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455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583</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Allowance for unfunded commitments at end of period</w:t>
            </w: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3,391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2,895</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3,391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2,895</w:t>
            </w:r>
          </w:p>
        </w:tc>
      </w:tr>
      <w:tr>
        <w:trPr>
          <w:trHeight w:val="33"/>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 for credit losses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65,595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63,966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65,595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63,966</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57"/>
        </w:trPr>
        <w:tc>
          <w:tcPr>
            <w:tcW w:w="6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loans and leases: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At period-end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8,838,218</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w w:val="98"/>
              </w:rPr>
              <w:t>8,220,271</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8,838,218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w w:val="95"/>
              </w:rPr>
              <w:t>8,220,271</w:t>
            </w: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Average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8,669,847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8"/>
              </w:rPr>
              <w:t>8,177,343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8,550,574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5"/>
              </w:rPr>
              <w:t>8,085,849</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Allowance for loan and lease losses as a percentage of period-end loans and leases</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0.70%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0.74%</w:t>
            </w: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 a percentage of average loans (annualized):</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Net charge-offs</w:t>
            </w:r>
          </w:p>
        </w:tc>
        <w:tc>
          <w:tcPr>
            <w:tcW w:w="240" w:type="dxa"/>
            <w:vAlign w:val="bottom"/>
          </w:tcPr>
          <w:p>
            <w:pPr>
              <w:spacing w:after="0"/>
              <w:rPr>
                <w:sz w:val="20"/>
                <w:szCs w:val="20"/>
                <w:color w:val="auto"/>
              </w:rPr>
            </w:pPr>
          </w:p>
        </w:tc>
        <w:tc>
          <w:tcPr>
            <w:tcW w:w="940" w:type="dxa"/>
            <w:vAlign w:val="bottom"/>
          </w:tcPr>
          <w:p>
            <w:pPr>
              <w:jc w:val="right"/>
              <w:ind w:right="99"/>
              <w:spacing w:after="0"/>
              <w:rPr>
                <w:sz w:val="20"/>
                <w:szCs w:val="20"/>
                <w:color w:val="auto"/>
              </w:rPr>
            </w:pPr>
            <w:r>
              <w:rPr>
                <w:rFonts w:ascii="Arial" w:cs="Arial" w:eastAsia="Arial" w:hAnsi="Arial"/>
                <w:sz w:val="16"/>
                <w:szCs w:val="16"/>
                <w:color w:val="auto"/>
              </w:rPr>
              <w:t>0.11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0.07</w:t>
            </w: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7"/>
        </w:trPr>
        <w:tc>
          <w:tcPr>
            <w:tcW w:w="64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Provision for loan and lease losses</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0.14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0.13</w:t>
            </w:r>
          </w:p>
        </w:tc>
      </w:tr>
      <w:tr>
        <w:trPr>
          <w:trHeight w:val="33"/>
        </w:trPr>
        <w:tc>
          <w:tcPr>
            <w:tcW w:w="6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provision for credit losses charged to earnings is based upon management’s judgment of the amount necessary to maintain the allowance at a level appropriate to absorb probable incurred losses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For further discussion regarding our allowance for credit losses, refer to Critical Accounting Estimates included in the 2018 10-K.</w:t>
      </w:r>
    </w:p>
    <w:p>
      <w:pPr>
        <w:sectPr>
          <w:pgSz w:w="11900" w:h="16838" w:orient="portrait"/>
          <w:cols w:equalWidth="0" w:num="1">
            <w:col w:w="11420"/>
          </w:cols>
          <w:pgMar w:left="240" w:top="584" w:right="239" w:bottom="609"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584" w:right="239" w:bottom="609" w:gutter="0" w:footer="0" w:header="0"/>
          <w:type w:val="continuous"/>
        </w:sectPr>
      </w:pPr>
    </w:p>
    <w:bookmarkStart w:id="62" w:name="page63"/>
    <w:bookmarkEnd w:id="62"/>
    <w:p>
      <w:pPr>
        <w:jc w:val="both"/>
        <w:spacing w:after="0" w:line="264" w:lineRule="auto"/>
        <w:rPr>
          <w:sz w:val="20"/>
          <w:szCs w:val="20"/>
          <w:color w:val="auto"/>
        </w:rPr>
      </w:pPr>
      <w:r>
        <w:rPr>
          <w:rFonts w:ascii="Arial" w:cs="Arial" w:eastAsia="Arial" w:hAnsi="Arial"/>
          <w:sz w:val="18"/>
          <w:szCs w:val="18"/>
          <w:color w:val="auto"/>
        </w:rPr>
        <w:t>The allowance for credit losses, which includes a portion related to unfunded commitments, totaled $65.6 million at June 30, 2019, compared with $64.6 million at December 31, 2018. At June 30, 2019, the allowance for loan losses was $62.2 million, or 0.70% of loans, compared with $61.2 million, or 0.73% of total loans, at December 31, 2018.</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that the allowance for credit losses at June 30, 2019 reflects the probable incurred losses in the loan portfolio and unfunded loan commitments. This assessment involves uncertainty and judgment and is subject to change in future periods. The amount of any changes could be significant if management’s assessment of loan quality or collateral values change substantially with respect to one or more loan relationships or portfolios. In addition, bank regulatory authorities, as part of their periodic examination of the Bank, may require adjustments to the allowance for credit losses in future periods if, in their opinion, the results of their review warrant such adjustments.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nonperforming assets (“NPAs”).</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10 - Nonperforming 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2019</w:t>
            </w:r>
          </w:p>
        </w:tc>
        <w:tc>
          <w:tcPr>
            <w:tcW w:w="18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31, 2018</w:t>
            </w:r>
          </w:p>
        </w:tc>
      </w:tr>
      <w:tr>
        <w:trPr>
          <w:trHeight w:val="27"/>
        </w:trPr>
        <w:tc>
          <w:tcPr>
            <w:tcW w:w="7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Nonaccrual loans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26,597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23,778</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Foreclosed properties/other real estate owned ("OREO")</w:t>
            </w:r>
          </w:p>
        </w:tc>
        <w:tc>
          <w:tcPr>
            <w:tcW w:w="300" w:type="dxa"/>
            <w:vAlign w:val="bottom"/>
          </w:tcPr>
          <w:p>
            <w:pPr>
              <w:spacing w:after="0"/>
              <w:rPr>
                <w:sz w:val="21"/>
                <w:szCs w:val="21"/>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1,305</w:t>
            </w:r>
          </w:p>
        </w:tc>
      </w:tr>
      <w:tr>
        <w:trPr>
          <w:trHeight w:val="27"/>
        </w:trPr>
        <w:tc>
          <w:tcPr>
            <w:tcW w:w="74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7"/>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nonperforming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26,672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25,083</w:t>
            </w:r>
          </w:p>
        </w:tc>
      </w:tr>
      <w:tr>
        <w:trPr>
          <w:trHeight w:val="20"/>
        </w:trPr>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71"/>
        </w:trPr>
        <w:tc>
          <w:tcPr>
            <w:tcW w:w="7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Nonaccrual loans as a percentage of total loans and leases</w:t>
            </w:r>
          </w:p>
        </w:tc>
        <w:tc>
          <w:tcPr>
            <w:tcW w:w="3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Nonperforming assets as a percentage of total loans and OREO</w:t>
            </w:r>
          </w:p>
        </w:tc>
        <w:tc>
          <w:tcPr>
            <w:tcW w:w="300" w:type="dxa"/>
            <w:vAlign w:val="bottom"/>
          </w:tcPr>
          <w:p>
            <w:pPr>
              <w:spacing w:after="0"/>
              <w:rPr>
                <w:sz w:val="21"/>
                <w:szCs w:val="21"/>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0.30</w:t>
            </w:r>
          </w:p>
        </w:tc>
      </w:tr>
      <w:tr>
        <w:trPr>
          <w:trHeight w:val="27"/>
        </w:trPr>
        <w:tc>
          <w:tcPr>
            <w:tcW w:w="7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Nonperforming assets as a percentage of total assets</w:t>
            </w:r>
          </w:p>
        </w:tc>
        <w:tc>
          <w:tcPr>
            <w:tcW w:w="3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0.20</w:t>
            </w:r>
          </w:p>
        </w:tc>
      </w:tr>
      <w:tr>
        <w:trPr>
          <w:trHeight w:val="27"/>
        </w:trPr>
        <w:tc>
          <w:tcPr>
            <w:tcW w:w="74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United’s policy is to place loans on nonaccrual status when, in the opinion of management, the principal and interest on a loan is not likely to be repaid in full or when the loan becomes 90 days past due. When a loan is classified on nonaccrual status, interest previously accrued but not collected is reversed against current interest revenue. Principal and interest payments received on a nonaccrual loan are generally applied to reduce the loan’s recorded investment.</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Purchased credit impaired (“PCI”) loans are considered past due or delinquent when the contractual principal or interest due in accordance with the terms of the loan agreement remains unpaid after the due date of the scheduled payment. However, these loans are considered as performing, even though they may be contractually past due, as any non-payment of contractual principal or interest is considered in the periodic re-estimation of expected cash flows and is included in the resulting recognition of current period loan loss provision or future period yield adjustments. The accrual of interest is discontinued on PCI loans if management can no longer reliably estimate future cash flows on the loan. No PCI loans were classified as nonaccrual at June 30, 2019 or December 31, 2018 as the carrying value of the respective loan or pool of loans cash flows were considered estimable and probable of collection. Therefore, interest revenue, through accretion of the difference between the carrying value of the loans and the expected cash flows, is being recognized on all PCI loans. For additional information about and discussion of PCI loans, see Note 6 to our consolidated financial statements included in Part I - Item 1 of this Quarterly Report on Form 10-Q.</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The following table summarizes nonperforming assets by category as of the dates indicated.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11 - Nonperforming Assets by Category</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 2019</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December 31, 2018</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Nonaccrual</w:t>
            </w:r>
          </w:p>
        </w:tc>
        <w:tc>
          <w:tcPr>
            <w:tcW w:w="1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Foreclosed</w:t>
            </w:r>
          </w:p>
        </w:tc>
        <w:tc>
          <w:tcPr>
            <w:tcW w:w="28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108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Nonaccrual</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Foreclosed</w:t>
            </w:r>
          </w:p>
        </w:tc>
        <w:tc>
          <w:tcPr>
            <w:tcW w:w="260" w:type="dxa"/>
            <w:vAlign w:val="bottom"/>
          </w:tcPr>
          <w:p>
            <w:pPr>
              <w:spacing w:after="0"/>
              <w:rPr>
                <w:sz w:val="18"/>
                <w:szCs w:val="18"/>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210"/>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Loans</w:t>
            </w:r>
          </w:p>
        </w:tc>
        <w:tc>
          <w:tcPr>
            <w:tcW w:w="12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Properties</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NPAs</w:t>
            </w:r>
          </w:p>
        </w:tc>
        <w:tc>
          <w:tcPr>
            <w:tcW w:w="160" w:type="dxa"/>
            <w:vAlign w:val="bottom"/>
          </w:tcPr>
          <w:p>
            <w:pPr>
              <w:spacing w:after="0"/>
              <w:rPr>
                <w:sz w:val="18"/>
                <w:szCs w:val="18"/>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Loans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Properties</w:t>
            </w:r>
          </w:p>
        </w:tc>
        <w:tc>
          <w:tcPr>
            <w:tcW w:w="260" w:type="dxa"/>
            <w:vAlign w:val="bottom"/>
          </w:tcPr>
          <w:p>
            <w:pPr>
              <w:spacing w:after="0"/>
              <w:rPr>
                <w:sz w:val="18"/>
                <w:szCs w:val="18"/>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b w:val="1"/>
                <w:bCs w:val="1"/>
                <w:color w:val="auto"/>
              </w:rPr>
              <w:t>NPAs</w:t>
            </w:r>
          </w:p>
        </w:tc>
      </w:tr>
      <w:tr>
        <w:trPr>
          <w:trHeight w:val="33"/>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Owner occupied commercial real estate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8,177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8,196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6,591</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Income producing commercial real estate</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1,331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1,331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1,160</w:t>
            </w: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&amp; industrial</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1,417</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Commercial construction</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1,650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1,026</w:t>
            </w: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Equipment financing</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2,677</w:t>
            </w:r>
          </w:p>
        </w:tc>
      </w:tr>
      <w:tr>
        <w:trPr>
          <w:trHeight w:val="217"/>
        </w:trPr>
        <w:tc>
          <w:tcPr>
            <w:tcW w:w="3340" w:type="dxa"/>
            <w:vAlign w:val="bottom"/>
          </w:tcPr>
          <w:p>
            <w:pPr>
              <w:ind w:left="180"/>
              <w:spacing w:after="0"/>
              <w:rPr>
                <w:sz w:val="20"/>
                <w:szCs w:val="20"/>
                <w:color w:val="auto"/>
              </w:rPr>
            </w:pPr>
            <w:r>
              <w:rPr>
                <w:rFonts w:ascii="Arial" w:cs="Arial" w:eastAsia="Arial" w:hAnsi="Arial"/>
                <w:sz w:val="16"/>
                <w:szCs w:val="16"/>
                <w:color w:val="auto"/>
              </w:rPr>
              <w:t>Total commercial</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15,571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15,590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12,280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12,871</w:t>
            </w: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 mortgage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8,689</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Home equity lines of credit</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1,978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1,987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2,360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2,420</w:t>
            </w: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 construction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Consumer direct</w:t>
            </w:r>
          </w:p>
        </w:tc>
        <w:tc>
          <w:tcPr>
            <w:tcW w:w="160" w:type="dxa"/>
            <w:vAlign w:val="bottom"/>
          </w:tcPr>
          <w:p>
            <w:pPr>
              <w:spacing w:after="0"/>
              <w:rPr>
                <w:sz w:val="20"/>
                <w:szCs w:val="20"/>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89</w:t>
            </w:r>
          </w:p>
        </w:tc>
      </w:tr>
      <w:tr>
        <w:trPr>
          <w:trHeight w:val="33"/>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Indirect auto</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726</w:t>
            </w:r>
          </w:p>
        </w:tc>
      </w:tr>
      <w:tr>
        <w:trPr>
          <w:trHeight w:val="244"/>
        </w:trPr>
        <w:tc>
          <w:tcPr>
            <w:tcW w:w="3340" w:type="dxa"/>
            <w:vAlign w:val="bottom"/>
          </w:tcPr>
          <w:p>
            <w:pPr>
              <w:ind w:left="180"/>
              <w:spacing w:after="0"/>
              <w:rPr>
                <w:sz w:val="20"/>
                <w:szCs w:val="20"/>
                <w:color w:val="auto"/>
              </w:rPr>
            </w:pPr>
            <w:r>
              <w:rPr>
                <w:rFonts w:ascii="Arial" w:cs="Arial" w:eastAsia="Arial" w:hAnsi="Arial"/>
                <w:sz w:val="16"/>
                <w:szCs w:val="16"/>
                <w:b w:val="1"/>
                <w:bCs w:val="1"/>
                <w:color w:val="auto"/>
              </w:rPr>
              <w:t>Total NPAs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26,597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26,672</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23,778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1,305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25,083</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2019 and December 31, 2018, United had $50.3 million and $52.4 million, respectively, in loans with terms that have been modified in troubled debt restructurings (“TDRs”). Included therein were $6.06 million and $7.09 million, respectively, of TDRs that were classified as nonaccrual and were included in nonperforming loans. The remaining TDRs with an aggregate balance of $44.3 million and $45.3 million, respectively, were performing according to their modified terms and are therefore not considered to be nonperforming assets.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June 30, 2019 and December 31, 2018, there were $57.3 million and $55.4 million, respectively, of loans classified as impaired, including TDRs. Included in impaired loans at June 30, 2019 and December 31, 2018 were $25.5 million and $23.5 million of loans, respectively, that did not require specific reserves or had previously been charged down to net realizable value. The remaining balance of impaired loans at June 30, 2019 and December 31, 2018 of $31.7 million and $32.0 million, respectively, had specific reserves that totaled $2.36 million and $2.31 million,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activity in nonaccrual loans for the periods indicated.</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Table 12 - Activity in Nonaccrual Loans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3520" w:type="dxa"/>
            <w:vAlign w:val="bottom"/>
            <w:gridSpan w:val="5"/>
          </w:tcPr>
          <w:p>
            <w:pPr>
              <w:ind w:left="16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ind w:right="276"/>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38"/>
              <w:spacing w:after="0"/>
              <w:rPr>
                <w:sz w:val="20"/>
                <w:szCs w:val="20"/>
                <w:color w:val="auto"/>
              </w:rPr>
            </w:pPr>
            <w:r>
              <w:rPr>
                <w:rFonts w:ascii="Arial" w:cs="Arial" w:eastAsia="Arial" w:hAnsi="Arial"/>
                <w:sz w:val="18"/>
                <w:szCs w:val="18"/>
                <w:b w:val="1"/>
                <w:bCs w:val="1"/>
                <w:color w:val="auto"/>
                <w:w w:val="94"/>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6"/>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38"/>
              <w:spacing w:after="0"/>
              <w:rPr>
                <w:sz w:val="20"/>
                <w:szCs w:val="20"/>
                <w:color w:val="auto"/>
              </w:rPr>
            </w:pPr>
            <w:r>
              <w:rPr>
                <w:rFonts w:ascii="Arial" w:cs="Arial" w:eastAsia="Arial" w:hAnsi="Arial"/>
                <w:sz w:val="18"/>
                <w:szCs w:val="18"/>
                <w:b w:val="1"/>
                <w:bCs w:val="1"/>
                <w:color w:val="auto"/>
                <w:w w:val="89"/>
              </w:rPr>
              <w:t>2018</w:t>
            </w:r>
          </w:p>
        </w:tc>
        <w:tc>
          <w:tcPr>
            <w:tcW w:w="1600" w:type="dxa"/>
            <w:vAlign w:val="bottom"/>
          </w:tcPr>
          <w:p>
            <w:pPr>
              <w:spacing w:after="0"/>
              <w:rPr>
                <w:sz w:val="20"/>
                <w:szCs w:val="20"/>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6"/>
                <w:szCs w:val="16"/>
                <w:b w:val="1"/>
                <w:bCs w:val="1"/>
                <w:color w:val="auto"/>
              </w:rPr>
              <w:t>Beginning Balance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23,624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26,240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23,778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23,658</w:t>
            </w:r>
          </w:p>
        </w:tc>
        <w:tc>
          <w:tcPr>
            <w:tcW w:w="1600" w:type="dxa"/>
            <w:vAlign w:val="bottom"/>
            <w:tcBorders>
              <w:bottom w:val="single" w:sz="8" w:color="CCEEFF"/>
            </w:tcBorders>
            <w:shd w:val="clear" w:color="auto" w:fill="CCEEFF"/>
          </w:tcPr>
          <w:p>
            <w:pPr>
              <w:spacing w:after="0"/>
              <w:rPr>
                <w:sz w:val="20"/>
                <w:szCs w:val="20"/>
                <w:color w:val="auto"/>
              </w:rPr>
            </w:pPr>
          </w:p>
        </w:tc>
      </w:tr>
      <w:tr>
        <w:trPr>
          <w:trHeight w:val="237"/>
        </w:trPr>
        <w:tc>
          <w:tcPr>
            <w:tcW w:w="5380" w:type="dxa"/>
            <w:vAlign w:val="bottom"/>
          </w:tcPr>
          <w:p>
            <w:pPr>
              <w:ind w:left="1760"/>
              <w:spacing w:after="0"/>
              <w:rPr>
                <w:sz w:val="20"/>
                <w:szCs w:val="20"/>
                <w:color w:val="auto"/>
              </w:rPr>
            </w:pPr>
            <w:r>
              <w:rPr>
                <w:rFonts w:ascii="Arial" w:cs="Arial" w:eastAsia="Arial" w:hAnsi="Arial"/>
                <w:sz w:val="16"/>
                <w:szCs w:val="16"/>
                <w:color w:val="auto"/>
              </w:rPr>
              <w:t>Acquisitions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00" w:type="dxa"/>
            <w:vAlign w:val="bottom"/>
          </w:tcPr>
          <w:p>
            <w:pPr>
              <w:jc w:val="right"/>
              <w:ind w:right="18"/>
              <w:spacing w:after="0"/>
              <w:rPr>
                <w:sz w:val="20"/>
                <w:szCs w:val="20"/>
                <w:color w:val="auto"/>
              </w:rPr>
            </w:pPr>
            <w:r>
              <w:rPr>
                <w:rFonts w:ascii="Arial" w:cs="Arial" w:eastAsia="Arial" w:hAnsi="Arial"/>
                <w:sz w:val="16"/>
                <w:szCs w:val="16"/>
                <w:color w:val="auto"/>
              </w:rPr>
              <w:t>428</w:t>
            </w:r>
          </w:p>
        </w:tc>
        <w:tc>
          <w:tcPr>
            <w:tcW w:w="160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6"/>
                <w:szCs w:val="16"/>
                <w:color w:val="auto"/>
              </w:rPr>
              <w:t>Loans placed on nonaccrual</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6"/>
                <w:szCs w:val="16"/>
                <w:color w:val="auto"/>
              </w:rPr>
              <w:t>8,316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3,612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6"/>
                <w:szCs w:val="16"/>
                <w:color w:val="auto"/>
              </w:rPr>
              <w:t>15,075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11,075</w:t>
            </w:r>
          </w:p>
        </w:tc>
        <w:tc>
          <w:tcPr>
            <w:tcW w:w="160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760"/>
              <w:spacing w:after="0"/>
              <w:rPr>
                <w:sz w:val="20"/>
                <w:szCs w:val="20"/>
                <w:color w:val="auto"/>
              </w:rPr>
            </w:pPr>
            <w:r>
              <w:rPr>
                <w:rFonts w:ascii="Arial" w:cs="Arial" w:eastAsia="Arial" w:hAnsi="Arial"/>
                <w:sz w:val="16"/>
                <w:szCs w:val="16"/>
                <w:color w:val="auto"/>
              </w:rPr>
              <w:t>Payments received</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(8,848)</w:t>
            </w:r>
          </w:p>
        </w:tc>
        <w:tc>
          <w:tcPr>
            <w:tcW w:w="1600" w:type="dxa"/>
            <w:vAlign w:val="bottom"/>
          </w:tcPr>
          <w:p>
            <w:pPr>
              <w:spacing w:after="0"/>
              <w:rPr>
                <w:sz w:val="20"/>
                <w:szCs w:val="20"/>
                <w:color w:val="auto"/>
              </w:rPr>
            </w:pPr>
          </w:p>
        </w:tc>
      </w:tr>
      <w:tr>
        <w:trPr>
          <w:trHeight w:val="33"/>
        </w:trPr>
        <w:tc>
          <w:tcPr>
            <w:tcW w:w="5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760"/>
              <w:spacing w:after="0"/>
              <w:rPr>
                <w:sz w:val="20"/>
                <w:szCs w:val="20"/>
                <w:color w:val="auto"/>
              </w:rPr>
            </w:pPr>
            <w:r>
              <w:rPr>
                <w:rFonts w:ascii="Arial" w:cs="Arial" w:eastAsia="Arial" w:hAnsi="Arial"/>
                <w:sz w:val="16"/>
                <w:szCs w:val="16"/>
                <w:color w:val="auto"/>
              </w:rPr>
              <w:t>Loan charge-offs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(3,215)</w:t>
            </w:r>
          </w:p>
        </w:tc>
        <w:tc>
          <w:tcPr>
            <w:tcW w:w="160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760"/>
              <w:spacing w:after="0"/>
              <w:rPr>
                <w:sz w:val="20"/>
                <w:szCs w:val="20"/>
                <w:color w:val="auto"/>
              </w:rPr>
            </w:pPr>
            <w:r>
              <w:rPr>
                <w:rFonts w:ascii="Arial" w:cs="Arial" w:eastAsia="Arial" w:hAnsi="Arial"/>
                <w:sz w:val="16"/>
                <w:szCs w:val="16"/>
                <w:color w:val="auto"/>
              </w:rPr>
              <w:t>Foreclosures</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(1,281)</w:t>
            </w:r>
          </w:p>
        </w:tc>
        <w:tc>
          <w:tcPr>
            <w:tcW w:w="1600" w:type="dxa"/>
            <w:vAlign w:val="bottom"/>
          </w:tcPr>
          <w:p>
            <w:pPr>
              <w:spacing w:after="0"/>
              <w:rPr>
                <w:sz w:val="20"/>
                <w:szCs w:val="20"/>
                <w:color w:val="auto"/>
              </w:rPr>
            </w:pPr>
          </w:p>
        </w:tc>
      </w:tr>
      <w:tr>
        <w:trPr>
          <w:trHeight w:val="33"/>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6"/>
                <w:szCs w:val="16"/>
                <w:b w:val="1"/>
                <w:bCs w:val="1"/>
                <w:color w:val="auto"/>
              </w:rPr>
              <w:t>Ending Balance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6"/>
                <w:szCs w:val="16"/>
                <w:color w:val="auto"/>
              </w:rPr>
              <w:t>26,597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21,817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6"/>
                <w:szCs w:val="16"/>
                <w:color w:val="auto"/>
              </w:rPr>
              <w:t>26,597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21,817</w:t>
            </w:r>
          </w:p>
        </w:tc>
        <w:tc>
          <w:tcPr>
            <w:tcW w:w="1600" w:type="dxa"/>
            <w:vAlign w:val="bottom"/>
            <w:tcBorders>
              <w:bottom w:val="single" w:sz="8" w:color="CCEEFF"/>
            </w:tcBorders>
            <w:shd w:val="clear" w:color="auto" w:fill="CCEEFF"/>
          </w:tcPr>
          <w:p>
            <w:pPr>
              <w:spacing w:after="0"/>
              <w:rPr>
                <w:sz w:val="21"/>
                <w:szCs w:val="21"/>
                <w:color w:val="auto"/>
              </w:rPr>
            </w:pP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including repurchase agreements.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2019 and December 31, 2018, United had debt securities held-to-maturity with a carrying amount of $253 million and $274 million, respectively, and debt securities available-for-sale totaling $2.37 billion and $2.63 billion, respectively. At June 30, 2019 and</w:t>
      </w:r>
    </w:p>
    <w:p>
      <w:pPr>
        <w:sectPr>
          <w:pgSz w:w="11900" w:h="16838" w:orient="portrait"/>
          <w:cols w:equalWidth="0" w:num="1">
            <w:col w:w="11420"/>
          </w:cols>
          <w:pgMar w:left="240" w:top="584"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584" w:right="239" w:bottom="1440" w:gutter="0" w:footer="0" w:header="0"/>
          <w:type w:val="continuous"/>
        </w:sectPr>
      </w:pPr>
    </w:p>
    <w:bookmarkStart w:id="64" w:name="page65"/>
    <w:bookmarkEnd w:id="64"/>
    <w:p>
      <w:pPr>
        <w:jc w:val="both"/>
        <w:spacing w:after="0" w:line="277" w:lineRule="auto"/>
        <w:rPr>
          <w:sz w:val="20"/>
          <w:szCs w:val="20"/>
          <w:color w:val="auto"/>
        </w:rPr>
      </w:pPr>
      <w:r>
        <w:rPr>
          <w:rFonts w:ascii="Arial" w:cs="Arial" w:eastAsia="Arial" w:hAnsi="Arial"/>
          <w:sz w:val="18"/>
          <w:szCs w:val="18"/>
          <w:color w:val="auto"/>
        </w:rPr>
        <w:t>December 31, 2018, the securities portfolio represented approximately 21% and 23%, respectively, of total assets. During the first half of 2019, management intentionally reduced securities and wholesale borrowings as part of a balance sheet deleveraging strategy.</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investment securities portfolio primarily consists of Treasury securities, U.S. government agency securities, U.S. government sponsored agency mortgage-backed securities, non-agency mortgage-backed securities, corporate securities, municipal securities and asset-backed securities. Mortgage-backed securities rely on the underlying pools of mortgage loans to provide a cash flow of principal and interest. The actual maturities of these securities will usually differ from contractual maturities because loans underlying the securities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collateralized loan obligations and securities backed by student loans.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evaluates its securities portfolio each quarter to determine if any security is considered to be other than temporarily impaired. In making this evaluation, management considers its ability and intent to hold securities to recover current market losses. Losses on fixed income securities at June 30, 2019 primarily reflect the effect of changes in interest rates. United did not recognize any other than temporary impairment losses on its investment securities during the three and six months ended June 30, 2019 or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Goodwill represents the premium paid for acquired companies above the fair value of the assets acquired and liabilities assumed, including separately identifiable intangible assets.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Core deposit intangibles, representing the value of acquired deposit relationships, and noncompete agreements are amortizing intangible assets that are required to be tested for impairment only when events or circumstances indicate that impairment may exist. There were no events or circumstances that led management to believe that any impairment exists in goodwill or other intangible assets.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customer deposits, excluding brokered deposits, as of June 30, 2019 were $10.3 billion, compared to $9.85 billion at December 31, 2018. Total core transaction deposits (demand, NOW, money market and savings deposits, excluding public funds deposits) of $7.40 billion at June 30, 2019 increased $442 million since December 31, 2018, which included approximately $140 million from FMBT. United’s high level of service, as evidenced by its strong customer satisfaction scores, has been instrumental in attracting and retaining customer deposit accounts.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 is a shareholder in the Federal Home Loan Bank of Atlanta (“FHLB”). Through this affiliation, FHLB secured advances totaled $160 million as of June 30, 2019 and December 31, 2018. United anticipates continued use of this short and long-term source of funds. At June 30, 2019 and December 31, 2018, United also had long-term debt outstanding of $248 million and $267 million, respectively, which includes senior debentures, subordinated debentures, trust preferred securities, and securitized notes payable. Additional information regarding FHLB advances and long-term debt is provided in Notes 12 and 13, respectively, to the consolidated financial statements included in the 2018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United’s contractual obligations since December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 is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584" w:right="239" w:bottom="1440" w:gutter="0" w:footer="0" w:header="0"/>
        </w:sectPr>
      </w:pPr>
    </w:p>
    <w:bookmarkStart w:id="65" w:name="page66"/>
    <w:bookmarkEnd w:id="65"/>
    <w:p>
      <w:pPr>
        <w:jc w:val="both"/>
        <w:spacing w:after="0" w:line="276" w:lineRule="auto"/>
        <w:rPr>
          <w:sz w:val="20"/>
          <w:szCs w:val="20"/>
          <w:color w:val="auto"/>
        </w:rPr>
      </w:pPr>
      <w:r>
        <w:rPr>
          <w:rFonts w:ascii="Arial" w:cs="Arial" w:eastAsia="Arial" w:hAnsi="Arial"/>
          <w:sz w:val="17"/>
          <w:szCs w:val="17"/>
          <w:color w:val="auto"/>
        </w:rPr>
        <w:t>The exposure to credit loss in the event of nonperformance by the other party to the commitments to extend credit, letters of credit and financial guarantees is represented by the contractual amount of these instruments. United uses the same credit underwriting procedures for making commitments, letters of credit and financial guarantees, as it uses for underwriting on-balance sheet instruments. Management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 United is not involved in off-balance sheet contractual relationships, other than those disclosed in this report, that could result in liquidity needs or other commitments, or that could significantly affect earnings. See Note 20 to the consolidated financial statements included in United’s 2018 10-K for additional information on off-balance sheet arrangements.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absolute level and volatility of interest rates can have a significant effect on profitability. The objective of interest rate risk management is to identify and manage the sensitivity of net interest revenue to changing interest rates, consistent with United’s overall financial goals. Based on economic conditions, asset quality and various other considerations, management establishes tolerance ranges for interest rate sensitivity and manages within these ranges.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interest revenue and the fair value of financial instruments are influenced by changes in the level of interest rates. United limits its exposure to fluctuations in interest rates through policies established by its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interest rate sensitivity.</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One of the tools management uses to estimate and manage the sensitivity of net interest revenue to changes in interest rates is an asset/liability simulation model. Resulting estimates are based upon several assumptions for each scenario, including loan and deposit re-pricing characteristics and the rate of prepayments. ALCO periodically reviews the assumptions for reasonableness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to in order to measure the change in net interest revenue. Policy limits are based on immediate rate shock scenarios, as well as gradually rising and falling rate scenarios, which are all compared to the base scenario. Other scenarios analyzed may include delayed rate shocks, yield curve steepening or flattening, or other variations in rate movements. While the primary policy scenarios focus on a 12-month time frame, longer time horizons are also modeled.</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United’s policy is based on the 12-month impact on net interest revenue of interest rate shocks and ramps that increase from 100 to 400 basis points or decrease 100 to 200 basis points from the base scenario. In the shock scenarios, rates immediately change the full amount at the scenario onset. In the ramp scenarios, rates change by 25 basis points per month. United’s policy limits the projected change in net interest revenue over the first 12 months to a 5% decrease for each 100 basis point change in the increasing and decreasing rate ramp and shock scenarios. The following table presents United’s interest sensitivity position at the dates indicated. The change in simulation model results from December 31, 2018 to June 30, 2019 was primarily a result of a change in assumptions implemented in the first quarter of 2019, rather than a reflection of a significant change in balance sheet composition.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3"/>
          </w:tcPr>
          <w:p>
            <w:pPr>
              <w:spacing w:after="0"/>
              <w:rPr>
                <w:sz w:val="20"/>
                <w:szCs w:val="20"/>
                <w:color w:val="auto"/>
              </w:rPr>
            </w:pPr>
            <w:r>
              <w:rPr>
                <w:rFonts w:ascii="Arial" w:cs="Arial" w:eastAsia="Arial" w:hAnsi="Arial"/>
                <w:sz w:val="18"/>
                <w:szCs w:val="18"/>
                <w:b w:val="1"/>
                <w:bCs w:val="1"/>
                <w:color w:val="auto"/>
              </w:rPr>
              <w:t>Table 13 - Interest Sensitivity</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78"/>
        </w:trPr>
        <w:tc>
          <w:tcPr>
            <w:tcW w:w="10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80" w:type="dxa"/>
            <w:vAlign w:val="bottom"/>
            <w:gridSpan w:val="8"/>
          </w:tcPr>
          <w:p>
            <w:pPr>
              <w:ind w:left="120"/>
              <w:spacing w:after="0"/>
              <w:rPr>
                <w:sz w:val="20"/>
                <w:szCs w:val="20"/>
                <w:color w:val="auto"/>
              </w:rPr>
            </w:pPr>
            <w:r>
              <w:rPr>
                <w:rFonts w:ascii="Arial" w:cs="Arial" w:eastAsia="Arial" w:hAnsi="Arial"/>
                <w:sz w:val="18"/>
                <w:szCs w:val="18"/>
                <w:b w:val="1"/>
                <w:bCs w:val="1"/>
                <w:color w:val="auto"/>
              </w:rPr>
              <w:t>Increase (Decrease) in Net Interest Revenue from Base Scenario at</w:t>
            </w:r>
          </w:p>
        </w:tc>
      </w:tr>
      <w:tr>
        <w:trPr>
          <w:trHeight w:val="27"/>
        </w:trPr>
        <w:tc>
          <w:tcPr>
            <w:tcW w:w="10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Borders>
              <w:bottom w:val="single" w:sz="8" w:color="auto"/>
            </w:tcBorders>
            <w:gridSpan w:val="4"/>
          </w:tcPr>
          <w:p>
            <w:pPr>
              <w:spacing w:after="0"/>
              <w:rPr>
                <w:sz w:val="2"/>
                <w:szCs w:val="2"/>
                <w:color w:val="auto"/>
              </w:rPr>
            </w:pPr>
          </w:p>
        </w:tc>
        <w:tc>
          <w:tcPr>
            <w:tcW w:w="2600" w:type="dxa"/>
            <w:vAlign w:val="bottom"/>
            <w:tcBorders>
              <w:bottom w:val="single" w:sz="8" w:color="auto"/>
            </w:tcBorders>
            <w:gridSpan w:val="3"/>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10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4"/>
          </w:tcPr>
          <w:p>
            <w:pPr>
              <w:ind w:left="780"/>
              <w:spacing w:after="0"/>
              <w:rPr>
                <w:sz w:val="20"/>
                <w:szCs w:val="20"/>
                <w:color w:val="auto"/>
              </w:rPr>
            </w:pPr>
            <w:r>
              <w:rPr>
                <w:rFonts w:ascii="Arial" w:cs="Arial" w:eastAsia="Arial" w:hAnsi="Arial"/>
                <w:sz w:val="18"/>
                <w:szCs w:val="18"/>
                <w:b w:val="1"/>
                <w:bCs w:val="1"/>
                <w:color w:val="auto"/>
              </w:rPr>
              <w:t>June 30, 2019</w:t>
            </w:r>
          </w:p>
        </w:tc>
        <w:tc>
          <w:tcPr>
            <w:tcW w:w="4000" w:type="dxa"/>
            <w:vAlign w:val="bottom"/>
            <w:gridSpan w:val="4"/>
          </w:tcPr>
          <w:p>
            <w:pPr>
              <w:ind w:left="58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1080" w:type="dxa"/>
            <w:vAlign w:val="bottom"/>
          </w:tcPr>
          <w:p>
            <w:pPr>
              <w:spacing w:after="0"/>
              <w:rPr>
                <w:sz w:val="2"/>
                <w:szCs w:val="2"/>
                <w:color w:val="auto"/>
              </w:rPr>
            </w:pPr>
          </w:p>
        </w:tc>
        <w:tc>
          <w:tcPr>
            <w:tcW w:w="3660" w:type="dxa"/>
            <w:vAlign w:val="bottom"/>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1080" w:type="dxa"/>
            <w:vAlign w:val="bottom"/>
          </w:tcPr>
          <w:p>
            <w:pPr>
              <w:spacing w:after="0"/>
              <w:rPr>
                <w:sz w:val="20"/>
                <w:szCs w:val="20"/>
                <w:color w:val="auto"/>
              </w:rPr>
            </w:pPr>
          </w:p>
        </w:tc>
        <w:tc>
          <w:tcPr>
            <w:tcW w:w="3660" w:type="dxa"/>
            <w:vAlign w:val="bottom"/>
            <w:gridSpan w:val="2"/>
          </w:tcPr>
          <w:p>
            <w:pPr>
              <w:ind w:left="1140"/>
              <w:spacing w:after="0"/>
              <w:rPr>
                <w:sz w:val="20"/>
                <w:szCs w:val="20"/>
                <w:color w:val="auto"/>
              </w:rPr>
            </w:pPr>
            <w:r>
              <w:rPr>
                <w:rFonts w:ascii="Arial" w:cs="Arial" w:eastAsia="Arial" w:hAnsi="Arial"/>
                <w:sz w:val="18"/>
                <w:szCs w:val="18"/>
                <w:b w:val="1"/>
                <w:bCs w:val="1"/>
                <w:color w:val="auto"/>
              </w:rPr>
              <w:t>Change in Rates</w:t>
            </w:r>
          </w:p>
        </w:tc>
        <w:tc>
          <w:tcPr>
            <w:tcW w:w="1340" w:type="dxa"/>
            <w:vAlign w:val="bottom"/>
            <w:gridSpan w:val="2"/>
          </w:tcPr>
          <w:p>
            <w:pPr>
              <w:ind w:left="380"/>
              <w:spacing w:after="0"/>
              <w:rPr>
                <w:sz w:val="20"/>
                <w:szCs w:val="20"/>
                <w:color w:val="auto"/>
              </w:rPr>
            </w:pPr>
            <w:r>
              <w:rPr>
                <w:rFonts w:ascii="Arial" w:cs="Arial" w:eastAsia="Arial" w:hAnsi="Arial"/>
                <w:sz w:val="18"/>
                <w:szCs w:val="18"/>
                <w:b w:val="1"/>
                <w:bCs w:val="1"/>
                <w:color w:val="auto"/>
              </w:rPr>
              <w:t>Shock</w:t>
            </w:r>
          </w:p>
        </w:tc>
        <w:tc>
          <w:tcPr>
            <w:tcW w:w="1340" w:type="dxa"/>
            <w:vAlign w:val="bottom"/>
            <w:gridSpan w:val="2"/>
          </w:tcPr>
          <w:p>
            <w:pPr>
              <w:ind w:left="380"/>
              <w:spacing w:after="0"/>
              <w:rPr>
                <w:sz w:val="20"/>
                <w:szCs w:val="20"/>
                <w:color w:val="auto"/>
              </w:rPr>
            </w:pPr>
            <w:r>
              <w:rPr>
                <w:rFonts w:ascii="Arial" w:cs="Arial" w:eastAsia="Arial" w:hAnsi="Arial"/>
                <w:sz w:val="18"/>
                <w:szCs w:val="18"/>
                <w:b w:val="1"/>
                <w:bCs w:val="1"/>
                <w:color w:val="auto"/>
              </w:rPr>
              <w:t>Ramp</w:t>
            </w:r>
          </w:p>
        </w:tc>
        <w:tc>
          <w:tcPr>
            <w:tcW w:w="1360" w:type="dxa"/>
            <w:vAlign w:val="bottom"/>
            <w:gridSpan w:val="2"/>
          </w:tcPr>
          <w:p>
            <w:pPr>
              <w:ind w:left="380"/>
              <w:spacing w:after="0"/>
              <w:rPr>
                <w:sz w:val="20"/>
                <w:szCs w:val="20"/>
                <w:color w:val="auto"/>
              </w:rPr>
            </w:pPr>
            <w:r>
              <w:rPr>
                <w:rFonts w:ascii="Arial" w:cs="Arial" w:eastAsia="Arial" w:hAnsi="Arial"/>
                <w:sz w:val="18"/>
                <w:szCs w:val="18"/>
                <w:b w:val="1"/>
                <w:bCs w:val="1"/>
                <w:color w:val="auto"/>
              </w:rPr>
              <w:t>Shock</w:t>
            </w:r>
          </w:p>
        </w:tc>
        <w:tc>
          <w:tcPr>
            <w:tcW w:w="2640" w:type="dxa"/>
            <w:vAlign w:val="bottom"/>
            <w:gridSpan w:val="2"/>
          </w:tcPr>
          <w:p>
            <w:pPr>
              <w:ind w:left="380"/>
              <w:spacing w:after="0"/>
              <w:rPr>
                <w:sz w:val="20"/>
                <w:szCs w:val="20"/>
                <w:color w:val="auto"/>
              </w:rPr>
            </w:pPr>
            <w:r>
              <w:rPr>
                <w:rFonts w:ascii="Arial" w:cs="Arial" w:eastAsia="Arial" w:hAnsi="Arial"/>
                <w:sz w:val="18"/>
                <w:szCs w:val="18"/>
                <w:b w:val="1"/>
                <w:bCs w:val="1"/>
                <w:color w:val="auto"/>
              </w:rPr>
              <w:t>Ramp</w:t>
            </w:r>
          </w:p>
        </w:tc>
      </w:tr>
      <w:tr>
        <w:trPr>
          <w:trHeight w:val="27"/>
        </w:trPr>
        <w:tc>
          <w:tcPr>
            <w:tcW w:w="1080" w:type="dxa"/>
            <w:vAlign w:val="bottom"/>
            <w:tcBorders>
              <w:bottom w:val="single" w:sz="8" w:color="CCEEFF"/>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44"/>
        </w:trPr>
        <w:tc>
          <w:tcPr>
            <w:tcW w:w="108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100 basis point increase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w w:val="95"/>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w w:val="95"/>
              </w:rPr>
              <w:t>(0.81)%</w:t>
            </w: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1080" w:type="dxa"/>
            <w:vAlign w:val="bottom"/>
          </w:tcPr>
          <w:p>
            <w:pPr>
              <w:spacing w:after="0"/>
              <w:rPr>
                <w:sz w:val="21"/>
                <w:szCs w:val="21"/>
                <w:color w:val="auto"/>
              </w:rPr>
            </w:pPr>
          </w:p>
        </w:tc>
        <w:tc>
          <w:tcPr>
            <w:tcW w:w="3660" w:type="dxa"/>
            <w:vAlign w:val="bottom"/>
            <w:gridSpan w:val="2"/>
          </w:tcPr>
          <w:p>
            <w:pPr>
              <w:ind w:left="20"/>
              <w:spacing w:after="0"/>
              <w:rPr>
                <w:sz w:val="20"/>
                <w:szCs w:val="20"/>
                <w:color w:val="auto"/>
              </w:rPr>
            </w:pPr>
            <w:r>
              <w:rPr>
                <w:rFonts w:ascii="Arial" w:cs="Arial" w:eastAsia="Arial" w:hAnsi="Arial"/>
                <w:sz w:val="18"/>
                <w:szCs w:val="18"/>
                <w:color w:val="auto"/>
              </w:rPr>
              <w:t>100 basis point decrease</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1240" w:type="dxa"/>
            <w:vAlign w:val="bottom"/>
          </w:tcPr>
          <w:p>
            <w:pPr>
              <w:ind w:left="62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1240" w:type="dxa"/>
            <w:vAlign w:val="bottom"/>
          </w:tcPr>
          <w:p>
            <w:pPr>
              <w:ind w:left="620"/>
              <w:spacing w:after="0"/>
              <w:rPr>
                <w:sz w:val="20"/>
                <w:szCs w:val="20"/>
                <w:color w:val="auto"/>
              </w:rPr>
            </w:pPr>
            <w:r>
              <w:rPr>
                <w:rFonts w:ascii="Arial" w:cs="Arial" w:eastAsia="Arial" w:hAnsi="Arial"/>
                <w:sz w:val="18"/>
                <w:szCs w:val="18"/>
                <w:color w:val="auto"/>
              </w:rPr>
              <w:t>(2.17)</w:t>
            </w:r>
          </w:p>
        </w:tc>
        <w:tc>
          <w:tcPr>
            <w:tcW w:w="1400" w:type="dxa"/>
            <w:vAlign w:val="bottom"/>
          </w:tcPr>
          <w:p>
            <w:pPr>
              <w:spacing w:after="0"/>
              <w:rPr>
                <w:sz w:val="21"/>
                <w:szCs w:val="21"/>
                <w:color w:val="auto"/>
              </w:rPr>
            </w:pPr>
          </w:p>
        </w:tc>
      </w:tr>
      <w:tr>
        <w:trPr>
          <w:trHeight w:val="702"/>
        </w:trPr>
        <w:tc>
          <w:tcPr>
            <w:tcW w:w="10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800" w:right="239" w:bottom="1440" w:gutter="0" w:footer="0" w:header="0"/>
        </w:sectPr>
      </w:pPr>
    </w:p>
    <w:bookmarkStart w:id="66" w:name="page67"/>
    <w:bookmarkEnd w:id="66"/>
    <w:p>
      <w:pPr>
        <w:jc w:val="both"/>
        <w:spacing w:after="0" w:line="297"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potentially adverse effect of interest rate changes on net interest revenue.</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has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Derivative financial instruments are used to manage interest rate sensitivity. These contracts generally consist of interest rate swaps under which United pays a variable rate (or fixed rate, as the case may be) and receives a fixed rate (or variable rate, as the case may be). In addition, investment securities and wholesale funding strategies are used to manage interest rate risk.</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United has other derivative financial instruments that are not designated as accounting hedges but are used for interest rate risk management purposes and as effective economic hedges. Derivative financial instruments that are not accounted for as accounting hedges are marked to market through earnings.</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From time to time, United will terminate hedging positions when conditions change and the position is no longer necessary to manage overall sensitivity to changes in interest rates. In those situations when the terminated contract was in an effective hedging relationship at the time of termination and the hedging relationship is expected to remain effective throughout the original term of the contract, the resulting gain or loss is amortized over the remaining life of the original contract. For swap contracts, the gain or loss is amortized over the remaining original contract term using the straight-line method of amortization. During the second quarter of 2019, United amortized the remaining balance of losses on terminated hedging positions from other comprehensive income.</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policy requires all non-customer facing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appropriately monitored and controlled and will not have any material adverse effect on financial condition or results of operations. In order to mitigate potential credit risk, from time to time United may require the counterparties to derivative contracts to pledge cash and/or securities as collateral to cover the net exposure.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Liquidity is defined as the ability to convert assets into cash or cash equivalents without significant loss and to raise additional funds by increasing liabilities. Liquidity management involves maintaining the ability to meet the daily cash flow requirements of customers, both depositors and borrowers. The primary objective is to ensure that sufficient funding is available, at a reasonable cost, to meet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To assist in determining the adequacy of its liquidity, United performs a variety of liquidity stress tests. United maintains an unencumbered liquid asset reserve to help ensure its ability to meet its obligations under normal conditions for at least a 12-month period and under severely adverse liquidity conditions for a minimum of 30 days.</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An important part of the Bank’s liquidity resides in the asset portion of the balance sheet, which provides liquidity primarily through loan interest and principal repayments and the maturities and sales of securities, as well as the ability to use these assets as collateral for borrowings on a secured basis.</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Bank’s main source of liquidity is customer interest-bearing and noninterest-bearing deposit accounts. Liquidity is also available from wholesale funding sources consisting primarily of Federal funds purchased, FHLB advances, brokered deposits and securities sold under agreements to repurchase. These sources of liquidity are generally short-term in nature and are used as necessary to fund asset growth and meet other short-term liquidity needs.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584" w:right="239" w:bottom="1440" w:gutter="0" w:footer="0" w:header="0"/>
        </w:sectPr>
      </w:pPr>
    </w:p>
    <w:bookmarkStart w:id="67" w:name="page68"/>
    <w:bookmarkEnd w:id="67"/>
    <w:p>
      <w:pPr>
        <w:jc w:val="both"/>
        <w:spacing w:after="0" w:line="255" w:lineRule="auto"/>
        <w:rPr>
          <w:sz w:val="20"/>
          <w:szCs w:val="20"/>
          <w:color w:val="auto"/>
        </w:rPr>
      </w:pPr>
      <w:r>
        <w:rPr>
          <w:rFonts w:ascii="Arial" w:cs="Arial" w:eastAsia="Arial" w:hAnsi="Arial"/>
          <w:sz w:val="18"/>
          <w:szCs w:val="18"/>
          <w:color w:val="auto"/>
        </w:rPr>
        <w:t>In addition, because the Holding Company is a separate legal entity apart from the Bank, it must provide for its own liquidity. The Holding Company is responsible for the payment of dividends to shareholders, and interest and principal on any outstanding debt or trust preferred securities. The Holding Company currently has internal capital resources to meet these obligations. While the Holding Company has access to the capital markets and maintains a line of credit as a contingent funding source, the ultimate source of its liquidity is subsidiary service fees and dividends from the Bank, which are limited by applicable law and regulations. Holding Company liquidity is managed to a minimum of 15-months of positive cash flow after considering all of its liquidity needs over this period.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2019, United had sufficient qualifying collateral to increase FHLB advances by $1.04 billion and Federal Reserve discount window borrowing capacity of $1.50 billion, as well as unpledged investment securities of $1.92 billion that could be used as collateral for additional borrowings. In addition to these wholesale sources, United has the ability to attract retail deposits by competing more aggressively on pricing.</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disclosed in the consolidated statement of cash flows, net cash provided by operating activities was $48.7 million for the six months ended June 30, 2019. Net income of $88.3 million for the six-month period included non-cash expenses for the following: deferred income tax expense of $1.34 million, depreciation, amortization and accretion of $12.5 million, provision expense of $6.55 million and stock-based compensation expense of $6.00 million. Uses of cash from operating activities included an increase in other assets and accrued interest receivable of $40.6 million and an increase in loans held for sale of $27.4 million, offset by an increase in accrued expenses and other liabilities of $4.79 million. Net cash provided by investing activities of $67.2 million consisted primarily of proceeds from sales and maturities and calls of debt securities available for sale and equity securities of $226 million and $139 million, respectively, and proceeds from maturities and calls of debt securities held to maturity of $29.5 million. These sources of cash were offset by a $243 million net increase in loans, $45.6 million in purchases of debt securities available for sale and equity securities, net cash paid for acquisitions of $19.5 million, and $13.9 million in purchases of premises and equipment. Net cash used in financing activities of $167 million consisted primarily of a net decrease in deposits of $155 million, cash dividends of $25.7 million and repayments of long-term debt of $19.6 million. In the opinion of management, United’s liquidity position at June 30, 2019, was sufficient to meet its expected cash flow requirements.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Shareholders’ equity at June 30, 2019 was $1.57 billion, an increase of $109 million from December 31, 2018 due to year-to-date earnings less dividends declared and an increase in the value of available-for-sale securities, partially offset by $7.84 million in share repurchases. Accumulated other comprehensive income (loss), which includes unrealized gains and losses on securities available-for-sale, the unrealized gains and losses on derivatives qualifying as cash flow hedges and unamortized prior service cost and actuarial gains and losses on defined benefit pension plans, is excluded in the calculation of regulatory capital adequacy ratios.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capital ratios, as calculated under applicable regulatory guidelines, at June 30, 2019 and December 31, 2018. As of June 30, 2019, capital levels remained characterized as “well-capitalized” under the Basel III Capital Rules in effect at the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 – Capital Ratios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5"/>
          </w:tcPr>
          <w:p>
            <w:pPr>
              <w:jc w:val="center"/>
              <w:ind w:right="260"/>
              <w:spacing w:after="0"/>
              <w:rPr>
                <w:sz w:val="20"/>
                <w:szCs w:val="20"/>
                <w:color w:val="auto"/>
              </w:rPr>
            </w:pPr>
            <w:r>
              <w:rPr>
                <w:rFonts w:ascii="Arial" w:cs="Arial" w:eastAsia="Arial" w:hAnsi="Arial"/>
                <w:sz w:val="17"/>
                <w:szCs w:val="17"/>
                <w:b w:val="1"/>
                <w:bCs w:val="1"/>
                <w:color w:val="auto"/>
                <w:w w:val="91"/>
              </w:rPr>
              <w:t>United Community Banks, Inc.</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2"/>
        </w:trPr>
        <w:tc>
          <w:tcPr>
            <w:tcW w:w="2460" w:type="dxa"/>
            <w:vAlign w:val="bottom"/>
          </w:tcPr>
          <w:p>
            <w:pPr>
              <w:spacing w:after="0"/>
              <w:rPr>
                <w:sz w:val="19"/>
                <w:szCs w:val="19"/>
                <w:color w:val="auto"/>
              </w:rPr>
            </w:pPr>
          </w:p>
        </w:tc>
        <w:tc>
          <w:tcPr>
            <w:tcW w:w="2800" w:type="dxa"/>
            <w:vAlign w:val="bottom"/>
            <w:gridSpan w:val="4"/>
          </w:tcPr>
          <w:p>
            <w:pPr>
              <w:ind w:left="640"/>
              <w:spacing w:after="0"/>
              <w:rPr>
                <w:sz w:val="20"/>
                <w:szCs w:val="20"/>
                <w:color w:val="auto"/>
              </w:rPr>
            </w:pPr>
            <w:r>
              <w:rPr>
                <w:rFonts w:ascii="Arial" w:cs="Arial" w:eastAsia="Arial" w:hAnsi="Arial"/>
                <w:sz w:val="17"/>
                <w:szCs w:val="17"/>
                <w:b w:val="1"/>
                <w:bCs w:val="1"/>
                <w:color w:val="auto"/>
              </w:rPr>
              <w:t>Basel III Guidelines</w:t>
            </w:r>
          </w:p>
        </w:tc>
        <w:tc>
          <w:tcPr>
            <w:tcW w:w="180" w:type="dxa"/>
            <w:vAlign w:val="bottom"/>
          </w:tcPr>
          <w:p>
            <w:pPr>
              <w:spacing w:after="0"/>
              <w:rPr>
                <w:sz w:val="19"/>
                <w:szCs w:val="19"/>
                <w:color w:val="auto"/>
              </w:rPr>
            </w:pPr>
          </w:p>
        </w:tc>
        <w:tc>
          <w:tcPr>
            <w:tcW w:w="2960" w:type="dxa"/>
            <w:vAlign w:val="bottom"/>
            <w:gridSpan w:val="5"/>
          </w:tcPr>
          <w:p>
            <w:pPr>
              <w:jc w:val="center"/>
              <w:ind w:right="260"/>
              <w:spacing w:after="0"/>
              <w:rPr>
                <w:sz w:val="20"/>
                <w:szCs w:val="20"/>
                <w:color w:val="auto"/>
              </w:rPr>
            </w:pPr>
            <w:r>
              <w:rPr>
                <w:rFonts w:ascii="Arial" w:cs="Arial" w:eastAsia="Arial" w:hAnsi="Arial"/>
                <w:sz w:val="17"/>
                <w:szCs w:val="17"/>
                <w:b w:val="1"/>
                <w:bCs w:val="1"/>
                <w:color w:val="auto"/>
                <w:w w:val="89"/>
              </w:rPr>
              <w:t>(Consolidated)</w:t>
            </w:r>
          </w:p>
        </w:tc>
        <w:tc>
          <w:tcPr>
            <w:tcW w:w="180" w:type="dxa"/>
            <w:vAlign w:val="bottom"/>
          </w:tcPr>
          <w:p>
            <w:pPr>
              <w:spacing w:after="0"/>
              <w:rPr>
                <w:sz w:val="19"/>
                <w:szCs w:val="19"/>
                <w:color w:val="auto"/>
              </w:rPr>
            </w:pPr>
          </w:p>
        </w:tc>
        <w:tc>
          <w:tcPr>
            <w:tcW w:w="2840" w:type="dxa"/>
            <w:vAlign w:val="bottom"/>
            <w:gridSpan w:val="4"/>
          </w:tcPr>
          <w:p>
            <w:pPr>
              <w:jc w:val="right"/>
              <w:ind w:right="495"/>
              <w:spacing w:after="0"/>
              <w:rPr>
                <w:sz w:val="20"/>
                <w:szCs w:val="20"/>
                <w:color w:val="auto"/>
              </w:rPr>
            </w:pPr>
            <w:r>
              <w:rPr>
                <w:rFonts w:ascii="Arial" w:cs="Arial" w:eastAsia="Arial" w:hAnsi="Arial"/>
                <w:sz w:val="17"/>
                <w:szCs w:val="17"/>
                <w:b w:val="1"/>
                <w:bCs w:val="1"/>
                <w:color w:val="auto"/>
              </w:rPr>
              <w:t>United Community Bank</w:t>
            </w:r>
          </w:p>
        </w:tc>
      </w:tr>
      <w:tr>
        <w:trPr>
          <w:trHeight w:val="31"/>
        </w:trPr>
        <w:tc>
          <w:tcPr>
            <w:tcW w:w="246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9"/>
        </w:trPr>
        <w:tc>
          <w:tcPr>
            <w:tcW w:w="2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7"/>
              </w:rPr>
              <w:t>Well</w:t>
            </w: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ind w:left="40"/>
              <w:spacing w:after="0"/>
              <w:rPr>
                <w:sz w:val="20"/>
                <w:szCs w:val="20"/>
                <w:color w:val="auto"/>
              </w:rPr>
            </w:pPr>
            <w:r>
              <w:rPr>
                <w:rFonts w:ascii="Arial" w:cs="Arial" w:eastAsia="Arial" w:hAnsi="Arial"/>
                <w:sz w:val="17"/>
                <w:szCs w:val="17"/>
                <w:b w:val="1"/>
                <w:bCs w:val="1"/>
                <w:color w:val="auto"/>
              </w:rPr>
              <w:t>December 31,</w:t>
            </w: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115"/>
              <w:spacing w:after="0"/>
              <w:rPr>
                <w:sz w:val="20"/>
                <w:szCs w:val="20"/>
                <w:color w:val="auto"/>
              </w:rPr>
            </w:pPr>
            <w:r>
              <w:rPr>
                <w:rFonts w:ascii="Arial" w:cs="Arial" w:eastAsia="Arial" w:hAnsi="Arial"/>
                <w:sz w:val="17"/>
                <w:szCs w:val="17"/>
                <w:b w:val="1"/>
                <w:bCs w:val="1"/>
                <w:color w:val="auto"/>
                <w:w w:val="92"/>
              </w:rPr>
              <w:t>December 31,</w:t>
            </w:r>
          </w:p>
        </w:tc>
      </w:tr>
      <w:tr>
        <w:trPr>
          <w:trHeight w:val="253"/>
        </w:trPr>
        <w:tc>
          <w:tcPr>
            <w:tcW w:w="2460" w:type="dxa"/>
            <w:vAlign w:val="bottom"/>
          </w:tcPr>
          <w:p>
            <w:pPr>
              <w:spacing w:after="0"/>
              <w:rPr>
                <w:sz w:val="22"/>
                <w:szCs w:val="22"/>
                <w:color w:val="auto"/>
              </w:rPr>
            </w:pPr>
          </w:p>
        </w:tc>
        <w:tc>
          <w:tcPr>
            <w:tcW w:w="1400" w:type="dxa"/>
            <w:vAlign w:val="bottom"/>
            <w:gridSpan w:val="2"/>
          </w:tcPr>
          <w:p>
            <w:pPr>
              <w:ind w:left="180"/>
              <w:spacing w:after="0" w:line="253" w:lineRule="exact"/>
              <w:rPr>
                <w:sz w:val="20"/>
                <w:szCs w:val="20"/>
                <w:color w:val="auto"/>
              </w:rPr>
            </w:pPr>
            <w:r>
              <w:rPr>
                <w:rFonts w:ascii="Arial" w:cs="Arial" w:eastAsia="Arial" w:hAnsi="Arial"/>
                <w:sz w:val="17"/>
                <w:szCs w:val="17"/>
                <w:b w:val="1"/>
                <w:bCs w:val="1"/>
                <w:color w:val="auto"/>
              </w:rPr>
              <w:t xml:space="preserve">Minimum </w:t>
            </w:r>
            <w:r>
              <w:rPr>
                <w:rFonts w:ascii="Arial" w:cs="Arial" w:eastAsia="Arial" w:hAnsi="Arial"/>
                <w:sz w:val="28"/>
                <w:szCs w:val="28"/>
                <w:b w:val="1"/>
                <w:bCs w:val="1"/>
                <w:color w:val="auto"/>
                <w:vertAlign w:val="superscript"/>
              </w:rPr>
              <w:t>(1)</w:t>
            </w:r>
          </w:p>
        </w:tc>
        <w:tc>
          <w:tcPr>
            <w:tcW w:w="14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Capitalized</w:t>
            </w:r>
          </w:p>
        </w:tc>
        <w:tc>
          <w:tcPr>
            <w:tcW w:w="180" w:type="dxa"/>
            <w:vAlign w:val="bottom"/>
          </w:tcPr>
          <w:p>
            <w:pPr>
              <w:spacing w:after="0"/>
              <w:rPr>
                <w:sz w:val="22"/>
                <w:szCs w:val="22"/>
                <w:color w:val="auto"/>
              </w:rPr>
            </w:pPr>
          </w:p>
        </w:tc>
        <w:tc>
          <w:tcPr>
            <w:tcW w:w="1440" w:type="dxa"/>
            <w:vAlign w:val="bottom"/>
            <w:gridSpan w:val="2"/>
          </w:tcPr>
          <w:p>
            <w:pPr>
              <w:ind w:left="80"/>
              <w:spacing w:after="0"/>
              <w:rPr>
                <w:sz w:val="20"/>
                <w:szCs w:val="20"/>
                <w:color w:val="auto"/>
              </w:rPr>
            </w:pPr>
            <w:r>
              <w:rPr>
                <w:rFonts w:ascii="Arial" w:cs="Arial" w:eastAsia="Arial" w:hAnsi="Arial"/>
                <w:sz w:val="17"/>
                <w:szCs w:val="17"/>
                <w:b w:val="1"/>
                <w:bCs w:val="1"/>
                <w:color w:val="auto"/>
              </w:rPr>
              <w:t>June 30, 2019</w:t>
            </w:r>
          </w:p>
        </w:tc>
        <w:tc>
          <w:tcPr>
            <w:tcW w:w="160" w:type="dxa"/>
            <w:vAlign w:val="bottom"/>
          </w:tcPr>
          <w:p>
            <w:pPr>
              <w:spacing w:after="0"/>
              <w:rPr>
                <w:sz w:val="22"/>
                <w:szCs w:val="22"/>
                <w:color w:val="auto"/>
              </w:rPr>
            </w:pPr>
          </w:p>
        </w:tc>
        <w:tc>
          <w:tcPr>
            <w:tcW w:w="1240" w:type="dxa"/>
            <w:vAlign w:val="bottom"/>
          </w:tcPr>
          <w:p>
            <w:pPr>
              <w:jc w:val="right"/>
              <w:ind w:right="435"/>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2"/>
          </w:tcPr>
          <w:p>
            <w:pPr>
              <w:ind w:left="80"/>
              <w:spacing w:after="0"/>
              <w:rPr>
                <w:sz w:val="20"/>
                <w:szCs w:val="20"/>
                <w:color w:val="auto"/>
              </w:rPr>
            </w:pPr>
            <w:r>
              <w:rPr>
                <w:rFonts w:ascii="Arial" w:cs="Arial" w:eastAsia="Arial" w:hAnsi="Arial"/>
                <w:sz w:val="17"/>
                <w:szCs w:val="17"/>
                <w:b w:val="1"/>
                <w:bCs w:val="1"/>
                <w:color w:val="auto"/>
              </w:rPr>
              <w:t>June 30, 2019</w:t>
            </w:r>
          </w:p>
        </w:tc>
        <w:tc>
          <w:tcPr>
            <w:tcW w:w="160" w:type="dxa"/>
            <w:vAlign w:val="bottom"/>
          </w:tcPr>
          <w:p>
            <w:pPr>
              <w:spacing w:after="0"/>
              <w:rPr>
                <w:sz w:val="22"/>
                <w:szCs w:val="22"/>
                <w:color w:val="auto"/>
              </w:rPr>
            </w:pPr>
          </w:p>
        </w:tc>
        <w:tc>
          <w:tcPr>
            <w:tcW w:w="1240" w:type="dxa"/>
            <w:vAlign w:val="bottom"/>
          </w:tcPr>
          <w:p>
            <w:pPr>
              <w:jc w:val="right"/>
              <w:ind w:right="455"/>
              <w:spacing w:after="0"/>
              <w:rPr>
                <w:sz w:val="20"/>
                <w:szCs w:val="20"/>
                <w:color w:val="auto"/>
              </w:rPr>
            </w:pPr>
            <w:r>
              <w:rPr>
                <w:rFonts w:ascii="Arial" w:cs="Arial" w:eastAsia="Arial" w:hAnsi="Arial"/>
                <w:sz w:val="17"/>
                <w:szCs w:val="17"/>
                <w:b w:val="1"/>
                <w:bCs w:val="1"/>
                <w:color w:val="auto"/>
              </w:rPr>
              <w:t>2018</w:t>
            </w:r>
          </w:p>
        </w:tc>
      </w:tr>
      <w:tr>
        <w:trPr>
          <w:trHeight w:val="244"/>
        </w:trPr>
        <w:tc>
          <w:tcPr>
            <w:tcW w:w="2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Risk-based ratios:</w:t>
            </w: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9"/>
        </w:trPr>
        <w:tc>
          <w:tcPr>
            <w:tcW w:w="2460" w:type="dxa"/>
            <w:vAlign w:val="bottom"/>
          </w:tcPr>
          <w:p>
            <w:pPr>
              <w:ind w:left="180"/>
              <w:spacing w:after="0"/>
              <w:rPr>
                <w:sz w:val="20"/>
                <w:szCs w:val="20"/>
                <w:color w:val="auto"/>
              </w:rPr>
            </w:pPr>
            <w:r>
              <w:rPr>
                <w:rFonts w:ascii="Arial" w:cs="Arial" w:eastAsia="Arial" w:hAnsi="Arial"/>
                <w:sz w:val="17"/>
                <w:szCs w:val="17"/>
                <w:color w:val="auto"/>
              </w:rPr>
              <w:t>Common equity tier 1 capital</w:t>
            </w:r>
          </w:p>
        </w:tc>
        <w:tc>
          <w:tcPr>
            <w:tcW w:w="1280" w:type="dxa"/>
            <w:vAlign w:val="bottom"/>
          </w:tcPr>
          <w:p>
            <w:pPr>
              <w:ind w:left="900"/>
              <w:spacing w:after="0"/>
              <w:rPr>
                <w:sz w:val="20"/>
                <w:szCs w:val="20"/>
                <w:color w:val="auto"/>
              </w:rPr>
            </w:pPr>
            <w:r>
              <w:rPr>
                <w:rFonts w:ascii="Arial" w:cs="Arial" w:eastAsia="Arial" w:hAnsi="Arial"/>
                <w:sz w:val="17"/>
                <w:szCs w:val="17"/>
                <w:color w:val="auto"/>
                <w:w w:val="92"/>
              </w:rPr>
              <w:t>4.5%</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12.13%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12.91%</w:t>
            </w:r>
          </w:p>
        </w:tc>
      </w:tr>
      <w:tr>
        <w:trPr>
          <w:trHeight w:val="31"/>
        </w:trPr>
        <w:tc>
          <w:tcPr>
            <w:tcW w:w="2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Tier 1 capital</w:t>
            </w:r>
          </w:p>
        </w:tc>
        <w:tc>
          <w:tcPr>
            <w:tcW w:w="12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7"/>
                <w:szCs w:val="17"/>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12.42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12.91</w:t>
            </w:r>
          </w:p>
        </w:tc>
      </w:tr>
      <w:tr>
        <w:trPr>
          <w:trHeight w:val="239"/>
        </w:trPr>
        <w:tc>
          <w:tcPr>
            <w:tcW w:w="2460" w:type="dxa"/>
            <w:vAlign w:val="bottom"/>
          </w:tcPr>
          <w:p>
            <w:pPr>
              <w:ind w:left="180"/>
              <w:spacing w:after="0"/>
              <w:rPr>
                <w:sz w:val="20"/>
                <w:szCs w:val="20"/>
                <w:color w:val="auto"/>
              </w:rPr>
            </w:pPr>
            <w:r>
              <w:rPr>
                <w:rFonts w:ascii="Arial" w:cs="Arial" w:eastAsia="Arial" w:hAnsi="Arial"/>
                <w:sz w:val="17"/>
                <w:szCs w:val="17"/>
                <w:color w:val="auto"/>
              </w:rPr>
              <w:t>Total capital</w:t>
            </w:r>
          </w:p>
        </w:tc>
        <w:tc>
          <w:tcPr>
            <w:tcW w:w="1280" w:type="dxa"/>
            <w:vAlign w:val="bottom"/>
          </w:tcPr>
          <w:p>
            <w:pPr>
              <w:ind w:left="900"/>
              <w:spacing w:after="0"/>
              <w:rPr>
                <w:sz w:val="20"/>
                <w:szCs w:val="20"/>
                <w:color w:val="auto"/>
              </w:rPr>
            </w:pPr>
            <w:r>
              <w:rPr>
                <w:rFonts w:ascii="Arial" w:cs="Arial" w:eastAsia="Arial" w:hAnsi="Arial"/>
                <w:sz w:val="17"/>
                <w:szCs w:val="17"/>
                <w:color w:val="auto"/>
              </w:rPr>
              <w:t>8.0</w:t>
            </w:r>
          </w:p>
        </w:tc>
        <w:tc>
          <w:tcPr>
            <w:tcW w:w="120" w:type="dxa"/>
            <w:vAlign w:val="bottom"/>
          </w:tcPr>
          <w:p>
            <w:pPr>
              <w:spacing w:after="0"/>
              <w:rPr>
                <w:sz w:val="20"/>
                <w:szCs w:val="20"/>
                <w:color w:val="auto"/>
              </w:rPr>
            </w:pPr>
          </w:p>
        </w:tc>
        <w:tc>
          <w:tcPr>
            <w:tcW w:w="1300" w:type="dxa"/>
            <w:vAlign w:val="bottom"/>
          </w:tcPr>
          <w:p>
            <w:pPr>
              <w:jc w:val="right"/>
              <w:ind w:right="95"/>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95"/>
              <w:spacing w:after="0"/>
              <w:rPr>
                <w:sz w:val="20"/>
                <w:szCs w:val="20"/>
                <w:color w:val="auto"/>
              </w:rPr>
            </w:pPr>
            <w:r>
              <w:rPr>
                <w:rFonts w:ascii="Arial" w:cs="Arial" w:eastAsia="Arial" w:hAnsi="Arial"/>
                <w:sz w:val="17"/>
                <w:szCs w:val="17"/>
                <w:color w:val="auto"/>
              </w:rPr>
              <w:t>14.17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14.29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14.35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13.60</w:t>
            </w:r>
          </w:p>
        </w:tc>
      </w:tr>
      <w:tr>
        <w:trPr>
          <w:trHeight w:val="31"/>
        </w:trPr>
        <w:tc>
          <w:tcPr>
            <w:tcW w:w="2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Leverage ratio</w:t>
            </w:r>
          </w:p>
        </w:tc>
        <w:tc>
          <w:tcPr>
            <w:tcW w:w="12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7"/>
                <w:szCs w:val="17"/>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11.02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9.98</w:t>
            </w:r>
          </w:p>
        </w:tc>
      </w:tr>
      <w:tr>
        <w:trPr>
          <w:trHeight w:val="324"/>
        </w:trPr>
        <w:tc>
          <w:tcPr>
            <w:tcW w:w="2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Common equity tier 1 capital</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1,196,758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1,148,355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1,346,003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1,216,449</w:t>
            </w:r>
          </w:p>
        </w:tc>
      </w:tr>
      <w:tr>
        <w:trPr>
          <w:trHeight w:val="239"/>
        </w:trPr>
        <w:tc>
          <w:tcPr>
            <w:tcW w:w="2460" w:type="dxa"/>
            <w:vAlign w:val="bottom"/>
          </w:tcPr>
          <w:p>
            <w:pPr>
              <w:ind w:left="40"/>
              <w:spacing w:after="0"/>
              <w:rPr>
                <w:sz w:val="20"/>
                <w:szCs w:val="20"/>
                <w:color w:val="auto"/>
              </w:rPr>
            </w:pPr>
            <w:r>
              <w:rPr>
                <w:rFonts w:ascii="Arial" w:cs="Arial" w:eastAsia="Arial" w:hAnsi="Arial"/>
                <w:sz w:val="17"/>
                <w:szCs w:val="17"/>
                <w:color w:val="auto"/>
              </w:rPr>
              <w:t>Tier 1 capital</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95"/>
              <w:spacing w:after="0"/>
              <w:rPr>
                <w:sz w:val="20"/>
                <w:szCs w:val="20"/>
                <w:color w:val="auto"/>
              </w:rPr>
            </w:pPr>
            <w:r>
              <w:rPr>
                <w:rFonts w:ascii="Arial" w:cs="Arial" w:eastAsia="Arial" w:hAnsi="Arial"/>
                <w:sz w:val="17"/>
                <w:szCs w:val="17"/>
                <w:color w:val="auto"/>
              </w:rPr>
              <w:t>1,221,008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1,172,605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1,346,003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1,216,449</w:t>
            </w:r>
          </w:p>
        </w:tc>
      </w:tr>
      <w:tr>
        <w:trPr>
          <w:trHeight w:val="31"/>
        </w:trPr>
        <w:tc>
          <w:tcPr>
            <w:tcW w:w="24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capital</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1,398,220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1,348,843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1,411,598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1,281,062</w:t>
            </w:r>
          </w:p>
        </w:tc>
      </w:tr>
      <w:tr>
        <w:trPr>
          <w:trHeight w:val="239"/>
        </w:trPr>
        <w:tc>
          <w:tcPr>
            <w:tcW w:w="2460" w:type="dxa"/>
            <w:vAlign w:val="bottom"/>
          </w:tcPr>
          <w:p>
            <w:pPr>
              <w:ind w:left="40"/>
              <w:spacing w:after="0"/>
              <w:rPr>
                <w:sz w:val="20"/>
                <w:szCs w:val="20"/>
                <w:color w:val="auto"/>
              </w:rPr>
            </w:pPr>
            <w:r>
              <w:rPr>
                <w:rFonts w:ascii="Arial" w:cs="Arial" w:eastAsia="Arial" w:hAnsi="Arial"/>
                <w:sz w:val="17"/>
                <w:szCs w:val="17"/>
                <w:color w:val="auto"/>
              </w:rPr>
              <w:t>Risk-weighted assets</w:t>
            </w: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95"/>
              <w:spacing w:after="0"/>
              <w:rPr>
                <w:sz w:val="20"/>
                <w:szCs w:val="20"/>
                <w:color w:val="auto"/>
              </w:rPr>
            </w:pPr>
            <w:r>
              <w:rPr>
                <w:rFonts w:ascii="Arial" w:cs="Arial" w:eastAsia="Arial" w:hAnsi="Arial"/>
                <w:sz w:val="17"/>
                <w:szCs w:val="17"/>
                <w:color w:val="auto"/>
              </w:rPr>
              <w:t>9,865,025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9,441,622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9,836,171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9,421,009</w:t>
            </w:r>
          </w:p>
        </w:tc>
      </w:tr>
      <w:tr>
        <w:trPr>
          <w:trHeight w:val="270"/>
        </w:trPr>
        <w:tc>
          <w:tcPr>
            <w:tcW w:w="2460" w:type="dxa"/>
            <w:vAlign w:val="bottom"/>
          </w:tcPr>
          <w:p>
            <w:pPr>
              <w:ind w:left="40"/>
              <w:spacing w:after="0"/>
              <w:rPr>
                <w:sz w:val="20"/>
                <w:szCs w:val="20"/>
                <w:color w:val="auto"/>
              </w:rPr>
            </w:pPr>
            <w:r>
              <w:rPr>
                <w:rFonts w:ascii="Arial" w:cs="Arial" w:eastAsia="Arial" w:hAnsi="Arial"/>
                <w:sz w:val="17"/>
                <w:szCs w:val="17"/>
                <w:color w:val="auto"/>
              </w:rPr>
              <w:t>Average total assets</w:t>
            </w: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95"/>
              <w:spacing w:after="0"/>
              <w:rPr>
                <w:sz w:val="20"/>
                <w:szCs w:val="20"/>
                <w:color w:val="auto"/>
              </w:rPr>
            </w:pPr>
            <w:r>
              <w:rPr>
                <w:rFonts w:ascii="Arial" w:cs="Arial" w:eastAsia="Arial" w:hAnsi="Arial"/>
                <w:sz w:val="17"/>
                <w:szCs w:val="17"/>
                <w:color w:val="auto"/>
              </w:rPr>
              <w:t>12,243,335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12,207,986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12,218,379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jc w:val="right"/>
              <w:ind w:right="95"/>
              <w:spacing w:after="0"/>
              <w:rPr>
                <w:sz w:val="20"/>
                <w:szCs w:val="20"/>
                <w:color w:val="auto"/>
              </w:rPr>
            </w:pPr>
            <w:r>
              <w:rPr>
                <w:rFonts w:ascii="Arial" w:cs="Arial" w:eastAsia="Arial" w:hAnsi="Arial"/>
                <w:sz w:val="17"/>
                <w:szCs w:val="17"/>
                <w:color w:val="auto"/>
              </w:rPr>
              <w:t>12,183,341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200" w:hanging="192"/>
        <w:spacing w:after="0" w:line="218" w:lineRule="auto"/>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As of June 30, 2019 and December 31, 2018 the additional capital conservation buffer in effect was 2.50% and 1.87%, respectively.</w:t>
      </w:r>
    </w:p>
    <w:p>
      <w:pPr>
        <w:spacing w:after="0" w:line="200" w:lineRule="exact"/>
        <w:rPr>
          <w:rFonts w:ascii="Arial" w:cs="Arial" w:eastAsia="Arial" w:hAnsi="Arial"/>
          <w:sz w:val="23"/>
          <w:szCs w:val="23"/>
          <w:color w:val="auto"/>
          <w:vertAlign w:val="superscript"/>
        </w:rPr>
      </w:pPr>
    </w:p>
    <w:p>
      <w:pPr>
        <w:spacing w:after="0" w:line="224" w:lineRule="exact"/>
        <w:rPr>
          <w:rFonts w:ascii="Arial" w:cs="Arial" w:eastAsia="Arial" w:hAnsi="Arial"/>
          <w:sz w:val="23"/>
          <w:szCs w:val="23"/>
          <w:color w:val="auto"/>
          <w:vertAlign w:val="superscript"/>
        </w:rPr>
      </w:pPr>
    </w:p>
    <w:p>
      <w:pPr>
        <w:ind w:left="5620"/>
        <w:spacing w:after="0"/>
        <w:rPr>
          <w:rFonts w:ascii="Arial" w:cs="Arial" w:eastAsia="Arial" w:hAnsi="Arial"/>
          <w:sz w:val="23"/>
          <w:szCs w:val="23"/>
          <w:color w:val="auto"/>
          <w:vertAlign w:val="superscript"/>
        </w:rPr>
      </w:pPr>
      <w:r>
        <w:rPr>
          <w:rFonts w:ascii="Arial" w:cs="Arial" w:eastAsia="Arial" w:hAnsi="Arial"/>
          <w:sz w:val="18"/>
          <w:szCs w:val="18"/>
          <w:color w:val="auto"/>
        </w:rPr>
        <w:t>62</w:t>
      </w:r>
    </w:p>
    <w:p>
      <w:pPr>
        <w:sectPr>
          <w:pgSz w:w="11900" w:h="16838" w:orient="portrait"/>
          <w:cols w:equalWidth="0" w:num="1">
            <w:col w:w="11420"/>
          </w:cols>
          <w:pgMar w:left="240" w:top="584" w:right="239" w:bottom="1440" w:gutter="0" w:footer="0" w:header="0"/>
        </w:sectPr>
      </w:pPr>
    </w:p>
    <w:bookmarkStart w:id="68" w:name="page69"/>
    <w:bookmarkEnd w:id="68"/>
    <w:p>
      <w:pPr>
        <w:jc w:val="both"/>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2019 and 2018.</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Arial" w:cs="Arial" w:eastAsia="Arial" w:hAnsi="Arial"/>
                <w:sz w:val="18"/>
                <w:szCs w:val="18"/>
                <w:b w:val="1"/>
                <w:bCs w:val="1"/>
                <w:color w:val="auto"/>
              </w:rPr>
              <w:t>Table 15 - Stock Price Information</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8"/>
        </w:trPr>
        <w:tc>
          <w:tcPr>
            <w:tcW w:w="3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2019</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Avg Daily</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7"/>
              </w:rPr>
              <w:t>Avg Daily</w:t>
            </w:r>
          </w:p>
        </w:tc>
      </w:tr>
      <w:tr>
        <w:trPr>
          <w:trHeight w:val="234"/>
        </w:trPr>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b w:val="1"/>
                <w:bCs w:val="1"/>
                <w:color w:val="auto"/>
              </w:rPr>
              <w:t>Low</w:t>
            </w:r>
          </w:p>
        </w:tc>
        <w:tc>
          <w:tcPr>
            <w:tcW w:w="180" w:type="dxa"/>
            <w:vAlign w:val="bottom"/>
          </w:tcPr>
          <w:p>
            <w:pPr>
              <w:spacing w:after="0"/>
              <w:rPr>
                <w:sz w:val="20"/>
                <w:szCs w:val="20"/>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Close</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Volume</w:t>
            </w:r>
          </w:p>
        </w:tc>
        <w:tc>
          <w:tcPr>
            <w:tcW w:w="1000" w:type="dxa"/>
            <w:vAlign w:val="bottom"/>
            <w:gridSpan w:val="2"/>
          </w:tcPr>
          <w:p>
            <w:pPr>
              <w:ind w:left="260"/>
              <w:spacing w:after="0"/>
              <w:rPr>
                <w:sz w:val="20"/>
                <w:szCs w:val="20"/>
                <w:color w:val="auto"/>
              </w:rPr>
            </w:pPr>
            <w:r>
              <w:rPr>
                <w:rFonts w:ascii="Arial" w:cs="Arial" w:eastAsia="Arial" w:hAnsi="Arial"/>
                <w:sz w:val="18"/>
                <w:szCs w:val="18"/>
                <w:b w:val="1"/>
                <w:bCs w:val="1"/>
                <w:color w:val="auto"/>
              </w:rPr>
              <w:t>High</w:t>
            </w:r>
          </w:p>
        </w:tc>
        <w:tc>
          <w:tcPr>
            <w:tcW w:w="1020" w:type="dxa"/>
            <w:vAlign w:val="bottom"/>
            <w:gridSpan w:val="2"/>
          </w:tcPr>
          <w:p>
            <w:pPr>
              <w:ind w:left="300"/>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b w:val="1"/>
                <w:bCs w:val="1"/>
                <w:color w:val="auto"/>
              </w:rPr>
              <w:t>Close</w:t>
            </w: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Volume</w:t>
            </w:r>
          </w:p>
        </w:tc>
      </w:tr>
      <w:tr>
        <w:trPr>
          <w:trHeight w:val="27"/>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24.93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507,207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33.60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   27.73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529,613</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28.98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24.91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28.56</w:t>
            </w: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427,652</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34.18</w:t>
            </w:r>
          </w:p>
        </w:tc>
        <w:tc>
          <w:tcPr>
            <w:tcW w:w="1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30.67</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402,230</w:t>
            </w:r>
          </w:p>
        </w:tc>
      </w:tr>
      <w:tr>
        <w:trPr>
          <w:trHeight w:val="27"/>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414,541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28.88</w:t>
            </w:r>
          </w:p>
        </w:tc>
        <w:tc>
          <w:tcPr>
            <w:tcW w:w="1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21.46</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509,152</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material changes in United’s market risk as of June 30, 2019 from that presented in the 2018 10-K. The interest rate sensitivity position at June 30, 2019 is included in Table 13 in Part I - Item 2 - “Management’s Discussion and Analysis of Financial Condition and Results of Operations” of this Quarterly Report on Form 10-Q.</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firstLine="656"/>
        <w:spacing w:after="0" w:line="259" w:lineRule="auto"/>
        <w:tabs>
          <w:tab w:leader="none" w:pos="906"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management, including our principal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and principal financial officer, we conducted an evaluation of United’s disclosure controls and procedures (as such term is defined in Exchange Act Rule 13a-15(e)) as of June 30, 2019. Based on, that evaluation, United’s principal executive officer and chief financial officer concluded that our disclosure controls and procedures were effective as of the end of the period covered by this report.</w:t>
      </w:r>
    </w:p>
    <w:p>
      <w:pPr>
        <w:spacing w:after="0" w:line="186" w:lineRule="exact"/>
        <w:rPr>
          <w:rFonts w:ascii="Arial" w:cs="Arial" w:eastAsia="Arial" w:hAnsi="Arial"/>
          <w:sz w:val="18"/>
          <w:szCs w:val="18"/>
          <w:color w:val="auto"/>
        </w:rPr>
      </w:pPr>
    </w:p>
    <w:p>
      <w:pPr>
        <w:jc w:val="both"/>
        <w:ind w:firstLine="656"/>
        <w:spacing w:after="0" w:line="264" w:lineRule="auto"/>
        <w:tabs>
          <w:tab w:leader="none" w:pos="916"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such term is defined in</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Rule 13a-15(f)) occurred during the fiscal quarter ended June 30, 2019 that materially affected, or is reasonably likely to materially affect, our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84" w:right="239" w:bottom="1440" w:gutter="0" w:footer="0" w:header="0"/>
        </w:sectPr>
      </w:pPr>
    </w:p>
    <w:bookmarkStart w:id="69" w:name="page70"/>
    <w:bookmarkEnd w:id="69"/>
    <w:p>
      <w:pPr>
        <w:jc w:val="center"/>
        <w:ind w:right="4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Additionally, in the ordinary course of business, United and the Bank are subject to regulatory examinations and investigations. Based on our current knowledge and advice of counsel, in the opinion of management there is no such pending or threatened legal matter which would result in a material adverse change in the consolidated financial condition or results of operations of United.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risk factors previously disclosed in United’s 2018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87"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140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w w:val="91"/>
              </w:rPr>
              <w:t>Exhibit No.</w:t>
            </w: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460" w:type="dxa"/>
            <w:vAlign w:val="bottom"/>
            <w:gridSpan w:val="2"/>
          </w:tcPr>
          <w:p>
            <w:pPr>
              <w:ind w:left="1260"/>
              <w:spacing w:after="0"/>
              <w:rPr>
                <w:sz w:val="20"/>
                <w:szCs w:val="20"/>
                <w:color w:val="auto"/>
              </w:rPr>
            </w:pPr>
            <w:r>
              <w:rPr>
                <w:rFonts w:ascii="Arial" w:cs="Arial" w:eastAsia="Arial" w:hAnsi="Arial"/>
                <w:sz w:val="18"/>
                <w:szCs w:val="18"/>
                <w:b w:val="1"/>
                <w:bCs w:val="1"/>
                <w:color w:val="auto"/>
              </w:rPr>
              <w:t>Description</w:t>
            </w:r>
          </w:p>
        </w:tc>
      </w:tr>
      <w:tr>
        <w:trPr>
          <w:trHeight w:val="554"/>
        </w:trPr>
        <w:tc>
          <w:tcPr>
            <w:tcW w:w="1400" w:type="dxa"/>
            <w:vAlign w:val="bottom"/>
            <w:gridSpan w:val="4"/>
          </w:tcPr>
          <w:p>
            <w:pPr>
              <w:jc w:val="right"/>
              <w:ind w:right="520"/>
              <w:spacing w:after="0"/>
              <w:rPr>
                <w:rFonts w:ascii="Arial" w:cs="Arial" w:eastAsia="Arial" w:hAnsi="Arial"/>
                <w:sz w:val="18"/>
                <w:szCs w:val="18"/>
                <w:color w:val="0000FF"/>
              </w:rPr>
            </w:pPr>
            <w:hyperlink w:anchor="page72">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9500" w:type="dxa"/>
            <w:vAlign w:val="bottom"/>
            <w:gridSpan w:val="4"/>
          </w:tcPr>
          <w:p>
            <w:pPr>
              <w:spacing w:after="0"/>
              <w:rPr>
                <w:rFonts w:ascii="Arial" w:cs="Arial" w:eastAsia="Arial" w:hAnsi="Arial"/>
                <w:sz w:val="18"/>
                <w:szCs w:val="18"/>
                <w:color w:val="0000FF"/>
                <w:w w:val="94"/>
              </w:rPr>
            </w:pPr>
            <w:hyperlink w:anchor="page72">
              <w:r>
                <w:rPr>
                  <w:rFonts w:ascii="Arial" w:cs="Arial" w:eastAsia="Arial" w:hAnsi="Arial"/>
                  <w:sz w:val="18"/>
                  <w:szCs w:val="18"/>
                  <w:color w:val="0000FF"/>
                  <w:w w:val="94"/>
                </w:rPr>
                <w:t>Certification by H. Lynn Harton, President and Chief Executive Officer of United Community Banks, Inc., pursuant to Exchange</w:t>
              </w:r>
            </w:hyperlink>
          </w:p>
        </w:tc>
      </w:tr>
      <w:tr>
        <w:trPr>
          <w:trHeight w:val="196"/>
        </w:trPr>
        <w:tc>
          <w:tcPr>
            <w:tcW w:w="56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950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72">
              <w:r>
                <w:rPr>
                  <w:rFonts w:ascii="Arial" w:cs="Arial" w:eastAsia="Arial" w:hAnsi="Arial"/>
                  <w:sz w:val="18"/>
                  <w:szCs w:val="18"/>
                  <w:color w:val="0000FF"/>
                </w:rPr>
                <w:t>Act Rule 13a-14(a).</w:t>
              </w:r>
            </w:hyperlink>
          </w:p>
        </w:tc>
      </w:tr>
      <w:tr>
        <w:trPr>
          <w:trHeight w:val="20"/>
        </w:trPr>
        <w:tc>
          <w:tcPr>
            <w:tcW w:w="7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520"/>
        </w:trPr>
        <w:tc>
          <w:tcPr>
            <w:tcW w:w="1400" w:type="dxa"/>
            <w:vAlign w:val="bottom"/>
            <w:gridSpan w:val="4"/>
          </w:tcPr>
          <w:p>
            <w:pPr>
              <w:jc w:val="right"/>
              <w:ind w:right="520"/>
              <w:spacing w:after="0"/>
              <w:rPr>
                <w:rFonts w:ascii="Arial" w:cs="Arial" w:eastAsia="Arial" w:hAnsi="Arial"/>
                <w:sz w:val="18"/>
                <w:szCs w:val="18"/>
                <w:color w:val="0000FF"/>
              </w:rPr>
            </w:pPr>
            <w:hyperlink w:anchor="page73">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9500" w:type="dxa"/>
            <w:vAlign w:val="bottom"/>
            <w:gridSpan w:val="4"/>
          </w:tcPr>
          <w:p>
            <w:pPr>
              <w:spacing w:after="0"/>
              <w:rPr>
                <w:rFonts w:ascii="Arial" w:cs="Arial" w:eastAsia="Arial" w:hAnsi="Arial"/>
                <w:sz w:val="18"/>
                <w:szCs w:val="18"/>
                <w:color w:val="0000FF"/>
                <w:w w:val="94"/>
              </w:rPr>
            </w:pPr>
            <w:hyperlink w:anchor="page73">
              <w:r>
                <w:rPr>
                  <w:rFonts w:ascii="Arial" w:cs="Arial" w:eastAsia="Arial" w:hAnsi="Arial"/>
                  <w:sz w:val="18"/>
                  <w:szCs w:val="18"/>
                  <w:color w:val="0000FF"/>
                  <w:w w:val="94"/>
                </w:rPr>
                <w:t>Certification by Jefferson L. Harralson, Executive Vice President and Chief Financial Officer of United Community Banks, Inc.,</w:t>
              </w:r>
            </w:hyperlink>
          </w:p>
        </w:tc>
      </w:tr>
      <w:tr>
        <w:trPr>
          <w:trHeight w:val="196"/>
        </w:trPr>
        <w:tc>
          <w:tcPr>
            <w:tcW w:w="56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520" w:type="dxa"/>
            <w:vAlign w:val="bottom"/>
          </w:tcPr>
          <w:p>
            <w:pPr>
              <w:spacing w:after="0"/>
              <w:rPr>
                <w:sz w:val="17"/>
                <w:szCs w:val="17"/>
                <w:color w:val="auto"/>
              </w:rPr>
            </w:pPr>
          </w:p>
        </w:tc>
        <w:tc>
          <w:tcPr>
            <w:tcW w:w="30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9"/>
              </w:rPr>
            </w:pPr>
            <w:hyperlink w:anchor="page73">
              <w:r>
                <w:rPr>
                  <w:rFonts w:ascii="Arial" w:cs="Arial" w:eastAsia="Arial" w:hAnsi="Arial"/>
                  <w:sz w:val="18"/>
                  <w:szCs w:val="18"/>
                  <w:color w:val="0000FF"/>
                  <w:w w:val="89"/>
                </w:rPr>
                <w:t>pursuant to Exchange Act Rule 13a-14(a).</w:t>
              </w:r>
            </w:hyperlink>
          </w:p>
        </w:tc>
        <w:tc>
          <w:tcPr>
            <w:tcW w:w="6460" w:type="dxa"/>
            <w:vAlign w:val="bottom"/>
            <w:tcBorders>
              <w:top w:val="single" w:sz="8" w:color="0000FF"/>
            </w:tcBorders>
            <w:gridSpan w:val="2"/>
          </w:tcPr>
          <w:p>
            <w:pPr>
              <w:spacing w:after="0"/>
              <w:rPr>
                <w:sz w:val="17"/>
                <w:szCs w:val="17"/>
                <w:color w:val="auto"/>
              </w:rPr>
            </w:pPr>
          </w:p>
        </w:tc>
      </w:tr>
      <w:tr>
        <w:trPr>
          <w:trHeight w:val="520"/>
        </w:trPr>
        <w:tc>
          <w:tcPr>
            <w:tcW w:w="1400" w:type="dxa"/>
            <w:vAlign w:val="bottom"/>
            <w:gridSpan w:val="4"/>
          </w:tcPr>
          <w:p>
            <w:pPr>
              <w:jc w:val="right"/>
              <w:ind w:right="520"/>
              <w:spacing w:after="0"/>
              <w:rPr>
                <w:rFonts w:ascii="Arial" w:cs="Arial" w:eastAsia="Arial" w:hAnsi="Arial"/>
                <w:sz w:val="18"/>
                <w:szCs w:val="18"/>
                <w:color w:val="0000FF"/>
              </w:rPr>
            </w:pPr>
            <w:hyperlink w:anchor="page74">
              <w:r>
                <w:rPr>
                  <w:rFonts w:ascii="Arial" w:cs="Arial" w:eastAsia="Arial" w:hAnsi="Arial"/>
                  <w:sz w:val="18"/>
                  <w:szCs w:val="18"/>
                  <w:color w:val="0000FF"/>
                </w:rPr>
                <w:t>32</w:t>
              </w:r>
            </w:hyperlink>
          </w:p>
        </w:tc>
        <w:tc>
          <w:tcPr>
            <w:tcW w:w="9500" w:type="dxa"/>
            <w:vAlign w:val="bottom"/>
            <w:gridSpan w:val="4"/>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Certification of CEO and CFO pursuant to 18 U.S.C. Section 1350.</w:t>
              </w:r>
            </w:hyperlink>
          </w:p>
        </w:tc>
      </w:tr>
      <w:tr>
        <w:trPr>
          <w:trHeight w:val="20"/>
        </w:trPr>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40" w:type="dxa"/>
            <w:vAlign w:val="bottom"/>
            <w:gridSpan w:val="3"/>
            <w:shd w:val="clear" w:color="auto" w:fill="0000FF"/>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546"/>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500" w:type="dxa"/>
            <w:vAlign w:val="bottom"/>
            <w:gridSpan w:val="4"/>
          </w:tcPr>
          <w:p>
            <w:pPr>
              <w:spacing w:after="0"/>
              <w:rPr>
                <w:sz w:val="20"/>
                <w:szCs w:val="20"/>
                <w:color w:val="auto"/>
              </w:rPr>
            </w:pPr>
            <w:r>
              <w:rPr>
                <w:rFonts w:ascii="Arial" w:cs="Arial" w:eastAsia="Arial" w:hAnsi="Arial"/>
                <w:sz w:val="18"/>
                <w:szCs w:val="18"/>
                <w:color w:val="auto"/>
                <w:w w:val="97"/>
              </w:rPr>
              <w:t>XBRL Instance Document - The instance document does not appear in the interactive data file because its XBRL tags are</w:t>
            </w:r>
          </w:p>
        </w:tc>
      </w:tr>
      <w:tr>
        <w:trPr>
          <w:trHeight w:val="230"/>
        </w:trPr>
        <w:tc>
          <w:tcPr>
            <w:tcW w:w="1400" w:type="dxa"/>
            <w:vAlign w:val="bottom"/>
            <w:gridSpan w:val="4"/>
          </w:tcPr>
          <w:p>
            <w:pPr>
              <w:jc w:val="right"/>
              <w:ind w:right="520"/>
              <w:spacing w:after="0"/>
              <w:rPr>
                <w:sz w:val="20"/>
                <w:szCs w:val="20"/>
                <w:color w:val="auto"/>
              </w:rPr>
            </w:pPr>
            <w:r>
              <w:rPr>
                <w:rFonts w:ascii="Arial" w:cs="Arial" w:eastAsia="Arial" w:hAnsi="Arial"/>
                <w:sz w:val="18"/>
                <w:szCs w:val="18"/>
                <w:color w:val="auto"/>
              </w:rPr>
              <w:t>101.INS</w:t>
            </w:r>
          </w:p>
        </w:tc>
        <w:tc>
          <w:tcPr>
            <w:tcW w:w="9500" w:type="dxa"/>
            <w:vAlign w:val="bottom"/>
            <w:gridSpan w:val="4"/>
          </w:tcPr>
          <w:p>
            <w:pPr>
              <w:spacing w:after="0"/>
              <w:rPr>
                <w:sz w:val="20"/>
                <w:szCs w:val="20"/>
                <w:color w:val="auto"/>
              </w:rPr>
            </w:pPr>
            <w:r>
              <w:rPr>
                <w:rFonts w:ascii="Arial" w:cs="Arial" w:eastAsia="Arial" w:hAnsi="Arial"/>
                <w:sz w:val="18"/>
                <w:szCs w:val="18"/>
                <w:color w:val="auto"/>
              </w:rPr>
              <w:t>embedded within the inline XBRL document.</w:t>
            </w:r>
          </w:p>
        </w:tc>
      </w:tr>
      <w:tr>
        <w:trPr>
          <w:trHeight w:val="540"/>
        </w:trPr>
        <w:tc>
          <w:tcPr>
            <w:tcW w:w="1400" w:type="dxa"/>
            <w:vAlign w:val="bottom"/>
            <w:gridSpan w:val="4"/>
          </w:tcPr>
          <w:p>
            <w:pPr>
              <w:jc w:val="right"/>
              <w:ind w:right="520"/>
              <w:spacing w:after="0"/>
              <w:rPr>
                <w:sz w:val="20"/>
                <w:szCs w:val="20"/>
                <w:color w:val="auto"/>
              </w:rPr>
            </w:pPr>
            <w:r>
              <w:rPr>
                <w:rFonts w:ascii="Arial" w:cs="Arial" w:eastAsia="Arial" w:hAnsi="Arial"/>
                <w:sz w:val="18"/>
                <w:szCs w:val="18"/>
                <w:color w:val="auto"/>
              </w:rPr>
              <w:t>101.SCH</w:t>
            </w:r>
          </w:p>
        </w:tc>
        <w:tc>
          <w:tcPr>
            <w:tcW w:w="950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400" w:type="dxa"/>
            <w:vAlign w:val="bottom"/>
            <w:gridSpan w:val="4"/>
          </w:tcPr>
          <w:p>
            <w:pPr>
              <w:jc w:val="right"/>
              <w:ind w:right="520"/>
              <w:spacing w:after="0"/>
              <w:rPr>
                <w:sz w:val="20"/>
                <w:szCs w:val="20"/>
                <w:color w:val="auto"/>
              </w:rPr>
            </w:pPr>
            <w:r>
              <w:rPr>
                <w:rFonts w:ascii="Arial" w:cs="Arial" w:eastAsia="Arial" w:hAnsi="Arial"/>
                <w:sz w:val="18"/>
                <w:szCs w:val="18"/>
                <w:color w:val="auto"/>
              </w:rPr>
              <w:t>101.CAL</w:t>
            </w:r>
          </w:p>
        </w:tc>
        <w:tc>
          <w:tcPr>
            <w:tcW w:w="950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400" w:type="dxa"/>
            <w:vAlign w:val="bottom"/>
            <w:gridSpan w:val="4"/>
          </w:tcPr>
          <w:p>
            <w:pPr>
              <w:jc w:val="right"/>
              <w:ind w:right="520"/>
              <w:spacing w:after="0"/>
              <w:rPr>
                <w:sz w:val="20"/>
                <w:szCs w:val="20"/>
                <w:color w:val="auto"/>
              </w:rPr>
            </w:pPr>
            <w:r>
              <w:rPr>
                <w:rFonts w:ascii="Arial" w:cs="Arial" w:eastAsia="Arial" w:hAnsi="Arial"/>
                <w:sz w:val="18"/>
                <w:szCs w:val="18"/>
                <w:color w:val="auto"/>
              </w:rPr>
              <w:t>101.DEF</w:t>
            </w:r>
          </w:p>
        </w:tc>
        <w:tc>
          <w:tcPr>
            <w:tcW w:w="950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400" w:type="dxa"/>
            <w:vAlign w:val="bottom"/>
            <w:gridSpan w:val="4"/>
          </w:tcPr>
          <w:p>
            <w:pPr>
              <w:jc w:val="right"/>
              <w:ind w:right="520"/>
              <w:spacing w:after="0"/>
              <w:rPr>
                <w:sz w:val="20"/>
                <w:szCs w:val="20"/>
                <w:color w:val="auto"/>
              </w:rPr>
            </w:pPr>
            <w:r>
              <w:rPr>
                <w:rFonts w:ascii="Arial" w:cs="Arial" w:eastAsia="Arial" w:hAnsi="Arial"/>
                <w:sz w:val="18"/>
                <w:szCs w:val="18"/>
                <w:color w:val="auto"/>
              </w:rPr>
              <w:t>101.LAB</w:t>
            </w:r>
          </w:p>
        </w:tc>
        <w:tc>
          <w:tcPr>
            <w:tcW w:w="950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400" w:type="dxa"/>
            <w:vAlign w:val="bottom"/>
            <w:gridSpan w:val="4"/>
          </w:tcPr>
          <w:p>
            <w:pPr>
              <w:jc w:val="right"/>
              <w:ind w:right="520"/>
              <w:spacing w:after="0"/>
              <w:rPr>
                <w:sz w:val="20"/>
                <w:szCs w:val="20"/>
                <w:color w:val="auto"/>
              </w:rPr>
            </w:pPr>
            <w:r>
              <w:rPr>
                <w:rFonts w:ascii="Arial" w:cs="Arial" w:eastAsia="Arial" w:hAnsi="Arial"/>
                <w:sz w:val="18"/>
                <w:szCs w:val="18"/>
                <w:color w:val="auto"/>
              </w:rPr>
              <w:t>101.PRE</w:t>
            </w:r>
          </w:p>
        </w:tc>
        <w:tc>
          <w:tcPr>
            <w:tcW w:w="950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40" w:type="dxa"/>
            <w:vAlign w:val="bottom"/>
            <w:gridSpan w:val="3"/>
          </w:tcPr>
          <w:p>
            <w:pPr>
              <w:ind w:left="3740"/>
              <w:spacing w:after="0"/>
              <w:rPr>
                <w:sz w:val="20"/>
                <w:szCs w:val="20"/>
                <w:color w:val="auto"/>
              </w:rPr>
            </w:pPr>
            <w:r>
              <w:rPr>
                <w:rFonts w:ascii="Arial" w:cs="Arial" w:eastAsia="Arial" w:hAnsi="Arial"/>
                <w:sz w:val="18"/>
                <w:szCs w:val="18"/>
                <w:color w:val="auto"/>
              </w:rPr>
              <w:t>64</w:t>
            </w:r>
          </w:p>
        </w:tc>
        <w:tc>
          <w:tcPr>
            <w:tcW w:w="46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9"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UNITED COMMUNITY BANKS, INC.</w:t>
      </w:r>
    </w:p>
    <w:p>
      <w:pPr>
        <w:spacing w:after="0" w:line="33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H. Lynn Harton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Jefferson L. Harralson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Alan H. Kumler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and Chief Accounting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Accounting Officer)</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Date: August 8, 2019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580" w:right="239" w:bottom="1440" w:gutter="0" w:footer="0" w:header="0"/>
        </w:sectPr>
      </w:pPr>
    </w:p>
    <w:bookmarkStart w:id="71" w:name="page72"/>
    <w:bookmarkEnd w:id="71"/>
    <w:p>
      <w:pPr>
        <w:ind w:left="10480"/>
        <w:spacing w:after="0"/>
        <w:rPr>
          <w:sz w:val="20"/>
          <w:szCs w:val="20"/>
          <w:color w:val="auto"/>
        </w:rPr>
      </w:pPr>
      <w:r>
        <w:rPr>
          <w:rFonts w:ascii="Arial" w:cs="Arial" w:eastAsia="Arial" w:hAnsi="Arial"/>
          <w:sz w:val="16"/>
          <w:szCs w:val="16"/>
          <w:b w:val="1"/>
          <w:bCs w:val="1"/>
          <w:color w:val="auto"/>
        </w:rPr>
        <w:t>Exhibit 31.1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H. Lynn Harton,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851"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8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277" w:lineRule="auto"/>
        <w:tabs>
          <w:tab w:leader="none" w:pos="879"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846"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53"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8, 2019</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H. Lynn Harton</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President and Chief Executive Officer of the Registrant</w:t>
      </w:r>
    </w:p>
    <w:p>
      <w:pPr>
        <w:sectPr>
          <w:pgSz w:w="11900" w:h="16838" w:orient="portrait"/>
          <w:cols w:equalWidth="0" w:num="1">
            <w:col w:w="11420"/>
          </w:cols>
          <w:pgMar w:left="240" w:top="580" w:right="239" w:bottom="1440" w:gutter="0" w:footer="0" w:header="0"/>
        </w:sectPr>
      </w:pPr>
    </w:p>
    <w:bookmarkStart w:id="72" w:name="page73"/>
    <w:bookmarkEnd w:id="72"/>
    <w:p>
      <w:pPr>
        <w:ind w:left="10480"/>
        <w:spacing w:after="0"/>
        <w:rPr>
          <w:sz w:val="20"/>
          <w:szCs w:val="20"/>
          <w:color w:val="auto"/>
        </w:rPr>
      </w:pPr>
      <w:r>
        <w:rPr>
          <w:rFonts w:ascii="Arial" w:cs="Arial" w:eastAsia="Arial" w:hAnsi="Arial"/>
          <w:sz w:val="16"/>
          <w:szCs w:val="16"/>
          <w:b w:val="1"/>
          <w:bCs w:val="1"/>
          <w:color w:val="auto"/>
        </w:rPr>
        <w:t>Exhibit 31.2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Jefferson L. Harralson,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jc w:val="both"/>
        <w:ind w:firstLine="656"/>
        <w:spacing w:after="0" w:line="264" w:lineRule="auto"/>
        <w:tabs>
          <w:tab w:leader="none" w:pos="851"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656"/>
        <w:spacing w:after="0" w:line="264" w:lineRule="auto"/>
        <w:tabs>
          <w:tab w:leader="none" w:pos="8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656"/>
        <w:spacing w:after="0" w:line="277" w:lineRule="auto"/>
        <w:tabs>
          <w:tab w:leader="none" w:pos="879"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656"/>
        <w:spacing w:after="0" w:line="264" w:lineRule="auto"/>
        <w:tabs>
          <w:tab w:leader="none" w:pos="8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08" w:lineRule="auto"/>
        <w:tabs>
          <w:tab w:leader="none" w:pos="2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656"/>
        <w:spacing w:after="0" w:line="277" w:lineRule="auto"/>
        <w:tabs>
          <w:tab w:leader="none" w:pos="846"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656"/>
        <w:spacing w:after="0" w:line="277" w:lineRule="auto"/>
        <w:tabs>
          <w:tab w:leader="none" w:pos="853"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8, 2019</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Jefferson L. Harralson</w:t>
      </w:r>
    </w:p>
    <w:p>
      <w:pPr>
        <w:spacing w:after="0" w:line="6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Executive Vice President and Chief Financial Officer of the Registrant</w:t>
      </w:r>
    </w:p>
    <w:p>
      <w:pPr>
        <w:sectPr>
          <w:pgSz w:w="11900" w:h="16838" w:orient="portrait"/>
          <w:cols w:equalWidth="0" w:num="1">
            <w:col w:w="11420"/>
          </w:cols>
          <w:pgMar w:left="240" w:top="580" w:right="239" w:bottom="1440" w:gutter="0" w:footer="0" w:header="0"/>
        </w:sectPr>
      </w:pPr>
    </w:p>
    <w:bookmarkStart w:id="73" w:name="page74"/>
    <w:bookmarkEnd w:id="73"/>
    <w:p>
      <w:pPr>
        <w:ind w:left="10620"/>
        <w:spacing w:after="0"/>
        <w:rPr>
          <w:sz w:val="20"/>
          <w:szCs w:val="20"/>
          <w:color w:val="auto"/>
        </w:rPr>
      </w:pPr>
      <w:r>
        <w:rPr>
          <w:rFonts w:ascii="Arial" w:cs="Arial" w:eastAsia="Arial" w:hAnsi="Arial"/>
          <w:sz w:val="16"/>
          <w:szCs w:val="16"/>
          <w:b w:val="1"/>
          <w:bCs w:val="1"/>
          <w:color w:val="auto"/>
        </w:rPr>
        <w:t>Exhibit 32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June 30, 2019 filed with the Securities and Exchange Commission on the date hereof (the “Report”), each of the undersigned officers of United certifies, pursuant to 18 U.S.C. Section 1350, as adopted pursuant to Section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United.</w:t>
      </w:r>
    </w:p>
    <w:p>
      <w:pPr>
        <w:spacing w:after="0" w:line="1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H. Lynn Harton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860"/>
        <w:spacing w:after="0"/>
        <w:tabs>
          <w:tab w:leader="none" w:pos="6520" w:val="left"/>
        </w:tabs>
        <w:rPr>
          <w:sz w:val="20"/>
          <w:szCs w:val="20"/>
          <w:color w:val="auto"/>
        </w:rPr>
      </w:pPr>
      <w:r>
        <w:rPr>
          <w:rFonts w:ascii="Arial" w:cs="Arial" w:eastAsia="Arial" w:hAnsi="Arial"/>
          <w:sz w:val="18"/>
          <w:szCs w:val="18"/>
          <w:color w:val="auto"/>
        </w:rPr>
        <w:t>Name:</w:t>
        <w:tab/>
        <w:t>H. Lynn Harton</w:t>
      </w:r>
    </w:p>
    <w:p>
      <w:pPr>
        <w:spacing w:after="0" w:line="63" w:lineRule="exact"/>
        <w:rPr>
          <w:sz w:val="20"/>
          <w:szCs w:val="20"/>
          <w:color w:val="auto"/>
        </w:rPr>
      </w:pPr>
    </w:p>
    <w:p>
      <w:pPr>
        <w:ind w:left="586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5860"/>
        <w:spacing w:after="0"/>
        <w:tabs>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8, 2019</w:t>
      </w:r>
    </w:p>
    <w:p>
      <w:pPr>
        <w:spacing w:after="0" w:line="33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Jefferson L. Harralson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860"/>
        <w:spacing w:after="0"/>
        <w:tabs>
          <w:tab w:leader="none" w:pos="6520" w:val="left"/>
        </w:tabs>
        <w:rPr>
          <w:sz w:val="20"/>
          <w:szCs w:val="20"/>
          <w:color w:val="auto"/>
        </w:rPr>
      </w:pPr>
      <w:r>
        <w:rPr>
          <w:rFonts w:ascii="Arial" w:cs="Arial" w:eastAsia="Arial" w:hAnsi="Arial"/>
          <w:sz w:val="18"/>
          <w:szCs w:val="18"/>
          <w:color w:val="auto"/>
        </w:rPr>
        <w:t>Name:</w:t>
        <w:tab/>
        <w:t>Jefferson L. Harralson</w:t>
      </w:r>
    </w:p>
    <w:p>
      <w:pPr>
        <w:spacing w:after="0" w:line="63" w:lineRule="exact"/>
        <w:rPr>
          <w:sz w:val="20"/>
          <w:szCs w:val="20"/>
          <w:color w:val="auto"/>
        </w:rPr>
      </w:pPr>
    </w:p>
    <w:p>
      <w:pPr>
        <w:ind w:left="5860"/>
        <w:spacing w:after="0"/>
        <w:tabs>
          <w:tab w:leader="none" w:pos="6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5860"/>
        <w:spacing w:after="0"/>
        <w:tabs>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8,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2019-12-28T07:35:40Z</dcterms:created>
  <dcterms:modified xsi:type="dcterms:W3CDTF">2019-12-28T07:35:40Z</dcterms:modified>
</cp:coreProperties>
</file>