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156845</wp:posOffset>
            </wp:positionH>
            <wp:positionV relativeFrom="page">
              <wp:posOffset>224790</wp:posOffset>
            </wp:positionV>
            <wp:extent cx="724789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7890" cy="25400"/>
                    </a:xfrm>
                    <a:prstGeom prst="rect">
                      <a:avLst/>
                    </a:prstGeom>
                    <a:noFill/>
                  </pic:spPr>
                </pic:pic>
              </a:graphicData>
            </a:graphic>
          </wp:anchor>
        </w:drawing>
        <w:drawing>
          <wp:anchor simplePos="0" relativeHeight="251657728" behindDoc="1" locked="0" layoutInCell="0" allowOverlap="1">
            <wp:simplePos x="0" y="0"/>
            <wp:positionH relativeFrom="page">
              <wp:posOffset>156845</wp:posOffset>
            </wp:positionH>
            <wp:positionV relativeFrom="page">
              <wp:posOffset>259080</wp:posOffset>
            </wp:positionV>
            <wp:extent cx="724789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7890" cy="8255"/>
                    </a:xfrm>
                    <a:prstGeom prst="rect">
                      <a:avLst/>
                    </a:prstGeom>
                    <a:noFill/>
                  </pic:spPr>
                </pic:pic>
              </a:graphicData>
            </a:graphic>
          </wp:anchor>
        </w:drawing>
        <w:t>UNITED STATES</w:t>
      </w:r>
    </w:p>
    <w:p>
      <w:pPr>
        <w:spacing w:after="0" w:line="2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3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248" w:lineRule="exact"/>
        <w:rPr>
          <w:sz w:val="24"/>
          <w:szCs w:val="24"/>
          <w:color w:val="auto"/>
        </w:rPr>
      </w:pPr>
    </w:p>
    <w:p>
      <w:pPr>
        <w:ind w:left="3340" w:hanging="303"/>
        <w:spacing w:after="0"/>
        <w:tabs>
          <w:tab w:leader="none" w:pos="334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QUARTERLY REPORT PURSUANT TO SECTION 13 OR 15(d)</w:t>
      </w:r>
    </w:p>
    <w:p>
      <w:pPr>
        <w:spacing w:after="0" w:line="24" w:lineRule="exact"/>
        <w:rPr>
          <w:rFonts w:ascii="Arial" w:cs="Arial" w:eastAsia="Arial" w:hAnsi="Arial"/>
          <w:sz w:val="18"/>
          <w:szCs w:val="18"/>
          <w:b w:val="1"/>
          <w:bCs w:val="1"/>
          <w:color w:val="auto"/>
        </w:rPr>
      </w:pPr>
    </w:p>
    <w:p>
      <w:pPr>
        <w:ind w:left="372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OF THE SECURITIES EXCHANGE ACT OF 1934</w:t>
      </w:r>
    </w:p>
    <w:p>
      <w:pPr>
        <w:spacing w:after="0" w:line="23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June 30, 2013</w:t>
      </w:r>
    </w:p>
    <w:p>
      <w:pPr>
        <w:spacing w:after="0" w:line="24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248" w:lineRule="exact"/>
        <w:rPr>
          <w:sz w:val="24"/>
          <w:szCs w:val="24"/>
          <w:color w:val="auto"/>
        </w:rPr>
      </w:pPr>
    </w:p>
    <w:p>
      <w:pPr>
        <w:ind w:left="3340" w:hanging="308"/>
        <w:spacing w:after="0"/>
        <w:tabs>
          <w:tab w:leader="none" w:pos="334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TRANSITION REPORT PURSUANT TO SECTION 13 OR 15(d)</w:t>
      </w:r>
    </w:p>
    <w:p>
      <w:pPr>
        <w:spacing w:after="0" w:line="24" w:lineRule="exact"/>
        <w:rPr>
          <w:rFonts w:ascii="Arial" w:cs="Arial" w:eastAsia="Arial" w:hAnsi="Arial"/>
          <w:sz w:val="18"/>
          <w:szCs w:val="18"/>
          <w:b w:val="1"/>
          <w:bCs w:val="1"/>
          <w:color w:val="auto"/>
        </w:rPr>
      </w:pPr>
    </w:p>
    <w:p>
      <w:pPr>
        <w:ind w:left="372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OF THE SECURITIES EXCHANGE ACT OF 1934</w:t>
      </w:r>
    </w:p>
    <w:p>
      <w:pPr>
        <w:spacing w:after="0" w:line="232" w:lineRule="exact"/>
        <w:rPr>
          <w:sz w:val="24"/>
          <w:szCs w:val="24"/>
          <w:color w:val="auto"/>
        </w:rPr>
      </w:pPr>
    </w:p>
    <w:p>
      <w:pPr>
        <w:ind w:left="3400"/>
        <w:spacing w:after="0"/>
        <w:rPr>
          <w:sz w:val="20"/>
          <w:szCs w:val="20"/>
          <w:color w:val="auto"/>
        </w:rPr>
      </w:pPr>
      <w:r>
        <w:rPr>
          <w:rFonts w:ascii="Arial" w:cs="Arial" w:eastAsia="Arial" w:hAnsi="Arial"/>
          <w:sz w:val="18"/>
          <w:szCs w:val="18"/>
          <w:b w:val="1"/>
          <w:bCs w:val="1"/>
          <w:color w:val="auto"/>
        </w:rPr>
        <w:t>For the Transition Period from ___________ to ___________</w:t>
      </w:r>
    </w:p>
    <w:p>
      <w:pPr>
        <w:spacing w:after="0" w:line="24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001-35095</w:t>
      </w:r>
    </w:p>
    <w:p>
      <w:pPr>
        <w:spacing w:after="0" w:line="24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UNITED COMMUNITY BANKS,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1459230</wp:posOffset>
            </wp:positionH>
            <wp:positionV relativeFrom="paragraph">
              <wp:posOffset>16510</wp:posOffset>
            </wp:positionV>
            <wp:extent cx="434721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347210" cy="17145"/>
                    </a:xfrm>
                    <a:prstGeom prst="rect">
                      <a:avLst/>
                    </a:prstGeom>
                    <a:noFill/>
                  </pic:spPr>
                </pic:pic>
              </a:graphicData>
            </a:graphic>
          </wp:anchor>
        </w:drawing>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48" w:lineRule="exact"/>
        <w:rPr>
          <w:sz w:val="24"/>
          <w:szCs w:val="24"/>
          <w:color w:val="auto"/>
        </w:rPr>
      </w:pPr>
    </w:p>
    <w:tbl>
      <w:tblPr>
        <w:tblLayout w:type="fixed"/>
        <w:tblInd w:w="2080" w:type="dxa"/>
        <w:tblCellMar>
          <w:top w:w="0" w:type="dxa"/>
          <w:left w:w="0" w:type="dxa"/>
          <w:bottom w:w="0" w:type="dxa"/>
          <w:right w:w="0" w:type="dxa"/>
        </w:tblCellMar>
      </w:tblPr>
      <w:tr>
        <w:trPr>
          <w:trHeight w:val="239"/>
        </w:trPr>
        <w:tc>
          <w:tcPr>
            <w:tcW w:w="2280" w:type="dxa"/>
            <w:vAlign w:val="bottom"/>
          </w:tcPr>
          <w:p>
            <w:pPr>
              <w:jc w:val="center"/>
              <w:spacing w:after="0"/>
              <w:rPr>
                <w:sz w:val="20"/>
                <w:szCs w:val="20"/>
                <w:color w:val="auto"/>
              </w:rPr>
            </w:pPr>
            <w:r>
              <w:rPr>
                <w:rFonts w:ascii="Arial" w:cs="Arial" w:eastAsia="Arial" w:hAnsi="Arial"/>
                <w:sz w:val="18"/>
                <w:szCs w:val="18"/>
                <w:b w:val="1"/>
                <w:bCs w:val="1"/>
                <w:color w:val="auto"/>
                <w:w w:val="91"/>
              </w:rPr>
              <w:t>Georgia</w:t>
            </w:r>
          </w:p>
        </w:tc>
        <w:tc>
          <w:tcPr>
            <w:tcW w:w="4100" w:type="dxa"/>
            <w:vAlign w:val="bottom"/>
            <w:gridSpan w:val="5"/>
          </w:tcPr>
          <w:p>
            <w:pPr>
              <w:jc w:val="center"/>
              <w:ind w:left="2871"/>
              <w:spacing w:after="0"/>
              <w:rPr>
                <w:sz w:val="20"/>
                <w:szCs w:val="20"/>
                <w:color w:val="auto"/>
              </w:rPr>
            </w:pPr>
            <w:r>
              <w:rPr>
                <w:rFonts w:ascii="Arial" w:cs="Arial" w:eastAsia="Arial" w:hAnsi="Arial"/>
                <w:sz w:val="18"/>
                <w:szCs w:val="18"/>
                <w:b w:val="1"/>
                <w:bCs w:val="1"/>
                <w:color w:val="auto"/>
                <w:w w:val="89"/>
              </w:rPr>
              <w:t>58-1807304</w:t>
            </w:r>
          </w:p>
        </w:tc>
        <w:tc>
          <w:tcPr>
            <w:tcW w:w="800" w:type="dxa"/>
            <w:vAlign w:val="bottom"/>
          </w:tcPr>
          <w:p>
            <w:pPr>
              <w:spacing w:after="0"/>
              <w:rPr>
                <w:sz w:val="20"/>
                <w:szCs w:val="20"/>
                <w:color w:val="auto"/>
              </w:rPr>
            </w:pPr>
          </w:p>
        </w:tc>
      </w:tr>
      <w:tr>
        <w:trPr>
          <w:trHeight w:val="231"/>
        </w:trPr>
        <w:tc>
          <w:tcPr>
            <w:tcW w:w="228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(State of Incorporation)</w:t>
            </w:r>
          </w:p>
        </w:tc>
        <w:tc>
          <w:tcPr>
            <w:tcW w:w="8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720" w:type="dxa"/>
            <w:vAlign w:val="bottom"/>
            <w:tcBorders>
              <w:top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92"/>
              </w:rPr>
              <w:t>(I.R.S. Employer Identification No.)</w:t>
            </w:r>
          </w:p>
        </w:tc>
      </w:tr>
      <w:tr>
        <w:trPr>
          <w:trHeight w:val="420"/>
        </w:trPr>
        <w:tc>
          <w:tcPr>
            <w:tcW w:w="2280" w:type="dxa"/>
            <w:vAlign w:val="bottom"/>
          </w:tcPr>
          <w:p>
            <w:pPr>
              <w:jc w:val="center"/>
              <w:spacing w:after="0"/>
              <w:rPr>
                <w:sz w:val="20"/>
                <w:szCs w:val="20"/>
                <w:color w:val="auto"/>
              </w:rPr>
            </w:pPr>
            <w:r>
              <w:rPr>
                <w:rFonts w:ascii="Arial" w:cs="Arial" w:eastAsia="Arial" w:hAnsi="Arial"/>
                <w:sz w:val="18"/>
                <w:szCs w:val="18"/>
                <w:b w:val="1"/>
                <w:bCs w:val="1"/>
                <w:color w:val="auto"/>
                <w:w w:val="89"/>
              </w:rPr>
              <w:t>125 Highway 515 East</w:t>
            </w:r>
          </w:p>
        </w:tc>
        <w:tc>
          <w:tcPr>
            <w:tcW w:w="8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39"/>
        </w:trPr>
        <w:tc>
          <w:tcPr>
            <w:tcW w:w="2280" w:type="dxa"/>
            <w:vAlign w:val="bottom"/>
          </w:tcPr>
          <w:p>
            <w:pPr>
              <w:jc w:val="center"/>
              <w:spacing w:after="0"/>
              <w:rPr>
                <w:sz w:val="20"/>
                <w:szCs w:val="20"/>
                <w:color w:val="auto"/>
              </w:rPr>
            </w:pPr>
            <w:r>
              <w:rPr>
                <w:rFonts w:ascii="Arial" w:cs="Arial" w:eastAsia="Arial" w:hAnsi="Arial"/>
                <w:sz w:val="18"/>
                <w:szCs w:val="18"/>
                <w:b w:val="1"/>
                <w:bCs w:val="1"/>
                <w:color w:val="auto"/>
                <w:w w:val="90"/>
              </w:rPr>
              <w:t>Blairsville, Georgia</w:t>
            </w:r>
          </w:p>
        </w:tc>
        <w:tc>
          <w:tcPr>
            <w:tcW w:w="4100" w:type="dxa"/>
            <w:vAlign w:val="bottom"/>
            <w:gridSpan w:val="5"/>
          </w:tcPr>
          <w:p>
            <w:pPr>
              <w:jc w:val="center"/>
              <w:ind w:left="2871"/>
              <w:spacing w:after="0"/>
              <w:rPr>
                <w:sz w:val="20"/>
                <w:szCs w:val="20"/>
                <w:color w:val="auto"/>
              </w:rPr>
            </w:pPr>
            <w:r>
              <w:rPr>
                <w:rFonts w:ascii="Arial" w:cs="Arial" w:eastAsia="Arial" w:hAnsi="Arial"/>
                <w:sz w:val="18"/>
                <w:szCs w:val="18"/>
                <w:b w:val="1"/>
                <w:bCs w:val="1"/>
                <w:color w:val="auto"/>
                <w:w w:val="91"/>
              </w:rPr>
              <w:t>30512</w:t>
            </w:r>
          </w:p>
        </w:tc>
        <w:tc>
          <w:tcPr>
            <w:tcW w:w="800" w:type="dxa"/>
            <w:vAlign w:val="bottom"/>
          </w:tcPr>
          <w:p>
            <w:pPr>
              <w:spacing w:after="0"/>
              <w:rPr>
                <w:sz w:val="20"/>
                <w:szCs w:val="20"/>
                <w:color w:val="auto"/>
              </w:rPr>
            </w:pPr>
          </w:p>
        </w:tc>
      </w:tr>
      <w:tr>
        <w:trPr>
          <w:trHeight w:val="196"/>
        </w:trPr>
        <w:tc>
          <w:tcPr>
            <w:tcW w:w="2280" w:type="dxa"/>
            <w:vAlign w:val="bottom"/>
            <w:tcBorders>
              <w:top w:val="single" w:sz="8" w:color="auto"/>
            </w:tcBorders>
          </w:tcPr>
          <w:p>
            <w:pPr>
              <w:jc w:val="center"/>
              <w:spacing w:after="0" w:line="196" w:lineRule="exact"/>
              <w:rPr>
                <w:sz w:val="20"/>
                <w:szCs w:val="20"/>
                <w:color w:val="auto"/>
              </w:rPr>
            </w:pPr>
            <w:r>
              <w:rPr>
                <w:rFonts w:ascii="Arial" w:cs="Arial" w:eastAsia="Arial" w:hAnsi="Arial"/>
                <w:sz w:val="18"/>
                <w:szCs w:val="18"/>
                <w:b w:val="1"/>
                <w:bCs w:val="1"/>
                <w:color w:val="auto"/>
                <w:w w:val="89"/>
              </w:rPr>
              <w:t>Address of Principal</w:t>
            </w:r>
          </w:p>
        </w:tc>
        <w:tc>
          <w:tcPr>
            <w:tcW w:w="8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140" w:type="dxa"/>
            <w:vAlign w:val="bottom"/>
            <w:tcBorders>
              <w:top w:val="single" w:sz="8" w:color="auto"/>
            </w:tcBorders>
          </w:tcPr>
          <w:p>
            <w:pPr>
              <w:jc w:val="center"/>
              <w:spacing w:after="0" w:line="196" w:lineRule="exact"/>
              <w:rPr>
                <w:sz w:val="20"/>
                <w:szCs w:val="20"/>
                <w:color w:val="auto"/>
              </w:rPr>
            </w:pPr>
            <w:r>
              <w:rPr>
                <w:rFonts w:ascii="Arial" w:cs="Arial" w:eastAsia="Arial" w:hAnsi="Arial"/>
                <w:sz w:val="18"/>
                <w:szCs w:val="18"/>
                <w:b w:val="1"/>
                <w:bCs w:val="1"/>
                <w:color w:val="auto"/>
                <w:w w:val="92"/>
              </w:rPr>
              <w:t>(Zip Code)</w:t>
            </w:r>
          </w:p>
        </w:tc>
        <w:tc>
          <w:tcPr>
            <w:tcW w:w="800" w:type="dxa"/>
            <w:vAlign w:val="bottom"/>
          </w:tcPr>
          <w:p>
            <w:pPr>
              <w:spacing w:after="0"/>
              <w:rPr>
                <w:sz w:val="17"/>
                <w:szCs w:val="17"/>
                <w:color w:val="auto"/>
              </w:rPr>
            </w:pPr>
          </w:p>
        </w:tc>
      </w:tr>
      <w:tr>
        <w:trPr>
          <w:trHeight w:val="231"/>
        </w:trPr>
        <w:tc>
          <w:tcPr>
            <w:tcW w:w="2280" w:type="dxa"/>
            <w:vAlign w:val="bottom"/>
          </w:tcPr>
          <w:p>
            <w:pPr>
              <w:jc w:val="center"/>
              <w:spacing w:after="0"/>
              <w:rPr>
                <w:sz w:val="20"/>
                <w:szCs w:val="20"/>
                <w:color w:val="auto"/>
              </w:rPr>
            </w:pPr>
            <w:r>
              <w:rPr>
                <w:rFonts w:ascii="Arial" w:cs="Arial" w:eastAsia="Arial" w:hAnsi="Arial"/>
                <w:sz w:val="18"/>
                <w:szCs w:val="18"/>
                <w:b w:val="1"/>
                <w:bCs w:val="1"/>
                <w:color w:val="auto"/>
                <w:w w:val="87"/>
              </w:rPr>
              <w:t>Executive Offices</w:t>
            </w:r>
          </w:p>
        </w:tc>
        <w:tc>
          <w:tcPr>
            <w:tcW w:w="8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464"/>
        </w:trPr>
        <w:tc>
          <w:tcPr>
            <w:tcW w:w="2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(706) 781-2265</w:t>
            </w: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31"/>
        </w:trPr>
        <w:tc>
          <w:tcPr>
            <w:tcW w:w="2280" w:type="dxa"/>
            <w:vAlign w:val="bottom"/>
          </w:tcPr>
          <w:p>
            <w:pPr>
              <w:spacing w:after="0"/>
              <w:rPr>
                <w:sz w:val="20"/>
                <w:szCs w:val="20"/>
                <w:color w:val="auto"/>
              </w:rPr>
            </w:pPr>
          </w:p>
        </w:tc>
        <w:tc>
          <w:tcPr>
            <w:tcW w:w="4900" w:type="dxa"/>
            <w:vAlign w:val="bottom"/>
            <w:gridSpan w:val="6"/>
          </w:tcPr>
          <w:p>
            <w:pPr>
              <w:jc w:val="center"/>
              <w:ind w:right="2200"/>
              <w:spacing w:after="0"/>
              <w:rPr>
                <w:sz w:val="20"/>
                <w:szCs w:val="20"/>
                <w:color w:val="auto"/>
              </w:rPr>
            </w:pPr>
            <w:r>
              <w:rPr>
                <w:rFonts w:ascii="Arial" w:cs="Arial" w:eastAsia="Arial" w:hAnsi="Arial"/>
                <w:sz w:val="18"/>
                <w:szCs w:val="18"/>
                <w:b w:val="1"/>
                <w:bCs w:val="1"/>
                <w:color w:val="auto"/>
                <w:w w:val="90"/>
              </w:rPr>
              <w:t>(Telephone Number)</w:t>
            </w:r>
          </w:p>
        </w:tc>
      </w:tr>
    </w:tbl>
    <w:p>
      <w:pPr>
        <w:spacing w:after="0" w:line="206" w:lineRule="exact"/>
        <w:rPr>
          <w:sz w:val="24"/>
          <w:szCs w:val="24"/>
          <w:color w:val="auto"/>
        </w:rPr>
      </w:pPr>
    </w:p>
    <w:p>
      <w:pPr>
        <w:jc w:val="both"/>
        <w:spacing w:after="0" w:line="262" w:lineRule="auto"/>
        <w:rPr>
          <w:sz w:val="20"/>
          <w:szCs w:val="20"/>
          <w:color w:val="auto"/>
        </w:rPr>
      </w:pPr>
      <w:r>
        <w:rPr>
          <w:rFonts w:ascii="Arial" w:cs="Arial" w:eastAsia="Arial" w:hAnsi="Arial"/>
          <w:sz w:val="18"/>
          <w:szCs w:val="18"/>
          <w:b w:val="1"/>
          <w:bCs w:val="1"/>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20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YES x NO o</w:t>
      </w:r>
    </w:p>
    <w:p>
      <w:pPr>
        <w:spacing w:after="0" w:line="248" w:lineRule="exact"/>
        <w:rPr>
          <w:sz w:val="24"/>
          <w:szCs w:val="24"/>
          <w:color w:val="auto"/>
        </w:rPr>
      </w:pPr>
    </w:p>
    <w:p>
      <w:pPr>
        <w:jc w:val="both"/>
        <w:spacing w:after="0" w:line="262" w:lineRule="auto"/>
        <w:rPr>
          <w:sz w:val="20"/>
          <w:szCs w:val="20"/>
          <w:color w:val="auto"/>
        </w:rPr>
      </w:pPr>
      <w:r>
        <w:rPr>
          <w:rFonts w:ascii="Arial" w:cs="Arial" w:eastAsia="Arial" w:hAnsi="Arial"/>
          <w:sz w:val="18"/>
          <w:szCs w:val="18"/>
          <w:b w:val="1"/>
          <w:bCs w:val="1"/>
          <w:color w:val="auto"/>
        </w:rPr>
        <w:t>Indicate by check mark whether the registrant has submitted electronically and posted on its corporate Web site, if any, every Interactive Date File required to be submitted and posted pursuant to Rule 405 of Regulation S-T (§232.405 of this chapter) during the preceding 12 months (or for such shorter period that the registrant was required to submit and post such files).</w:t>
      </w:r>
    </w:p>
    <w:p>
      <w:pPr>
        <w:spacing w:after="0" w:line="20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YES x NO o</w:t>
      </w:r>
    </w:p>
    <w:p>
      <w:pPr>
        <w:spacing w:after="0" w:line="248" w:lineRule="exact"/>
        <w:rPr>
          <w:sz w:val="24"/>
          <w:szCs w:val="24"/>
          <w:color w:val="auto"/>
        </w:rPr>
      </w:pPr>
    </w:p>
    <w:p>
      <w:pPr>
        <w:jc w:val="both"/>
        <w:spacing w:after="0" w:line="306" w:lineRule="auto"/>
        <w:rPr>
          <w:sz w:val="20"/>
          <w:szCs w:val="20"/>
          <w:color w:val="auto"/>
        </w:rPr>
      </w:pPr>
      <w:r>
        <w:rPr>
          <w:rFonts w:ascii="Arial" w:cs="Arial" w:eastAsia="Arial" w:hAnsi="Arial"/>
          <w:sz w:val="17"/>
          <w:szCs w:val="17"/>
          <w:b w:val="1"/>
          <w:bCs w:val="1"/>
          <w:color w:val="auto"/>
        </w:rPr>
        <w:t>Indicate by check mark whether the registrant is a large accelerated filer, an accelerated filer, a non-accelerated filer or a smaller reporting company. See definitions of “large accelerated filer”, “accelerated filer” and “smaller reporting company” in Rule 12b-2 of the Exchange Act.</w:t>
      </w:r>
    </w:p>
    <w:p>
      <w:pPr>
        <w:sectPr>
          <w:pgSz w:w="11900" w:h="16838" w:orient="portrait"/>
          <w:cols w:equalWidth="0" w:num="1">
            <w:col w:w="11420"/>
          </w:cols>
          <w:pgMar w:left="240" w:top="670" w:right="239" w:bottom="1440" w:gutter="0" w:footer="0" w:header="0"/>
        </w:sectPr>
      </w:pPr>
    </w:p>
    <w:p>
      <w:pPr>
        <w:spacing w:after="0" w:line="171"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Large accelerated filer o</w:t>
      </w:r>
    </w:p>
    <w:p>
      <w:pPr>
        <w:spacing w:after="0" w:line="20" w:lineRule="exact"/>
        <w:rPr>
          <w:sz w:val="24"/>
          <w:szCs w:val="24"/>
          <w:color w:val="auto"/>
        </w:rPr>
      </w:pPr>
      <w:r>
        <w:rPr>
          <w:sz w:val="24"/>
          <w:szCs w:val="24"/>
          <w:color w:val="auto"/>
        </w:rPr>
        <w:br w:type="column"/>
      </w:r>
    </w:p>
    <w:p>
      <w:pPr>
        <w:spacing w:after="0" w:line="151"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Accelerated filer x</w:t>
      </w:r>
    </w:p>
    <w:p>
      <w:pPr>
        <w:spacing w:after="0" w:line="200" w:lineRule="exact"/>
        <w:rPr>
          <w:sz w:val="24"/>
          <w:szCs w:val="24"/>
          <w:color w:val="auto"/>
        </w:rPr>
      </w:pPr>
    </w:p>
    <w:p>
      <w:pPr>
        <w:sectPr>
          <w:pgSz w:w="11900" w:h="16838" w:orient="portrait"/>
          <w:cols w:equalWidth="0" w:num="2">
            <w:col w:w="9300" w:space="720"/>
            <w:col w:w="1400"/>
          </w:cols>
          <w:pgMar w:left="240" w:top="670" w:right="239" w:bottom="1440" w:gutter="0" w:footer="0" w:header="0"/>
          <w:type w:val="continuous"/>
        </w:sectPr>
      </w:pPr>
    </w:p>
    <w:p>
      <w:pPr>
        <w:spacing w:after="0" w:line="45"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Non-accelerated filer o (Do not check if a smaller reporting company)</w:t>
      </w:r>
    </w:p>
    <w:p>
      <w:pPr>
        <w:spacing w:after="0" w:line="20" w:lineRule="exact"/>
        <w:rPr>
          <w:sz w:val="24"/>
          <w:szCs w:val="24"/>
          <w:color w:val="auto"/>
        </w:rPr>
      </w:pPr>
      <w:r>
        <w:rPr>
          <w:sz w:val="24"/>
          <w:szCs w:val="24"/>
          <w:color w:val="auto"/>
        </w:rPr>
        <w:br w:type="column"/>
      </w:r>
    </w:p>
    <w:p>
      <w:pPr>
        <w:spacing w:after="0" w:line="25"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Smaller Reporting Company o</w:t>
      </w:r>
    </w:p>
    <w:p>
      <w:pPr>
        <w:spacing w:after="0" w:line="200" w:lineRule="exact"/>
        <w:rPr>
          <w:sz w:val="24"/>
          <w:szCs w:val="24"/>
          <w:color w:val="auto"/>
        </w:rPr>
      </w:pPr>
    </w:p>
    <w:p>
      <w:pPr>
        <w:sectPr>
          <w:pgSz w:w="11900" w:h="16838" w:orient="portrait"/>
          <w:cols w:equalWidth="0" w:num="2">
            <w:col w:w="8360" w:space="720"/>
            <w:col w:w="2340"/>
          </w:cols>
          <w:pgMar w:left="240" w:top="670" w:right="239" w:bottom="1440" w:gutter="0" w:footer="0" w:header="0"/>
          <w:type w:val="continuous"/>
        </w:sectPr>
      </w:pPr>
    </w:p>
    <w:p>
      <w:pPr>
        <w:spacing w:after="0" w:line="71"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Indicate by check mark whether the registrant is a shell company (as defined in Rule 12b-2 of the Act).</w:t>
      </w:r>
    </w:p>
    <w:p>
      <w:pPr>
        <w:spacing w:after="0" w:line="27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YES o NO x</w:t>
      </w:r>
    </w:p>
    <w:p>
      <w:pPr>
        <w:sectPr>
          <w:pgSz w:w="11900" w:h="16838" w:orient="portrait"/>
          <w:cols w:equalWidth="0" w:num="1">
            <w:col w:w="11420"/>
          </w:cols>
          <w:pgMar w:left="240" w:top="670" w:right="239" w:bottom="1440" w:gutter="0" w:footer="0" w:header="0"/>
          <w:type w:val="continuous"/>
        </w:sectPr>
      </w:pPr>
    </w:p>
    <w:p>
      <w:pPr>
        <w:spacing w:after="0" w:line="248"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Common stock, par value $1 per share 43,363,414 shares voting and 14,474,810 shares non-voting outstanding as of July 31, 2013.</w:t>
      </w:r>
    </w:p>
    <w:p>
      <w:pPr>
        <w:spacing w:after="0" w:line="26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13970</wp:posOffset>
            </wp:positionV>
            <wp:extent cx="724789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7890" cy="8255"/>
                    </a:xfrm>
                    <a:prstGeom prst="rect">
                      <a:avLst/>
                    </a:prstGeom>
                    <a:noFill/>
                  </pic:spPr>
                </pic:pic>
              </a:graphicData>
            </a:graphic>
          </wp:anchor>
        </w:drawing>
      </w:r>
    </w:p>
    <w:p>
      <w:pPr>
        <w:sectPr>
          <w:pgSz w:w="11900" w:h="16838" w:orient="portrait"/>
          <w:cols w:equalWidth="0" w:num="1">
            <w:col w:w="11420"/>
          </w:cols>
          <w:pgMar w:left="240" w:top="670" w:right="2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INDEX</w:t>
      </w:r>
    </w:p>
    <w:p>
      <w:pPr>
        <w:spacing w:after="0" w:line="222" w:lineRule="exact"/>
        <w:rPr>
          <w:sz w:val="20"/>
          <w:szCs w:val="20"/>
          <w:color w:val="auto"/>
        </w:rPr>
      </w:pPr>
    </w:p>
    <w:p>
      <w:pPr>
        <w:ind w:left="480"/>
        <w:spacing w:after="0"/>
        <w:rPr>
          <w:sz w:val="20"/>
          <w:szCs w:val="20"/>
          <w:color w:val="auto"/>
        </w:rPr>
      </w:pPr>
      <w:r>
        <w:rPr>
          <w:rFonts w:ascii="Arial" w:cs="Arial" w:eastAsia="Arial" w:hAnsi="Arial"/>
          <w:sz w:val="18"/>
          <w:szCs w:val="18"/>
          <w:b w:val="1"/>
          <w:bCs w:val="1"/>
          <w:color w:val="auto"/>
        </w:rPr>
        <w:t>PART I - Financial Information</w:t>
      </w:r>
    </w:p>
    <w:p>
      <w:pPr>
        <w:spacing w:after="0" w:line="222" w:lineRule="exact"/>
        <w:rPr>
          <w:sz w:val="20"/>
          <w:szCs w:val="20"/>
          <w:color w:val="auto"/>
        </w:rPr>
      </w:pPr>
    </w:p>
    <w:tbl>
      <w:tblPr>
        <w:tblLayout w:type="fixed"/>
        <w:tblInd w:w="920" w:type="dxa"/>
        <w:tblCellMar>
          <w:top w:w="0" w:type="dxa"/>
          <w:left w:w="0" w:type="dxa"/>
          <w:bottom w:w="0" w:type="dxa"/>
          <w:right w:w="0" w:type="dxa"/>
        </w:tblCellMar>
      </w:tblPr>
      <w:tr>
        <w:trPr>
          <w:trHeight w:val="231"/>
        </w:trPr>
        <w:tc>
          <w:tcPr>
            <w:tcW w:w="60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9420" w:type="dxa"/>
            <w:vAlign w:val="bottom"/>
          </w:tcPr>
          <w:p>
            <w:pPr>
              <w:ind w:left="60"/>
              <w:spacing w:after="0"/>
              <w:rPr>
                <w:sz w:val="20"/>
                <w:szCs w:val="20"/>
                <w:color w:val="auto"/>
              </w:rPr>
            </w:pPr>
            <w:r>
              <w:rPr>
                <w:rFonts w:ascii="Arial" w:cs="Arial" w:eastAsia="Arial" w:hAnsi="Arial"/>
                <w:sz w:val="18"/>
                <w:szCs w:val="18"/>
                <w:b w:val="1"/>
                <w:bCs w:val="1"/>
                <w:color w:val="auto"/>
              </w:rPr>
              <w:t>Financial Statements.</w:t>
            </w:r>
          </w:p>
        </w:tc>
        <w:tc>
          <w:tcPr>
            <w:tcW w:w="480" w:type="dxa"/>
            <w:vAlign w:val="bottom"/>
          </w:tcPr>
          <w:p>
            <w:pPr>
              <w:spacing w:after="0"/>
              <w:rPr>
                <w:sz w:val="20"/>
                <w:szCs w:val="20"/>
                <w:color w:val="auto"/>
              </w:rPr>
            </w:pPr>
          </w:p>
        </w:tc>
      </w:tr>
      <w:tr>
        <w:trPr>
          <w:trHeight w:val="429"/>
        </w:trPr>
        <w:tc>
          <w:tcPr>
            <w:tcW w:w="600" w:type="dxa"/>
            <w:vAlign w:val="bottom"/>
          </w:tcPr>
          <w:p>
            <w:pPr>
              <w:spacing w:after="0"/>
              <w:rPr>
                <w:sz w:val="24"/>
                <w:szCs w:val="24"/>
                <w:color w:val="auto"/>
              </w:rPr>
            </w:pPr>
          </w:p>
        </w:tc>
        <w:tc>
          <w:tcPr>
            <w:tcW w:w="9420" w:type="dxa"/>
            <w:vAlign w:val="bottom"/>
          </w:tcPr>
          <w:p>
            <w:pPr>
              <w:ind w:left="60"/>
              <w:spacing w:after="0"/>
              <w:rPr>
                <w:sz w:val="20"/>
                <w:szCs w:val="20"/>
                <w:color w:val="auto"/>
              </w:rPr>
            </w:pPr>
            <w:r>
              <w:rPr>
                <w:rFonts w:ascii="Arial" w:cs="Arial" w:eastAsia="Arial" w:hAnsi="Arial"/>
                <w:sz w:val="18"/>
                <w:szCs w:val="18"/>
                <w:b w:val="1"/>
                <w:bCs w:val="1"/>
                <w:color w:val="auto"/>
              </w:rPr>
              <w:t>Consolidated Statement of Income (unaudited) for the Three and Six Months Ended June 30, 2013 and 2012</w:t>
            </w:r>
          </w:p>
        </w:tc>
        <w:tc>
          <w:tcPr>
            <w:tcW w:w="4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412"/>
        </w:trPr>
        <w:tc>
          <w:tcPr>
            <w:tcW w:w="600" w:type="dxa"/>
            <w:vAlign w:val="bottom"/>
          </w:tcPr>
          <w:p>
            <w:pPr>
              <w:spacing w:after="0"/>
              <w:rPr>
                <w:sz w:val="24"/>
                <w:szCs w:val="24"/>
                <w:color w:val="auto"/>
              </w:rPr>
            </w:pPr>
          </w:p>
        </w:tc>
        <w:tc>
          <w:tcPr>
            <w:tcW w:w="9420" w:type="dxa"/>
            <w:vAlign w:val="bottom"/>
          </w:tcPr>
          <w:p>
            <w:pPr>
              <w:ind w:left="60"/>
              <w:spacing w:after="0"/>
              <w:rPr>
                <w:sz w:val="20"/>
                <w:szCs w:val="20"/>
                <w:color w:val="auto"/>
              </w:rPr>
            </w:pPr>
            <w:r>
              <w:rPr>
                <w:rFonts w:ascii="Arial" w:cs="Arial" w:eastAsia="Arial" w:hAnsi="Arial"/>
                <w:sz w:val="18"/>
                <w:szCs w:val="18"/>
                <w:b w:val="1"/>
                <w:bCs w:val="1"/>
                <w:color w:val="auto"/>
                <w:w w:val="92"/>
              </w:rPr>
              <w:t>Consolidated Statement of Comprehensive Income (unaudited) for the Three and Six Months Ended June 30, 2013 and</w:t>
            </w:r>
          </w:p>
        </w:tc>
        <w:tc>
          <w:tcPr>
            <w:tcW w:w="4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31"/>
        </w:trPr>
        <w:tc>
          <w:tcPr>
            <w:tcW w:w="600" w:type="dxa"/>
            <w:vAlign w:val="bottom"/>
          </w:tcPr>
          <w:p>
            <w:pPr>
              <w:spacing w:after="0"/>
              <w:rPr>
                <w:sz w:val="20"/>
                <w:szCs w:val="20"/>
                <w:color w:val="auto"/>
              </w:rPr>
            </w:pPr>
          </w:p>
        </w:tc>
        <w:tc>
          <w:tcPr>
            <w:tcW w:w="9420" w:type="dxa"/>
            <w:vAlign w:val="bottom"/>
          </w:tcPr>
          <w:p>
            <w:pPr>
              <w:ind w:left="60"/>
              <w:spacing w:after="0"/>
              <w:rPr>
                <w:sz w:val="20"/>
                <w:szCs w:val="20"/>
                <w:color w:val="auto"/>
              </w:rPr>
            </w:pPr>
            <w:r>
              <w:rPr>
                <w:rFonts w:ascii="Arial" w:cs="Arial" w:eastAsia="Arial" w:hAnsi="Arial"/>
                <w:sz w:val="18"/>
                <w:szCs w:val="18"/>
                <w:b w:val="1"/>
                <w:bCs w:val="1"/>
                <w:color w:val="auto"/>
              </w:rPr>
              <w:t>2012</w:t>
            </w:r>
          </w:p>
        </w:tc>
        <w:tc>
          <w:tcPr>
            <w:tcW w:w="480" w:type="dxa"/>
            <w:vAlign w:val="bottom"/>
          </w:tcPr>
          <w:p>
            <w:pPr>
              <w:spacing w:after="0"/>
              <w:rPr>
                <w:sz w:val="20"/>
                <w:szCs w:val="20"/>
                <w:color w:val="auto"/>
              </w:rPr>
            </w:pPr>
          </w:p>
        </w:tc>
      </w:tr>
      <w:tr>
        <w:trPr>
          <w:trHeight w:val="429"/>
        </w:trPr>
        <w:tc>
          <w:tcPr>
            <w:tcW w:w="600" w:type="dxa"/>
            <w:vAlign w:val="bottom"/>
          </w:tcPr>
          <w:p>
            <w:pPr>
              <w:spacing w:after="0"/>
              <w:rPr>
                <w:sz w:val="24"/>
                <w:szCs w:val="24"/>
                <w:color w:val="auto"/>
              </w:rPr>
            </w:pPr>
          </w:p>
        </w:tc>
        <w:tc>
          <w:tcPr>
            <w:tcW w:w="9420" w:type="dxa"/>
            <w:vAlign w:val="bottom"/>
          </w:tcPr>
          <w:p>
            <w:pPr>
              <w:ind w:left="60"/>
              <w:spacing w:after="0"/>
              <w:rPr>
                <w:sz w:val="20"/>
                <w:szCs w:val="20"/>
                <w:color w:val="auto"/>
              </w:rPr>
            </w:pPr>
            <w:r>
              <w:rPr>
                <w:rFonts w:ascii="Arial" w:cs="Arial" w:eastAsia="Arial" w:hAnsi="Arial"/>
                <w:sz w:val="18"/>
                <w:szCs w:val="18"/>
                <w:b w:val="1"/>
                <w:bCs w:val="1"/>
                <w:color w:val="auto"/>
              </w:rPr>
              <w:t>Consolidated Balance Sheet (unaudited) at June 30, 2013, December 31, 2012 and June 30, 2012</w:t>
            </w:r>
          </w:p>
        </w:tc>
        <w:tc>
          <w:tcPr>
            <w:tcW w:w="48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412"/>
        </w:trPr>
        <w:tc>
          <w:tcPr>
            <w:tcW w:w="600" w:type="dxa"/>
            <w:vAlign w:val="bottom"/>
          </w:tcPr>
          <w:p>
            <w:pPr>
              <w:spacing w:after="0"/>
              <w:rPr>
                <w:sz w:val="24"/>
                <w:szCs w:val="24"/>
                <w:color w:val="auto"/>
              </w:rPr>
            </w:pPr>
          </w:p>
        </w:tc>
        <w:tc>
          <w:tcPr>
            <w:tcW w:w="9420" w:type="dxa"/>
            <w:vAlign w:val="bottom"/>
          </w:tcPr>
          <w:p>
            <w:pPr>
              <w:ind w:left="60"/>
              <w:spacing w:after="0"/>
              <w:rPr>
                <w:sz w:val="20"/>
                <w:szCs w:val="20"/>
                <w:color w:val="auto"/>
              </w:rPr>
            </w:pPr>
            <w:r>
              <w:rPr>
                <w:rFonts w:ascii="Arial" w:cs="Arial" w:eastAsia="Arial" w:hAnsi="Arial"/>
                <w:sz w:val="18"/>
                <w:szCs w:val="18"/>
                <w:b w:val="1"/>
                <w:bCs w:val="1"/>
                <w:color w:val="auto"/>
                <w:w w:val="93"/>
              </w:rPr>
              <w:t>Consolidated Statement of Changes in Shareholders’ Equity (unaudited) for the Six Months Ended June 30, 2013 and</w:t>
            </w:r>
          </w:p>
        </w:tc>
        <w:tc>
          <w:tcPr>
            <w:tcW w:w="48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31"/>
        </w:trPr>
        <w:tc>
          <w:tcPr>
            <w:tcW w:w="600" w:type="dxa"/>
            <w:vAlign w:val="bottom"/>
          </w:tcPr>
          <w:p>
            <w:pPr>
              <w:spacing w:after="0"/>
              <w:rPr>
                <w:sz w:val="20"/>
                <w:szCs w:val="20"/>
                <w:color w:val="auto"/>
              </w:rPr>
            </w:pPr>
          </w:p>
        </w:tc>
        <w:tc>
          <w:tcPr>
            <w:tcW w:w="9420" w:type="dxa"/>
            <w:vAlign w:val="bottom"/>
          </w:tcPr>
          <w:p>
            <w:pPr>
              <w:ind w:left="60"/>
              <w:spacing w:after="0"/>
              <w:rPr>
                <w:sz w:val="20"/>
                <w:szCs w:val="20"/>
                <w:color w:val="auto"/>
              </w:rPr>
            </w:pPr>
            <w:r>
              <w:rPr>
                <w:rFonts w:ascii="Arial" w:cs="Arial" w:eastAsia="Arial" w:hAnsi="Arial"/>
                <w:sz w:val="18"/>
                <w:szCs w:val="18"/>
                <w:b w:val="1"/>
                <w:bCs w:val="1"/>
                <w:color w:val="auto"/>
              </w:rPr>
              <w:t>2012</w:t>
            </w:r>
          </w:p>
        </w:tc>
        <w:tc>
          <w:tcPr>
            <w:tcW w:w="480" w:type="dxa"/>
            <w:vAlign w:val="bottom"/>
          </w:tcPr>
          <w:p>
            <w:pPr>
              <w:spacing w:after="0"/>
              <w:rPr>
                <w:sz w:val="20"/>
                <w:szCs w:val="20"/>
                <w:color w:val="auto"/>
              </w:rPr>
            </w:pPr>
          </w:p>
        </w:tc>
      </w:tr>
      <w:tr>
        <w:trPr>
          <w:trHeight w:val="429"/>
        </w:trPr>
        <w:tc>
          <w:tcPr>
            <w:tcW w:w="600" w:type="dxa"/>
            <w:vAlign w:val="bottom"/>
          </w:tcPr>
          <w:p>
            <w:pPr>
              <w:spacing w:after="0"/>
              <w:rPr>
                <w:sz w:val="24"/>
                <w:szCs w:val="24"/>
                <w:color w:val="auto"/>
              </w:rPr>
            </w:pPr>
          </w:p>
        </w:tc>
        <w:tc>
          <w:tcPr>
            <w:tcW w:w="9420" w:type="dxa"/>
            <w:vAlign w:val="bottom"/>
          </w:tcPr>
          <w:p>
            <w:pPr>
              <w:ind w:left="60"/>
              <w:spacing w:after="0"/>
              <w:rPr>
                <w:sz w:val="20"/>
                <w:szCs w:val="20"/>
                <w:color w:val="auto"/>
              </w:rPr>
            </w:pPr>
            <w:r>
              <w:rPr>
                <w:rFonts w:ascii="Arial" w:cs="Arial" w:eastAsia="Arial" w:hAnsi="Arial"/>
                <w:sz w:val="18"/>
                <w:szCs w:val="18"/>
                <w:b w:val="1"/>
                <w:bCs w:val="1"/>
                <w:color w:val="auto"/>
              </w:rPr>
              <w:t>Consolidated Statement of Cash Flows (unaudited) for the Six Months Ended June 30, 2013 and 2012</w:t>
            </w:r>
          </w:p>
        </w:tc>
        <w:tc>
          <w:tcPr>
            <w:tcW w:w="48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429"/>
        </w:trPr>
        <w:tc>
          <w:tcPr>
            <w:tcW w:w="600" w:type="dxa"/>
            <w:vAlign w:val="bottom"/>
          </w:tcPr>
          <w:p>
            <w:pPr>
              <w:spacing w:after="0"/>
              <w:rPr>
                <w:sz w:val="24"/>
                <w:szCs w:val="24"/>
                <w:color w:val="auto"/>
              </w:rPr>
            </w:pPr>
          </w:p>
        </w:tc>
        <w:tc>
          <w:tcPr>
            <w:tcW w:w="9420" w:type="dxa"/>
            <w:vAlign w:val="bottom"/>
          </w:tcPr>
          <w:p>
            <w:pPr>
              <w:ind w:left="60"/>
              <w:spacing w:after="0"/>
              <w:rPr>
                <w:sz w:val="20"/>
                <w:szCs w:val="20"/>
                <w:color w:val="auto"/>
              </w:rPr>
            </w:pPr>
            <w:r>
              <w:rPr>
                <w:rFonts w:ascii="Arial" w:cs="Arial" w:eastAsia="Arial" w:hAnsi="Arial"/>
                <w:sz w:val="18"/>
                <w:szCs w:val="18"/>
                <w:b w:val="1"/>
                <w:bCs w:val="1"/>
                <w:color w:val="auto"/>
              </w:rPr>
              <w:t>Notes to Consolidated Financial Statements</w:t>
            </w:r>
          </w:p>
        </w:tc>
        <w:tc>
          <w:tcPr>
            <w:tcW w:w="48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429"/>
        </w:trPr>
        <w:tc>
          <w:tcPr>
            <w:tcW w:w="600" w:type="dxa"/>
            <w:vAlign w:val="bottom"/>
          </w:tcPr>
          <w:p>
            <w:pPr>
              <w:spacing w:after="0"/>
              <w:rPr>
                <w:sz w:val="20"/>
                <w:szCs w:val="20"/>
                <w:color w:val="auto"/>
              </w:rPr>
            </w:pPr>
            <w:r>
              <w:rPr>
                <w:rFonts w:ascii="Arial" w:cs="Arial" w:eastAsia="Arial" w:hAnsi="Arial"/>
                <w:sz w:val="18"/>
                <w:szCs w:val="18"/>
                <w:b w:val="1"/>
                <w:bCs w:val="1"/>
                <w:color w:val="auto"/>
              </w:rPr>
              <w:t>Item 2.</w:t>
            </w:r>
          </w:p>
        </w:tc>
        <w:tc>
          <w:tcPr>
            <w:tcW w:w="9420" w:type="dxa"/>
            <w:vAlign w:val="bottom"/>
          </w:tcPr>
          <w:p>
            <w:pPr>
              <w:ind w:left="60"/>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tc>
        <w:tc>
          <w:tcPr>
            <w:tcW w:w="48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429"/>
        </w:trPr>
        <w:tc>
          <w:tcPr>
            <w:tcW w:w="600" w:type="dxa"/>
            <w:vAlign w:val="bottom"/>
          </w:tcPr>
          <w:p>
            <w:pPr>
              <w:spacing w:after="0"/>
              <w:rPr>
                <w:sz w:val="20"/>
                <w:szCs w:val="20"/>
                <w:color w:val="auto"/>
              </w:rPr>
            </w:pPr>
            <w:r>
              <w:rPr>
                <w:rFonts w:ascii="Arial" w:cs="Arial" w:eastAsia="Arial" w:hAnsi="Arial"/>
                <w:sz w:val="18"/>
                <w:szCs w:val="18"/>
                <w:b w:val="1"/>
                <w:bCs w:val="1"/>
                <w:color w:val="auto"/>
              </w:rPr>
              <w:t>Item 3.</w:t>
            </w:r>
          </w:p>
        </w:tc>
        <w:tc>
          <w:tcPr>
            <w:tcW w:w="9420" w:type="dxa"/>
            <w:vAlign w:val="bottom"/>
          </w:tcPr>
          <w:p>
            <w:pPr>
              <w:ind w:left="60"/>
              <w:spacing w:after="0"/>
              <w:rPr>
                <w:sz w:val="20"/>
                <w:szCs w:val="20"/>
                <w:color w:val="auto"/>
              </w:rPr>
            </w:pPr>
            <w:r>
              <w:rPr>
                <w:rFonts w:ascii="Arial" w:cs="Arial" w:eastAsia="Arial" w:hAnsi="Arial"/>
                <w:sz w:val="18"/>
                <w:szCs w:val="18"/>
                <w:b w:val="1"/>
                <w:bCs w:val="1"/>
                <w:color w:val="auto"/>
              </w:rPr>
              <w:t>Quantitative and Qualitative Disclosures About Market Risk.</w:t>
            </w:r>
          </w:p>
        </w:tc>
        <w:tc>
          <w:tcPr>
            <w:tcW w:w="48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429"/>
        </w:trPr>
        <w:tc>
          <w:tcPr>
            <w:tcW w:w="600" w:type="dxa"/>
            <w:vAlign w:val="bottom"/>
          </w:tcPr>
          <w:p>
            <w:pPr>
              <w:spacing w:after="0"/>
              <w:rPr>
                <w:sz w:val="20"/>
                <w:szCs w:val="20"/>
                <w:color w:val="auto"/>
              </w:rPr>
            </w:pPr>
            <w:r>
              <w:rPr>
                <w:rFonts w:ascii="Arial" w:cs="Arial" w:eastAsia="Arial" w:hAnsi="Arial"/>
                <w:sz w:val="18"/>
                <w:szCs w:val="18"/>
                <w:b w:val="1"/>
                <w:bCs w:val="1"/>
                <w:color w:val="auto"/>
              </w:rPr>
              <w:t>Item 4.</w:t>
            </w:r>
          </w:p>
        </w:tc>
        <w:tc>
          <w:tcPr>
            <w:tcW w:w="9420" w:type="dxa"/>
            <w:vAlign w:val="bottom"/>
          </w:tcPr>
          <w:p>
            <w:pPr>
              <w:ind w:left="60"/>
              <w:spacing w:after="0"/>
              <w:rPr>
                <w:sz w:val="20"/>
                <w:szCs w:val="20"/>
                <w:color w:val="auto"/>
              </w:rPr>
            </w:pPr>
            <w:r>
              <w:rPr>
                <w:rFonts w:ascii="Arial" w:cs="Arial" w:eastAsia="Arial" w:hAnsi="Arial"/>
                <w:sz w:val="18"/>
                <w:szCs w:val="18"/>
                <w:b w:val="1"/>
                <w:bCs w:val="1"/>
                <w:color w:val="auto"/>
              </w:rPr>
              <w:t>Controls and Procedures.</w:t>
            </w:r>
          </w:p>
        </w:tc>
        <w:tc>
          <w:tcPr>
            <w:tcW w:w="480" w:type="dxa"/>
            <w:vAlign w:val="bottom"/>
          </w:tcPr>
          <w:p>
            <w:pPr>
              <w:jc w:val="right"/>
              <w:spacing w:after="0"/>
              <w:rPr>
                <w:sz w:val="20"/>
                <w:szCs w:val="20"/>
                <w:color w:val="auto"/>
              </w:rPr>
            </w:pPr>
            <w:r>
              <w:rPr>
                <w:rFonts w:ascii="Arial" w:cs="Arial" w:eastAsia="Arial" w:hAnsi="Arial"/>
                <w:sz w:val="18"/>
                <w:szCs w:val="18"/>
                <w:color w:val="auto"/>
              </w:rPr>
              <w:t>60</w:t>
            </w:r>
          </w:p>
        </w:tc>
      </w:tr>
    </w:tbl>
    <w:p>
      <w:pPr>
        <w:spacing w:after="0" w:line="198" w:lineRule="exact"/>
        <w:rPr>
          <w:sz w:val="20"/>
          <w:szCs w:val="20"/>
          <w:color w:val="auto"/>
        </w:rPr>
      </w:pPr>
    </w:p>
    <w:p>
      <w:pPr>
        <w:ind w:left="480"/>
        <w:spacing w:after="0"/>
        <w:rPr>
          <w:sz w:val="20"/>
          <w:szCs w:val="20"/>
          <w:color w:val="auto"/>
        </w:rPr>
      </w:pPr>
      <w:r>
        <w:rPr>
          <w:rFonts w:ascii="Arial" w:cs="Arial" w:eastAsia="Arial" w:hAnsi="Arial"/>
          <w:sz w:val="18"/>
          <w:szCs w:val="18"/>
          <w:b w:val="1"/>
          <w:bCs w:val="1"/>
          <w:color w:val="auto"/>
        </w:rPr>
        <w:t>PART II - Other Information</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1520" w:type="dxa"/>
            <w:vAlign w:val="bottom"/>
          </w:tcPr>
          <w:p>
            <w:pPr>
              <w:ind w:left="920"/>
              <w:spacing w:after="0"/>
              <w:rPr>
                <w:sz w:val="20"/>
                <w:szCs w:val="20"/>
                <w:color w:val="auto"/>
              </w:rPr>
            </w:pPr>
            <w:r>
              <w:rPr>
                <w:rFonts w:ascii="Arial" w:cs="Arial" w:eastAsia="Arial" w:hAnsi="Arial"/>
                <w:sz w:val="18"/>
                <w:szCs w:val="18"/>
                <w:b w:val="1"/>
                <w:bCs w:val="1"/>
                <w:color w:val="auto"/>
              </w:rPr>
              <w:t>Item 1.</w:t>
            </w:r>
          </w:p>
        </w:tc>
        <w:tc>
          <w:tcPr>
            <w:tcW w:w="7180" w:type="dxa"/>
            <w:vAlign w:val="bottom"/>
          </w:tcPr>
          <w:p>
            <w:pPr>
              <w:ind w:left="60"/>
              <w:spacing w:after="0"/>
              <w:rPr>
                <w:sz w:val="20"/>
                <w:szCs w:val="20"/>
                <w:color w:val="auto"/>
              </w:rPr>
            </w:pPr>
            <w:r>
              <w:rPr>
                <w:rFonts w:ascii="Arial" w:cs="Arial" w:eastAsia="Arial" w:hAnsi="Arial"/>
                <w:sz w:val="18"/>
                <w:szCs w:val="18"/>
                <w:b w:val="1"/>
                <w:bCs w:val="1"/>
                <w:color w:val="auto"/>
              </w:rPr>
              <w:t>Legal Proceedings.</w:t>
            </w:r>
          </w:p>
        </w:tc>
        <w:tc>
          <w:tcPr>
            <w:tcW w:w="272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14"/>
        </w:trPr>
        <w:tc>
          <w:tcPr>
            <w:tcW w:w="8700" w:type="dxa"/>
            <w:vAlign w:val="bottom"/>
            <w:gridSpan w:val="2"/>
          </w:tcPr>
          <w:p>
            <w:pPr>
              <w:ind w:left="920"/>
              <w:spacing w:after="0"/>
              <w:rPr>
                <w:sz w:val="20"/>
                <w:szCs w:val="20"/>
                <w:color w:val="auto"/>
              </w:rPr>
            </w:pPr>
            <w:r>
              <w:rPr>
                <w:rFonts w:ascii="Arial" w:cs="Arial" w:eastAsia="Arial" w:hAnsi="Arial"/>
                <w:sz w:val="18"/>
                <w:szCs w:val="18"/>
                <w:b w:val="1"/>
                <w:bCs w:val="1"/>
                <w:color w:val="auto"/>
              </w:rPr>
              <w:t>Item 1A.Risk Factors.</w:t>
            </w:r>
          </w:p>
        </w:tc>
        <w:tc>
          <w:tcPr>
            <w:tcW w:w="272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14"/>
        </w:trPr>
        <w:tc>
          <w:tcPr>
            <w:tcW w:w="8700" w:type="dxa"/>
            <w:vAlign w:val="bottom"/>
            <w:gridSpan w:val="2"/>
          </w:tcPr>
          <w:p>
            <w:pPr>
              <w:ind w:left="920"/>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tc>
        <w:tc>
          <w:tcPr>
            <w:tcW w:w="272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14"/>
        </w:trPr>
        <w:tc>
          <w:tcPr>
            <w:tcW w:w="8700" w:type="dxa"/>
            <w:vAlign w:val="bottom"/>
            <w:gridSpan w:val="2"/>
          </w:tcPr>
          <w:p>
            <w:pPr>
              <w:ind w:left="920"/>
              <w:spacing w:after="0"/>
              <w:rPr>
                <w:sz w:val="20"/>
                <w:szCs w:val="20"/>
                <w:color w:val="auto"/>
              </w:rPr>
            </w:pPr>
            <w:r>
              <w:rPr>
                <w:rFonts w:ascii="Arial" w:cs="Arial" w:eastAsia="Arial" w:hAnsi="Arial"/>
                <w:sz w:val="18"/>
                <w:szCs w:val="18"/>
                <w:b w:val="1"/>
                <w:bCs w:val="1"/>
                <w:color w:val="auto"/>
              </w:rPr>
              <w:t>Item 3.  Defaults Upon Senior Securities.</w:t>
            </w:r>
          </w:p>
        </w:tc>
        <w:tc>
          <w:tcPr>
            <w:tcW w:w="272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14"/>
        </w:trPr>
        <w:tc>
          <w:tcPr>
            <w:tcW w:w="1520" w:type="dxa"/>
            <w:vAlign w:val="bottom"/>
          </w:tcPr>
          <w:p>
            <w:pPr>
              <w:ind w:left="920"/>
              <w:spacing w:after="0"/>
              <w:rPr>
                <w:sz w:val="20"/>
                <w:szCs w:val="20"/>
                <w:color w:val="auto"/>
              </w:rPr>
            </w:pPr>
            <w:r>
              <w:rPr>
                <w:rFonts w:ascii="Arial" w:cs="Arial" w:eastAsia="Arial" w:hAnsi="Arial"/>
                <w:sz w:val="18"/>
                <w:szCs w:val="18"/>
                <w:b w:val="1"/>
                <w:bCs w:val="1"/>
                <w:color w:val="auto"/>
              </w:rPr>
              <w:t>Item 4.</w:t>
            </w:r>
          </w:p>
        </w:tc>
        <w:tc>
          <w:tcPr>
            <w:tcW w:w="7180" w:type="dxa"/>
            <w:vAlign w:val="bottom"/>
          </w:tcPr>
          <w:p>
            <w:pPr>
              <w:ind w:left="60"/>
              <w:spacing w:after="0"/>
              <w:rPr>
                <w:sz w:val="20"/>
                <w:szCs w:val="20"/>
                <w:color w:val="auto"/>
              </w:rPr>
            </w:pPr>
            <w:r>
              <w:rPr>
                <w:rFonts w:ascii="Arial" w:cs="Arial" w:eastAsia="Arial" w:hAnsi="Arial"/>
                <w:sz w:val="18"/>
                <w:szCs w:val="18"/>
                <w:b w:val="1"/>
                <w:bCs w:val="1"/>
                <w:color w:val="auto"/>
              </w:rPr>
              <w:t>Mine Safety Disclosures.</w:t>
            </w:r>
          </w:p>
        </w:tc>
        <w:tc>
          <w:tcPr>
            <w:tcW w:w="272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14"/>
        </w:trPr>
        <w:tc>
          <w:tcPr>
            <w:tcW w:w="1520" w:type="dxa"/>
            <w:vAlign w:val="bottom"/>
          </w:tcPr>
          <w:p>
            <w:pPr>
              <w:ind w:left="920"/>
              <w:spacing w:after="0"/>
              <w:rPr>
                <w:sz w:val="20"/>
                <w:szCs w:val="20"/>
                <w:color w:val="auto"/>
              </w:rPr>
            </w:pPr>
            <w:r>
              <w:rPr>
                <w:rFonts w:ascii="Arial" w:cs="Arial" w:eastAsia="Arial" w:hAnsi="Arial"/>
                <w:sz w:val="18"/>
                <w:szCs w:val="18"/>
                <w:b w:val="1"/>
                <w:bCs w:val="1"/>
                <w:color w:val="auto"/>
              </w:rPr>
              <w:t>Item 5.</w:t>
            </w:r>
          </w:p>
        </w:tc>
        <w:tc>
          <w:tcPr>
            <w:tcW w:w="7180" w:type="dxa"/>
            <w:vAlign w:val="bottom"/>
          </w:tcPr>
          <w:p>
            <w:pPr>
              <w:ind w:left="60"/>
              <w:spacing w:after="0"/>
              <w:rPr>
                <w:sz w:val="20"/>
                <w:szCs w:val="20"/>
                <w:color w:val="auto"/>
              </w:rPr>
            </w:pPr>
            <w:r>
              <w:rPr>
                <w:rFonts w:ascii="Arial" w:cs="Arial" w:eastAsia="Arial" w:hAnsi="Arial"/>
                <w:sz w:val="18"/>
                <w:szCs w:val="18"/>
                <w:b w:val="1"/>
                <w:bCs w:val="1"/>
                <w:color w:val="auto"/>
              </w:rPr>
              <w:t>Other Information.</w:t>
            </w:r>
          </w:p>
        </w:tc>
        <w:tc>
          <w:tcPr>
            <w:tcW w:w="272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31"/>
        </w:trPr>
        <w:tc>
          <w:tcPr>
            <w:tcW w:w="1520" w:type="dxa"/>
            <w:vAlign w:val="bottom"/>
          </w:tcPr>
          <w:p>
            <w:pPr>
              <w:ind w:left="920"/>
              <w:spacing w:after="0"/>
              <w:rPr>
                <w:sz w:val="20"/>
                <w:szCs w:val="20"/>
                <w:color w:val="auto"/>
              </w:rPr>
            </w:pPr>
            <w:r>
              <w:rPr>
                <w:rFonts w:ascii="Arial" w:cs="Arial" w:eastAsia="Arial" w:hAnsi="Arial"/>
                <w:sz w:val="18"/>
                <w:szCs w:val="18"/>
                <w:b w:val="1"/>
                <w:bCs w:val="1"/>
                <w:color w:val="auto"/>
              </w:rPr>
              <w:t>Item 6.</w:t>
            </w:r>
          </w:p>
        </w:tc>
        <w:tc>
          <w:tcPr>
            <w:tcW w:w="7180" w:type="dxa"/>
            <w:vAlign w:val="bottom"/>
          </w:tcPr>
          <w:p>
            <w:pPr>
              <w:ind w:left="60"/>
              <w:spacing w:after="0"/>
              <w:rPr>
                <w:sz w:val="20"/>
                <w:szCs w:val="20"/>
                <w:color w:val="auto"/>
              </w:rPr>
            </w:pPr>
            <w:r>
              <w:rPr>
                <w:rFonts w:ascii="Arial" w:cs="Arial" w:eastAsia="Arial" w:hAnsi="Arial"/>
                <w:sz w:val="18"/>
                <w:szCs w:val="18"/>
                <w:b w:val="1"/>
                <w:bCs w:val="1"/>
                <w:color w:val="auto"/>
              </w:rPr>
              <w:t>Exhibits.</w:t>
            </w:r>
          </w:p>
        </w:tc>
        <w:tc>
          <w:tcPr>
            <w:tcW w:w="272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429"/>
        </w:trPr>
        <w:tc>
          <w:tcPr>
            <w:tcW w:w="1520" w:type="dxa"/>
            <w:vAlign w:val="bottom"/>
            <w:tcBorders>
              <w:bottom w:val="single" w:sz="8" w:color="DCDCDC"/>
            </w:tcBorders>
          </w:tcPr>
          <w:p>
            <w:pPr>
              <w:spacing w:after="0"/>
              <w:rPr>
                <w:sz w:val="24"/>
                <w:szCs w:val="24"/>
                <w:color w:val="auto"/>
              </w:rPr>
            </w:pPr>
          </w:p>
        </w:tc>
        <w:tc>
          <w:tcPr>
            <w:tcW w:w="7180" w:type="dxa"/>
            <w:vAlign w:val="bottom"/>
            <w:tcBorders>
              <w:bottom w:val="single" w:sz="8" w:color="DCDCDC"/>
            </w:tcBorders>
          </w:tcPr>
          <w:p>
            <w:pPr>
              <w:ind w:left="4140"/>
              <w:spacing w:after="0"/>
              <w:rPr>
                <w:sz w:val="20"/>
                <w:szCs w:val="20"/>
                <w:color w:val="auto"/>
              </w:rPr>
            </w:pPr>
            <w:r>
              <w:rPr>
                <w:rFonts w:ascii="Arial" w:cs="Arial" w:eastAsia="Arial" w:hAnsi="Arial"/>
                <w:sz w:val="18"/>
                <w:szCs w:val="18"/>
                <w:color w:val="auto"/>
              </w:rPr>
              <w:t>2</w:t>
            </w:r>
          </w:p>
        </w:tc>
        <w:tc>
          <w:tcPr>
            <w:tcW w:w="2720" w:type="dxa"/>
            <w:vAlign w:val="bottom"/>
            <w:tcBorders>
              <w:bottom w:val="single" w:sz="8" w:color="DCDCDC"/>
            </w:tcBorders>
          </w:tcPr>
          <w:p>
            <w:pPr>
              <w:spacing w:after="0"/>
              <w:rPr>
                <w:sz w:val="24"/>
                <w:szCs w:val="24"/>
                <w:color w:val="auto"/>
              </w:rPr>
            </w:pPr>
          </w:p>
        </w:tc>
      </w:tr>
    </w:tbl>
    <w:p>
      <w:pPr>
        <w:sectPr>
          <w:pgSz w:w="11900" w:h="16838" w:orient="portrait"/>
          <w:cols w:equalWidth="0" w:num="1">
            <w:col w:w="11420"/>
          </w:cols>
          <w:pgMar w:left="240" w:top="912"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 Financial Statements</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UNITED COMMUNITY BANKS, INC.</w:t>
      </w:r>
    </w:p>
    <w:p>
      <w:pPr>
        <w:spacing w:after="0" w:line="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Consolidated Statement of Operations </w:t>
      </w:r>
      <w:r>
        <w:rPr>
          <w:rFonts w:ascii="Arial" w:cs="Arial" w:eastAsia="Arial" w:hAnsi="Arial"/>
          <w:sz w:val="18"/>
          <w:szCs w:val="18"/>
          <w:i w:val="1"/>
          <w:iCs w:val="1"/>
          <w:color w:val="auto"/>
        </w:rPr>
        <w:t>(Unaudited)</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96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2520" w:type="dxa"/>
            <w:vAlign w:val="bottom"/>
            <w:tcBorders>
              <w:top w:val="single" w:sz="8" w:color="auto"/>
            </w:tcBorders>
            <w:gridSpan w:val="6"/>
          </w:tcPr>
          <w:p>
            <w:pPr>
              <w:ind w:left="220"/>
              <w:spacing w:after="0" w:line="204" w:lineRule="exact"/>
              <w:rPr>
                <w:sz w:val="20"/>
                <w:szCs w:val="20"/>
                <w:color w:val="auto"/>
              </w:rPr>
            </w:pPr>
            <w:r>
              <w:rPr>
                <w:rFonts w:ascii="Arial" w:cs="Arial" w:eastAsia="Arial" w:hAnsi="Arial"/>
                <w:sz w:val="18"/>
                <w:szCs w:val="18"/>
                <w:b w:val="1"/>
                <w:bCs w:val="1"/>
                <w:color w:val="auto"/>
              </w:rPr>
              <w:t>Three Months Ended</w:t>
            </w:r>
          </w:p>
        </w:tc>
        <w:tc>
          <w:tcPr>
            <w:tcW w:w="240" w:type="dxa"/>
            <w:vAlign w:val="bottom"/>
            <w:tcBorders>
              <w:top w:val="single" w:sz="8" w:color="auto"/>
            </w:tcBorders>
          </w:tcPr>
          <w:p>
            <w:pPr>
              <w:spacing w:after="0"/>
              <w:rPr>
                <w:sz w:val="17"/>
                <w:szCs w:val="17"/>
                <w:color w:val="auto"/>
              </w:rPr>
            </w:pPr>
          </w:p>
        </w:tc>
        <w:tc>
          <w:tcPr>
            <w:tcW w:w="2340" w:type="dxa"/>
            <w:vAlign w:val="bottom"/>
            <w:tcBorders>
              <w:top w:val="single" w:sz="8" w:color="auto"/>
            </w:tcBorders>
            <w:gridSpan w:val="4"/>
          </w:tcPr>
          <w:p>
            <w:pPr>
              <w:jc w:val="right"/>
              <w:ind w:right="551"/>
              <w:spacing w:after="0" w:line="204" w:lineRule="exact"/>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39"/>
        </w:trPr>
        <w:tc>
          <w:tcPr>
            <w:tcW w:w="5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3"/>
          </w:tcPr>
          <w:p>
            <w:pPr>
              <w:jc w:val="right"/>
              <w:ind w:right="11"/>
              <w:spacing w:after="0"/>
              <w:rPr>
                <w:sz w:val="20"/>
                <w:szCs w:val="20"/>
                <w:color w:val="auto"/>
              </w:rPr>
            </w:pPr>
            <w:r>
              <w:rPr>
                <w:rFonts w:ascii="Arial" w:cs="Arial" w:eastAsia="Arial" w:hAnsi="Arial"/>
                <w:sz w:val="18"/>
                <w:szCs w:val="18"/>
                <w:b w:val="1"/>
                <w:bCs w:val="1"/>
                <w:color w:val="auto"/>
              </w:rPr>
              <w:t>June 30,</w:t>
            </w:r>
          </w:p>
        </w:tc>
        <w:tc>
          <w:tcPr>
            <w:tcW w:w="8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9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596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(in thousands, except per share data)</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11"/>
              <w:spacing w:after="0"/>
              <w:rPr>
                <w:sz w:val="20"/>
                <w:szCs w:val="20"/>
                <w:color w:val="auto"/>
              </w:rPr>
            </w:pPr>
            <w:r>
              <w:rPr>
                <w:rFonts w:ascii="Arial" w:cs="Arial" w:eastAsia="Arial" w:hAnsi="Arial"/>
                <w:sz w:val="18"/>
                <w:szCs w:val="18"/>
                <w:b w:val="1"/>
                <w:bCs w:val="1"/>
                <w:color w:val="auto"/>
              </w:rPr>
              <w:t>2013</w:t>
            </w:r>
          </w:p>
        </w:tc>
        <w:tc>
          <w:tcPr>
            <w:tcW w:w="1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11"/>
              <w:spacing w:after="0"/>
              <w:rPr>
                <w:sz w:val="20"/>
                <w:szCs w:val="20"/>
                <w:color w:val="auto"/>
              </w:rPr>
            </w:pPr>
            <w:r>
              <w:rPr>
                <w:rFonts w:ascii="Arial" w:cs="Arial" w:eastAsia="Arial" w:hAnsi="Arial"/>
                <w:sz w:val="18"/>
                <w:szCs w:val="18"/>
                <w:b w:val="1"/>
                <w:bCs w:val="1"/>
                <w:color w:val="auto"/>
              </w:rPr>
              <w:t>2012</w:t>
            </w:r>
          </w:p>
        </w:tc>
        <w:tc>
          <w:tcPr>
            <w:tcW w:w="1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91"/>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411"/>
              <w:spacing w:after="0"/>
              <w:rPr>
                <w:sz w:val="20"/>
                <w:szCs w:val="20"/>
                <w:color w:val="auto"/>
              </w:rPr>
            </w:pPr>
            <w:r>
              <w:rPr>
                <w:rFonts w:ascii="Arial" w:cs="Arial" w:eastAsia="Arial" w:hAnsi="Arial"/>
                <w:sz w:val="18"/>
                <w:szCs w:val="18"/>
                <w:b w:val="1"/>
                <w:bCs w:val="1"/>
                <w:color w:val="auto"/>
              </w:rPr>
              <w:t>2012</w:t>
            </w:r>
          </w:p>
        </w:tc>
        <w:tc>
          <w:tcPr>
            <w:tcW w:w="0" w:type="dxa"/>
            <w:vAlign w:val="bottom"/>
          </w:tcPr>
          <w:p>
            <w:pPr>
              <w:spacing w:after="0"/>
              <w:rPr>
                <w:sz w:val="1"/>
                <w:szCs w:val="1"/>
                <w:color w:val="auto"/>
              </w:rPr>
            </w:pPr>
          </w:p>
        </w:tc>
      </w:tr>
      <w:tr>
        <w:trPr>
          <w:trHeight w:val="200"/>
        </w:trPr>
        <w:tc>
          <w:tcPr>
            <w:tcW w:w="5960" w:type="dxa"/>
            <w:vAlign w:val="bottom"/>
          </w:tcPr>
          <w:p>
            <w:pPr>
              <w:spacing w:after="0" w:line="200" w:lineRule="exact"/>
              <w:rPr>
                <w:sz w:val="20"/>
                <w:szCs w:val="20"/>
                <w:color w:val="auto"/>
              </w:rPr>
            </w:pPr>
            <w:r>
              <w:rPr>
                <w:rFonts w:ascii="Arial" w:cs="Arial" w:eastAsia="Arial" w:hAnsi="Arial"/>
                <w:sz w:val="18"/>
                <w:szCs w:val="18"/>
                <w:b w:val="1"/>
                <w:bCs w:val="1"/>
                <w:color w:val="auto"/>
              </w:rPr>
              <w:t>Interest revenue:</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5960" w:type="dxa"/>
            <w:vAlign w:val="bottom"/>
          </w:tcPr>
          <w:p>
            <w:pPr>
              <w:ind w:left="160"/>
              <w:spacing w:after="0"/>
              <w:rPr>
                <w:sz w:val="20"/>
                <w:szCs w:val="20"/>
                <w:color w:val="auto"/>
              </w:rPr>
            </w:pPr>
            <w:r>
              <w:rPr>
                <w:rFonts w:ascii="Arial" w:cs="Arial" w:eastAsia="Arial" w:hAnsi="Arial"/>
                <w:sz w:val="18"/>
                <w:szCs w:val="18"/>
                <w:color w:val="auto"/>
              </w:rPr>
              <w:t>Loans, including fees</w:t>
            </w:r>
          </w:p>
        </w:tc>
        <w:tc>
          <w:tcPr>
            <w:tcW w:w="360" w:type="dxa"/>
            <w:vAlign w:val="bottom"/>
            <w:gridSpan w:val="3"/>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50,728</w:t>
            </w:r>
          </w:p>
        </w:tc>
        <w:tc>
          <w:tcPr>
            <w:tcW w:w="420" w:type="dxa"/>
            <w:vAlign w:val="bottom"/>
            <w:gridSpan w:val="2"/>
          </w:tcPr>
          <w:p>
            <w:pPr>
              <w:jc w:val="right"/>
              <w:ind w:right="111"/>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54,178</w:t>
            </w:r>
          </w:p>
        </w:tc>
        <w:tc>
          <w:tcPr>
            <w:tcW w:w="100" w:type="dxa"/>
            <w:vAlign w:val="bottom"/>
          </w:tcPr>
          <w:p>
            <w:pPr>
              <w:spacing w:after="0"/>
              <w:rPr>
                <w:sz w:val="18"/>
                <w:szCs w:val="18"/>
                <w:color w:val="auto"/>
              </w:rPr>
            </w:pPr>
          </w:p>
        </w:tc>
        <w:tc>
          <w:tcPr>
            <w:tcW w:w="240" w:type="dxa"/>
            <w:vAlign w:val="bottom"/>
          </w:tcPr>
          <w:p>
            <w:pPr>
              <w:jc w:val="right"/>
              <w:ind w:right="51"/>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101,662</w:t>
            </w:r>
          </w:p>
        </w:tc>
        <w:tc>
          <w:tcPr>
            <w:tcW w:w="400" w:type="dxa"/>
            <w:vAlign w:val="bottom"/>
            <w:gridSpan w:val="2"/>
          </w:tcPr>
          <w:p>
            <w:pPr>
              <w:jc w:val="right"/>
              <w:ind w:right="111"/>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109,937</w:t>
            </w:r>
          </w:p>
        </w:tc>
        <w:tc>
          <w:tcPr>
            <w:tcW w:w="0" w:type="dxa"/>
            <w:vAlign w:val="bottom"/>
          </w:tcPr>
          <w:p>
            <w:pPr>
              <w:spacing w:after="0"/>
              <w:rPr>
                <w:sz w:val="1"/>
                <w:szCs w:val="1"/>
                <w:color w:val="auto"/>
              </w:rPr>
            </w:pPr>
          </w:p>
        </w:tc>
      </w:tr>
      <w:tr>
        <w:trPr>
          <w:trHeight w:val="214"/>
        </w:trPr>
        <w:tc>
          <w:tcPr>
            <w:tcW w:w="5960" w:type="dxa"/>
            <w:vAlign w:val="bottom"/>
          </w:tcPr>
          <w:p>
            <w:pPr>
              <w:ind w:left="160"/>
              <w:spacing w:after="0"/>
              <w:rPr>
                <w:sz w:val="20"/>
                <w:szCs w:val="20"/>
                <w:color w:val="auto"/>
              </w:rPr>
            </w:pPr>
            <w:r>
              <w:rPr>
                <w:rFonts w:ascii="Arial" w:cs="Arial" w:eastAsia="Arial" w:hAnsi="Arial"/>
                <w:sz w:val="18"/>
                <w:szCs w:val="18"/>
                <w:color w:val="auto"/>
                <w:w w:val="98"/>
              </w:rPr>
              <w:t>Investment securities, including tax exempt of $210, $262, $422 and $512</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9,681</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11,062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19,646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24,066</w:t>
            </w:r>
          </w:p>
        </w:tc>
        <w:tc>
          <w:tcPr>
            <w:tcW w:w="0" w:type="dxa"/>
            <w:vAlign w:val="bottom"/>
          </w:tcPr>
          <w:p>
            <w:pPr>
              <w:spacing w:after="0"/>
              <w:rPr>
                <w:sz w:val="1"/>
                <w:szCs w:val="1"/>
                <w:color w:val="auto"/>
              </w:rPr>
            </w:pPr>
          </w:p>
        </w:tc>
      </w:tr>
      <w:tr>
        <w:trPr>
          <w:trHeight w:val="235"/>
        </w:trPr>
        <w:tc>
          <w:tcPr>
            <w:tcW w:w="5960" w:type="dxa"/>
            <w:vAlign w:val="bottom"/>
          </w:tcPr>
          <w:p>
            <w:pPr>
              <w:ind w:left="160"/>
              <w:spacing w:after="0"/>
              <w:rPr>
                <w:sz w:val="20"/>
                <w:szCs w:val="20"/>
                <w:color w:val="auto"/>
              </w:rPr>
            </w:pPr>
            <w:r>
              <w:rPr>
                <w:rFonts w:ascii="Arial" w:cs="Arial" w:eastAsia="Arial" w:hAnsi="Arial"/>
                <w:sz w:val="18"/>
                <w:szCs w:val="18"/>
                <w:color w:val="auto"/>
              </w:rPr>
              <w:t>Deposits in banks and short-term investments</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916</w:t>
            </w:r>
          </w:p>
        </w:tc>
        <w:tc>
          <w:tcPr>
            <w:tcW w:w="1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1,096</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1,786</w:t>
            </w: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2,108</w:t>
            </w:r>
          </w:p>
        </w:tc>
        <w:tc>
          <w:tcPr>
            <w:tcW w:w="0" w:type="dxa"/>
            <w:vAlign w:val="bottom"/>
          </w:tcPr>
          <w:p>
            <w:pPr>
              <w:spacing w:after="0"/>
              <w:rPr>
                <w:sz w:val="1"/>
                <w:szCs w:val="1"/>
                <w:color w:val="auto"/>
              </w:rPr>
            </w:pPr>
          </w:p>
        </w:tc>
      </w:tr>
      <w:tr>
        <w:trPr>
          <w:trHeight w:val="221"/>
        </w:trPr>
        <w:tc>
          <w:tcPr>
            <w:tcW w:w="5960" w:type="dxa"/>
            <w:vAlign w:val="bottom"/>
          </w:tcPr>
          <w:p>
            <w:pPr>
              <w:ind w:left="480"/>
              <w:spacing w:after="0"/>
              <w:rPr>
                <w:sz w:val="20"/>
                <w:szCs w:val="20"/>
                <w:color w:val="auto"/>
              </w:rPr>
            </w:pPr>
            <w:r>
              <w:rPr>
                <w:rFonts w:ascii="Arial" w:cs="Arial" w:eastAsia="Arial" w:hAnsi="Arial"/>
                <w:sz w:val="18"/>
                <w:szCs w:val="18"/>
                <w:color w:val="auto"/>
              </w:rPr>
              <w:t>Total interest revenue</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61,325</w:t>
            </w:r>
          </w:p>
        </w:tc>
        <w:tc>
          <w:tcPr>
            <w:tcW w:w="1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66,336</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123,094</w:t>
            </w: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136,111</w:t>
            </w:r>
          </w:p>
        </w:tc>
        <w:tc>
          <w:tcPr>
            <w:tcW w:w="0" w:type="dxa"/>
            <w:vAlign w:val="bottom"/>
          </w:tcPr>
          <w:p>
            <w:pPr>
              <w:spacing w:after="0"/>
              <w:rPr>
                <w:sz w:val="1"/>
                <w:szCs w:val="1"/>
                <w:color w:val="auto"/>
              </w:rPr>
            </w:pPr>
          </w:p>
        </w:tc>
      </w:tr>
      <w:tr>
        <w:trPr>
          <w:trHeight w:val="200"/>
        </w:trPr>
        <w:tc>
          <w:tcPr>
            <w:tcW w:w="5960" w:type="dxa"/>
            <w:vAlign w:val="bottom"/>
          </w:tcPr>
          <w:p>
            <w:pPr>
              <w:spacing w:after="0" w:line="200" w:lineRule="exact"/>
              <w:rPr>
                <w:sz w:val="20"/>
                <w:szCs w:val="20"/>
                <w:color w:val="auto"/>
              </w:rPr>
            </w:pPr>
            <w:r>
              <w:rPr>
                <w:rFonts w:ascii="Arial" w:cs="Arial" w:eastAsia="Arial" w:hAnsi="Arial"/>
                <w:sz w:val="18"/>
                <w:szCs w:val="18"/>
                <w:b w:val="1"/>
                <w:bCs w:val="1"/>
                <w:color w:val="auto"/>
              </w:rPr>
              <w:t>Interest expense:</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5960" w:type="dxa"/>
            <w:vAlign w:val="bottom"/>
          </w:tcPr>
          <w:p>
            <w:pPr>
              <w:ind w:left="160"/>
              <w:spacing w:after="0"/>
              <w:rPr>
                <w:sz w:val="20"/>
                <w:szCs w:val="20"/>
                <w:color w:val="auto"/>
              </w:rPr>
            </w:pPr>
            <w:r>
              <w:rPr>
                <w:rFonts w:ascii="Arial" w:cs="Arial" w:eastAsia="Arial" w:hAnsi="Arial"/>
                <w:sz w:val="18"/>
                <w:szCs w:val="18"/>
                <w:color w:val="auto"/>
              </w:rPr>
              <w:t>Deposits:</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960" w:type="dxa"/>
            <w:vAlign w:val="bottom"/>
          </w:tcPr>
          <w:p>
            <w:pPr>
              <w:ind w:left="320"/>
              <w:spacing w:after="0"/>
              <w:rPr>
                <w:sz w:val="20"/>
                <w:szCs w:val="20"/>
                <w:color w:val="auto"/>
              </w:rPr>
            </w:pPr>
            <w:r>
              <w:rPr>
                <w:rFonts w:ascii="Arial" w:cs="Arial" w:eastAsia="Arial" w:hAnsi="Arial"/>
                <w:sz w:val="18"/>
                <w:szCs w:val="18"/>
                <w:color w:val="auto"/>
              </w:rPr>
              <w:t>NOW</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419</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503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873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1,140</w:t>
            </w:r>
          </w:p>
        </w:tc>
        <w:tc>
          <w:tcPr>
            <w:tcW w:w="0" w:type="dxa"/>
            <w:vAlign w:val="bottom"/>
          </w:tcPr>
          <w:p>
            <w:pPr>
              <w:spacing w:after="0"/>
              <w:rPr>
                <w:sz w:val="1"/>
                <w:szCs w:val="1"/>
                <w:color w:val="auto"/>
              </w:rPr>
            </w:pPr>
          </w:p>
        </w:tc>
      </w:tr>
      <w:tr>
        <w:trPr>
          <w:trHeight w:val="214"/>
        </w:trPr>
        <w:tc>
          <w:tcPr>
            <w:tcW w:w="5960" w:type="dxa"/>
            <w:vAlign w:val="bottom"/>
          </w:tcPr>
          <w:p>
            <w:pPr>
              <w:ind w:left="320"/>
              <w:spacing w:after="0"/>
              <w:rPr>
                <w:sz w:val="20"/>
                <w:szCs w:val="20"/>
                <w:color w:val="auto"/>
              </w:rPr>
            </w:pPr>
            <w:r>
              <w:rPr>
                <w:rFonts w:ascii="Arial" w:cs="Arial" w:eastAsia="Arial" w:hAnsi="Arial"/>
                <w:sz w:val="18"/>
                <w:szCs w:val="18"/>
                <w:color w:val="auto"/>
              </w:rPr>
              <w:t>Money market</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534</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661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1,096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1,302</w:t>
            </w:r>
          </w:p>
        </w:tc>
        <w:tc>
          <w:tcPr>
            <w:tcW w:w="0" w:type="dxa"/>
            <w:vAlign w:val="bottom"/>
          </w:tcPr>
          <w:p>
            <w:pPr>
              <w:spacing w:after="0"/>
              <w:rPr>
                <w:sz w:val="1"/>
                <w:szCs w:val="1"/>
                <w:color w:val="auto"/>
              </w:rPr>
            </w:pPr>
          </w:p>
        </w:tc>
      </w:tr>
      <w:tr>
        <w:trPr>
          <w:trHeight w:val="214"/>
        </w:trPr>
        <w:tc>
          <w:tcPr>
            <w:tcW w:w="5960" w:type="dxa"/>
            <w:vAlign w:val="bottom"/>
          </w:tcPr>
          <w:p>
            <w:pPr>
              <w:ind w:left="320"/>
              <w:spacing w:after="0"/>
              <w:rPr>
                <w:sz w:val="20"/>
                <w:szCs w:val="20"/>
                <w:color w:val="auto"/>
              </w:rPr>
            </w:pPr>
            <w:r>
              <w:rPr>
                <w:rFonts w:ascii="Arial" w:cs="Arial" w:eastAsia="Arial" w:hAnsi="Arial"/>
                <w:sz w:val="18"/>
                <w:szCs w:val="18"/>
                <w:color w:val="auto"/>
              </w:rPr>
              <w:t>Savings</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35"/>
        </w:trPr>
        <w:tc>
          <w:tcPr>
            <w:tcW w:w="5960" w:type="dxa"/>
            <w:vAlign w:val="bottom"/>
          </w:tcPr>
          <w:p>
            <w:pPr>
              <w:ind w:left="320"/>
              <w:spacing w:after="0"/>
              <w:rPr>
                <w:sz w:val="20"/>
                <w:szCs w:val="20"/>
                <w:color w:val="auto"/>
              </w:rPr>
            </w:pPr>
            <w:r>
              <w:rPr>
                <w:rFonts w:ascii="Arial" w:cs="Arial" w:eastAsia="Arial" w:hAnsi="Arial"/>
                <w:sz w:val="18"/>
                <w:szCs w:val="18"/>
                <w:color w:val="auto"/>
              </w:rPr>
              <w:t>Time</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2,924</w:t>
            </w:r>
          </w:p>
        </w:tc>
        <w:tc>
          <w:tcPr>
            <w:tcW w:w="1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5,073</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6,150</w:t>
            </w: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11,232</w:t>
            </w:r>
          </w:p>
        </w:tc>
        <w:tc>
          <w:tcPr>
            <w:tcW w:w="0" w:type="dxa"/>
            <w:vAlign w:val="bottom"/>
          </w:tcPr>
          <w:p>
            <w:pPr>
              <w:spacing w:after="0"/>
              <w:rPr>
                <w:sz w:val="1"/>
                <w:szCs w:val="1"/>
                <w:color w:val="auto"/>
              </w:rPr>
            </w:pPr>
          </w:p>
        </w:tc>
      </w:tr>
      <w:tr>
        <w:trPr>
          <w:trHeight w:val="200"/>
        </w:trPr>
        <w:tc>
          <w:tcPr>
            <w:tcW w:w="5960" w:type="dxa"/>
            <w:vAlign w:val="bottom"/>
          </w:tcPr>
          <w:p>
            <w:pPr>
              <w:ind w:left="480"/>
              <w:spacing w:after="0" w:line="200" w:lineRule="exact"/>
              <w:rPr>
                <w:sz w:val="20"/>
                <w:szCs w:val="20"/>
                <w:color w:val="auto"/>
              </w:rPr>
            </w:pPr>
            <w:r>
              <w:rPr>
                <w:rFonts w:ascii="Arial" w:cs="Arial" w:eastAsia="Arial" w:hAnsi="Arial"/>
                <w:sz w:val="18"/>
                <w:szCs w:val="18"/>
                <w:color w:val="auto"/>
              </w:rPr>
              <w:t>Total deposit interest expense</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jc w:val="right"/>
              <w:ind w:right="31"/>
              <w:spacing w:after="0" w:line="200" w:lineRule="exact"/>
              <w:rPr>
                <w:sz w:val="20"/>
                <w:szCs w:val="20"/>
                <w:color w:val="auto"/>
              </w:rPr>
            </w:pPr>
            <w:r>
              <w:rPr>
                <w:rFonts w:ascii="Arial" w:cs="Arial" w:eastAsia="Arial" w:hAnsi="Arial"/>
                <w:sz w:val="18"/>
                <w:szCs w:val="18"/>
                <w:color w:val="auto"/>
              </w:rPr>
              <w:t>3,913</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gridSpan w:val="2"/>
          </w:tcPr>
          <w:p>
            <w:pPr>
              <w:jc w:val="right"/>
              <w:ind w:right="120"/>
              <w:spacing w:after="0" w:line="200" w:lineRule="exact"/>
              <w:rPr>
                <w:sz w:val="20"/>
                <w:szCs w:val="20"/>
                <w:color w:val="auto"/>
              </w:rPr>
            </w:pPr>
            <w:r>
              <w:rPr>
                <w:rFonts w:ascii="Arial" w:cs="Arial" w:eastAsia="Arial" w:hAnsi="Arial"/>
                <w:sz w:val="18"/>
                <w:szCs w:val="18"/>
                <w:color w:val="auto"/>
              </w:rPr>
              <w:t>6,275</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ind w:right="11"/>
              <w:spacing w:after="0" w:line="200" w:lineRule="exact"/>
              <w:rPr>
                <w:sz w:val="20"/>
                <w:szCs w:val="20"/>
                <w:color w:val="auto"/>
              </w:rPr>
            </w:pPr>
            <w:r>
              <w:rPr>
                <w:rFonts w:ascii="Arial" w:cs="Arial" w:eastAsia="Arial" w:hAnsi="Arial"/>
                <w:sz w:val="18"/>
                <w:szCs w:val="18"/>
                <w:color w:val="auto"/>
              </w:rPr>
              <w:t>8,191</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jc w:val="right"/>
              <w:ind w:right="11"/>
              <w:spacing w:after="0" w:line="200" w:lineRule="exact"/>
              <w:rPr>
                <w:sz w:val="20"/>
                <w:szCs w:val="20"/>
                <w:color w:val="auto"/>
              </w:rPr>
            </w:pPr>
            <w:r>
              <w:rPr>
                <w:rFonts w:ascii="Arial" w:cs="Arial" w:eastAsia="Arial" w:hAnsi="Arial"/>
                <w:sz w:val="18"/>
                <w:szCs w:val="18"/>
                <w:color w:val="auto"/>
              </w:rPr>
              <w:t>13,749</w:t>
            </w:r>
          </w:p>
        </w:tc>
        <w:tc>
          <w:tcPr>
            <w:tcW w:w="0" w:type="dxa"/>
            <w:vAlign w:val="bottom"/>
          </w:tcPr>
          <w:p>
            <w:pPr>
              <w:spacing w:after="0"/>
              <w:rPr>
                <w:sz w:val="1"/>
                <w:szCs w:val="1"/>
                <w:color w:val="auto"/>
              </w:rPr>
            </w:pPr>
          </w:p>
        </w:tc>
      </w:tr>
      <w:tr>
        <w:trPr>
          <w:trHeight w:val="214"/>
        </w:trPr>
        <w:tc>
          <w:tcPr>
            <w:tcW w:w="5960" w:type="dxa"/>
            <w:vAlign w:val="bottom"/>
          </w:tcPr>
          <w:p>
            <w:pPr>
              <w:ind w:left="160"/>
              <w:spacing w:after="0"/>
              <w:rPr>
                <w:sz w:val="20"/>
                <w:szCs w:val="20"/>
                <w:color w:val="auto"/>
              </w:rPr>
            </w:pPr>
            <w:r>
              <w:rPr>
                <w:rFonts w:ascii="Arial" w:cs="Arial" w:eastAsia="Arial" w:hAnsi="Arial"/>
                <w:sz w:val="18"/>
                <w:szCs w:val="18"/>
                <w:color w:val="auto"/>
              </w:rPr>
              <w:t>Short-term borrowings</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522</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904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1,038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1,949</w:t>
            </w:r>
          </w:p>
        </w:tc>
        <w:tc>
          <w:tcPr>
            <w:tcW w:w="0" w:type="dxa"/>
            <w:vAlign w:val="bottom"/>
          </w:tcPr>
          <w:p>
            <w:pPr>
              <w:spacing w:after="0"/>
              <w:rPr>
                <w:sz w:val="1"/>
                <w:szCs w:val="1"/>
                <w:color w:val="auto"/>
              </w:rPr>
            </w:pPr>
          </w:p>
        </w:tc>
      </w:tr>
      <w:tr>
        <w:trPr>
          <w:trHeight w:val="214"/>
        </w:trPr>
        <w:tc>
          <w:tcPr>
            <w:tcW w:w="5960" w:type="dxa"/>
            <w:vAlign w:val="bottom"/>
          </w:tcPr>
          <w:p>
            <w:pPr>
              <w:ind w:left="160"/>
              <w:spacing w:after="0"/>
              <w:rPr>
                <w:sz w:val="20"/>
                <w:szCs w:val="20"/>
                <w:color w:val="auto"/>
              </w:rPr>
            </w:pPr>
            <w:r>
              <w:rPr>
                <w:rFonts w:ascii="Arial" w:cs="Arial" w:eastAsia="Arial" w:hAnsi="Arial"/>
                <w:sz w:val="18"/>
                <w:szCs w:val="18"/>
                <w:color w:val="auto"/>
              </w:rPr>
              <w:t>Federal Home Loan Bank advances</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390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856</w:t>
            </w:r>
          </w:p>
        </w:tc>
        <w:tc>
          <w:tcPr>
            <w:tcW w:w="0" w:type="dxa"/>
            <w:vAlign w:val="bottom"/>
          </w:tcPr>
          <w:p>
            <w:pPr>
              <w:spacing w:after="0"/>
              <w:rPr>
                <w:sz w:val="1"/>
                <w:szCs w:val="1"/>
                <w:color w:val="auto"/>
              </w:rPr>
            </w:pPr>
          </w:p>
        </w:tc>
      </w:tr>
      <w:tr>
        <w:trPr>
          <w:trHeight w:val="235"/>
        </w:trPr>
        <w:tc>
          <w:tcPr>
            <w:tcW w:w="5960" w:type="dxa"/>
            <w:vAlign w:val="bottom"/>
          </w:tcPr>
          <w:p>
            <w:pPr>
              <w:ind w:left="160"/>
              <w:spacing w:after="0"/>
              <w:rPr>
                <w:sz w:val="20"/>
                <w:szCs w:val="20"/>
                <w:color w:val="auto"/>
              </w:rPr>
            </w:pPr>
            <w:r>
              <w:rPr>
                <w:rFonts w:ascii="Arial" w:cs="Arial" w:eastAsia="Arial" w:hAnsi="Arial"/>
                <w:sz w:val="18"/>
                <w:szCs w:val="18"/>
                <w:color w:val="auto"/>
              </w:rPr>
              <w:t>Long-term debt</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2,666</w:t>
            </w:r>
          </w:p>
        </w:tc>
        <w:tc>
          <w:tcPr>
            <w:tcW w:w="1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2,375</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5,328</w:t>
            </w: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4,747</w:t>
            </w:r>
          </w:p>
        </w:tc>
        <w:tc>
          <w:tcPr>
            <w:tcW w:w="0" w:type="dxa"/>
            <w:vAlign w:val="bottom"/>
          </w:tcPr>
          <w:p>
            <w:pPr>
              <w:spacing w:after="0"/>
              <w:rPr>
                <w:sz w:val="1"/>
                <w:szCs w:val="1"/>
                <w:color w:val="auto"/>
              </w:rPr>
            </w:pPr>
          </w:p>
        </w:tc>
      </w:tr>
      <w:tr>
        <w:trPr>
          <w:trHeight w:val="221"/>
        </w:trPr>
        <w:tc>
          <w:tcPr>
            <w:tcW w:w="5960" w:type="dxa"/>
            <w:vAlign w:val="bottom"/>
          </w:tcPr>
          <w:p>
            <w:pPr>
              <w:ind w:left="320"/>
              <w:spacing w:after="0"/>
              <w:rPr>
                <w:sz w:val="20"/>
                <w:szCs w:val="20"/>
                <w:color w:val="auto"/>
              </w:rPr>
            </w:pPr>
            <w:r>
              <w:rPr>
                <w:rFonts w:ascii="Arial" w:cs="Arial" w:eastAsia="Arial" w:hAnsi="Arial"/>
                <w:sz w:val="18"/>
                <w:szCs w:val="18"/>
                <w:color w:val="auto"/>
              </w:rPr>
              <w:t>Total interest expense</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7,131</w:t>
            </w:r>
          </w:p>
        </w:tc>
        <w:tc>
          <w:tcPr>
            <w:tcW w:w="1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9,944</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14,606</w:t>
            </w: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21,301</w:t>
            </w:r>
          </w:p>
        </w:tc>
        <w:tc>
          <w:tcPr>
            <w:tcW w:w="0" w:type="dxa"/>
            <w:vAlign w:val="bottom"/>
          </w:tcPr>
          <w:p>
            <w:pPr>
              <w:spacing w:after="0"/>
              <w:rPr>
                <w:sz w:val="1"/>
                <w:szCs w:val="1"/>
                <w:color w:val="auto"/>
              </w:rPr>
            </w:pPr>
          </w:p>
        </w:tc>
      </w:tr>
      <w:tr>
        <w:trPr>
          <w:trHeight w:val="200"/>
        </w:trPr>
        <w:tc>
          <w:tcPr>
            <w:tcW w:w="5960" w:type="dxa"/>
            <w:vAlign w:val="bottom"/>
          </w:tcPr>
          <w:p>
            <w:pPr>
              <w:ind w:left="320"/>
              <w:spacing w:after="0" w:line="200" w:lineRule="exact"/>
              <w:rPr>
                <w:sz w:val="20"/>
                <w:szCs w:val="20"/>
                <w:color w:val="auto"/>
              </w:rPr>
            </w:pPr>
            <w:r>
              <w:rPr>
                <w:rFonts w:ascii="Arial" w:cs="Arial" w:eastAsia="Arial" w:hAnsi="Arial"/>
                <w:sz w:val="18"/>
                <w:szCs w:val="18"/>
                <w:color w:val="auto"/>
              </w:rPr>
              <w:t>Net interest revenue</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jc w:val="right"/>
              <w:ind w:right="31"/>
              <w:spacing w:after="0" w:line="200" w:lineRule="exact"/>
              <w:rPr>
                <w:sz w:val="20"/>
                <w:szCs w:val="20"/>
                <w:color w:val="auto"/>
              </w:rPr>
            </w:pPr>
            <w:r>
              <w:rPr>
                <w:rFonts w:ascii="Arial" w:cs="Arial" w:eastAsia="Arial" w:hAnsi="Arial"/>
                <w:sz w:val="18"/>
                <w:szCs w:val="18"/>
                <w:color w:val="auto"/>
              </w:rPr>
              <w:t>54,194</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gridSpan w:val="2"/>
          </w:tcPr>
          <w:p>
            <w:pPr>
              <w:jc w:val="right"/>
              <w:ind w:right="120"/>
              <w:spacing w:after="0" w:line="200" w:lineRule="exact"/>
              <w:rPr>
                <w:sz w:val="20"/>
                <w:szCs w:val="20"/>
                <w:color w:val="auto"/>
              </w:rPr>
            </w:pPr>
            <w:r>
              <w:rPr>
                <w:rFonts w:ascii="Arial" w:cs="Arial" w:eastAsia="Arial" w:hAnsi="Arial"/>
                <w:sz w:val="18"/>
                <w:szCs w:val="18"/>
                <w:color w:val="auto"/>
              </w:rPr>
              <w:t>56,392</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ind w:right="11"/>
              <w:spacing w:after="0" w:line="200" w:lineRule="exact"/>
              <w:rPr>
                <w:sz w:val="20"/>
                <w:szCs w:val="20"/>
                <w:color w:val="auto"/>
              </w:rPr>
            </w:pPr>
            <w:r>
              <w:rPr>
                <w:rFonts w:ascii="Arial" w:cs="Arial" w:eastAsia="Arial" w:hAnsi="Arial"/>
                <w:sz w:val="18"/>
                <w:szCs w:val="18"/>
                <w:color w:val="auto"/>
              </w:rPr>
              <w:t>108,488</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jc w:val="right"/>
              <w:ind w:right="11"/>
              <w:spacing w:after="0" w:line="200" w:lineRule="exact"/>
              <w:rPr>
                <w:sz w:val="20"/>
                <w:szCs w:val="20"/>
                <w:color w:val="auto"/>
              </w:rPr>
            </w:pPr>
            <w:r>
              <w:rPr>
                <w:rFonts w:ascii="Arial" w:cs="Arial" w:eastAsia="Arial" w:hAnsi="Arial"/>
                <w:sz w:val="18"/>
                <w:szCs w:val="18"/>
                <w:color w:val="auto"/>
              </w:rPr>
              <w:t>114,810</w:t>
            </w:r>
          </w:p>
        </w:tc>
        <w:tc>
          <w:tcPr>
            <w:tcW w:w="0" w:type="dxa"/>
            <w:vAlign w:val="bottom"/>
          </w:tcPr>
          <w:p>
            <w:pPr>
              <w:spacing w:after="0"/>
              <w:rPr>
                <w:sz w:val="1"/>
                <w:szCs w:val="1"/>
                <w:color w:val="auto"/>
              </w:rPr>
            </w:pPr>
          </w:p>
        </w:tc>
      </w:tr>
      <w:tr>
        <w:trPr>
          <w:trHeight w:val="235"/>
        </w:trPr>
        <w:tc>
          <w:tcPr>
            <w:tcW w:w="5960" w:type="dxa"/>
            <w:vAlign w:val="bottom"/>
          </w:tcPr>
          <w:p>
            <w:pPr>
              <w:ind w:left="160"/>
              <w:spacing w:after="0"/>
              <w:rPr>
                <w:sz w:val="20"/>
                <w:szCs w:val="20"/>
                <w:color w:val="auto"/>
              </w:rPr>
            </w:pPr>
            <w:r>
              <w:rPr>
                <w:rFonts w:ascii="Arial" w:cs="Arial" w:eastAsia="Arial" w:hAnsi="Arial"/>
                <w:sz w:val="18"/>
                <w:szCs w:val="18"/>
                <w:color w:val="auto"/>
              </w:rPr>
              <w:t>Provision for loan losses</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48,500</w:t>
            </w:r>
          </w:p>
        </w:tc>
        <w:tc>
          <w:tcPr>
            <w:tcW w:w="1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18,000</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59,500</w:t>
            </w: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33,000</w:t>
            </w:r>
          </w:p>
        </w:tc>
        <w:tc>
          <w:tcPr>
            <w:tcW w:w="0" w:type="dxa"/>
            <w:vAlign w:val="bottom"/>
          </w:tcPr>
          <w:p>
            <w:pPr>
              <w:spacing w:after="0"/>
              <w:rPr>
                <w:sz w:val="1"/>
                <w:szCs w:val="1"/>
                <w:color w:val="auto"/>
              </w:rPr>
            </w:pPr>
          </w:p>
        </w:tc>
      </w:tr>
      <w:tr>
        <w:trPr>
          <w:trHeight w:val="221"/>
        </w:trPr>
        <w:tc>
          <w:tcPr>
            <w:tcW w:w="5960" w:type="dxa"/>
            <w:vAlign w:val="bottom"/>
          </w:tcPr>
          <w:p>
            <w:pPr>
              <w:ind w:left="320"/>
              <w:spacing w:after="0"/>
              <w:rPr>
                <w:sz w:val="20"/>
                <w:szCs w:val="20"/>
                <w:color w:val="auto"/>
              </w:rPr>
            </w:pPr>
            <w:r>
              <w:rPr>
                <w:rFonts w:ascii="Arial" w:cs="Arial" w:eastAsia="Arial" w:hAnsi="Arial"/>
                <w:sz w:val="18"/>
                <w:szCs w:val="18"/>
                <w:color w:val="auto"/>
              </w:rPr>
              <w:t>Net interest revenue after provision for loan losses</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5,694</w:t>
            </w:r>
          </w:p>
        </w:tc>
        <w:tc>
          <w:tcPr>
            <w:tcW w:w="1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38,392</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48,988</w:t>
            </w: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81,810</w:t>
            </w:r>
          </w:p>
        </w:tc>
        <w:tc>
          <w:tcPr>
            <w:tcW w:w="0" w:type="dxa"/>
            <w:vAlign w:val="bottom"/>
          </w:tcPr>
          <w:p>
            <w:pPr>
              <w:spacing w:after="0"/>
              <w:rPr>
                <w:sz w:val="1"/>
                <w:szCs w:val="1"/>
                <w:color w:val="auto"/>
              </w:rPr>
            </w:pPr>
          </w:p>
        </w:tc>
      </w:tr>
      <w:tr>
        <w:trPr>
          <w:trHeight w:val="200"/>
        </w:trPr>
        <w:tc>
          <w:tcPr>
            <w:tcW w:w="5960" w:type="dxa"/>
            <w:vAlign w:val="bottom"/>
          </w:tcPr>
          <w:p>
            <w:pPr>
              <w:spacing w:after="0" w:line="200" w:lineRule="exact"/>
              <w:rPr>
                <w:sz w:val="20"/>
                <w:szCs w:val="20"/>
                <w:color w:val="auto"/>
              </w:rPr>
            </w:pPr>
            <w:r>
              <w:rPr>
                <w:rFonts w:ascii="Arial" w:cs="Arial" w:eastAsia="Arial" w:hAnsi="Arial"/>
                <w:sz w:val="18"/>
                <w:szCs w:val="18"/>
                <w:b w:val="1"/>
                <w:bCs w:val="1"/>
                <w:color w:val="auto"/>
              </w:rPr>
              <w:t>Fee revenue:</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5960" w:type="dxa"/>
            <w:vAlign w:val="bottom"/>
          </w:tcPr>
          <w:p>
            <w:pPr>
              <w:ind w:left="160"/>
              <w:spacing w:after="0"/>
              <w:rPr>
                <w:sz w:val="20"/>
                <w:szCs w:val="20"/>
                <w:color w:val="auto"/>
              </w:rPr>
            </w:pPr>
            <w:r>
              <w:rPr>
                <w:rFonts w:ascii="Arial" w:cs="Arial" w:eastAsia="Arial" w:hAnsi="Arial"/>
                <w:sz w:val="18"/>
                <w:szCs w:val="18"/>
                <w:color w:val="auto"/>
              </w:rPr>
              <w:t>Service charges and fees</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7,972</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7,816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15,375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15,599</w:t>
            </w:r>
          </w:p>
        </w:tc>
        <w:tc>
          <w:tcPr>
            <w:tcW w:w="0" w:type="dxa"/>
            <w:vAlign w:val="bottom"/>
          </w:tcPr>
          <w:p>
            <w:pPr>
              <w:spacing w:after="0"/>
              <w:rPr>
                <w:sz w:val="1"/>
                <w:szCs w:val="1"/>
                <w:color w:val="auto"/>
              </w:rPr>
            </w:pPr>
          </w:p>
        </w:tc>
      </w:tr>
      <w:tr>
        <w:trPr>
          <w:trHeight w:val="214"/>
        </w:trPr>
        <w:tc>
          <w:tcPr>
            <w:tcW w:w="5960" w:type="dxa"/>
            <w:vAlign w:val="bottom"/>
          </w:tcPr>
          <w:p>
            <w:pPr>
              <w:ind w:left="160"/>
              <w:spacing w:after="0"/>
              <w:rPr>
                <w:sz w:val="20"/>
                <w:szCs w:val="20"/>
                <w:color w:val="auto"/>
              </w:rPr>
            </w:pPr>
            <w:r>
              <w:rPr>
                <w:rFonts w:ascii="Arial" w:cs="Arial" w:eastAsia="Arial" w:hAnsi="Arial"/>
                <w:sz w:val="18"/>
                <w:szCs w:val="18"/>
                <w:color w:val="auto"/>
              </w:rPr>
              <w:t>Mortgage loan and other related fees</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3,003</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2,322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5,658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4,421</w:t>
            </w:r>
          </w:p>
        </w:tc>
        <w:tc>
          <w:tcPr>
            <w:tcW w:w="0" w:type="dxa"/>
            <w:vAlign w:val="bottom"/>
          </w:tcPr>
          <w:p>
            <w:pPr>
              <w:spacing w:after="0"/>
              <w:rPr>
                <w:sz w:val="1"/>
                <w:szCs w:val="1"/>
                <w:color w:val="auto"/>
              </w:rPr>
            </w:pPr>
          </w:p>
        </w:tc>
      </w:tr>
      <w:tr>
        <w:trPr>
          <w:trHeight w:val="214"/>
        </w:trPr>
        <w:tc>
          <w:tcPr>
            <w:tcW w:w="5960" w:type="dxa"/>
            <w:vAlign w:val="bottom"/>
          </w:tcPr>
          <w:p>
            <w:pPr>
              <w:ind w:left="160"/>
              <w:spacing w:after="0"/>
              <w:rPr>
                <w:sz w:val="20"/>
                <w:szCs w:val="20"/>
                <w:color w:val="auto"/>
              </w:rPr>
            </w:pPr>
            <w:r>
              <w:rPr>
                <w:rFonts w:ascii="Arial" w:cs="Arial" w:eastAsia="Arial" w:hAnsi="Arial"/>
                <w:sz w:val="18"/>
                <w:szCs w:val="18"/>
                <w:color w:val="auto"/>
              </w:rPr>
              <w:t>Brokerage fees</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1,063</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809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1,830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1,622</w:t>
            </w:r>
          </w:p>
        </w:tc>
        <w:tc>
          <w:tcPr>
            <w:tcW w:w="0" w:type="dxa"/>
            <w:vAlign w:val="bottom"/>
          </w:tcPr>
          <w:p>
            <w:pPr>
              <w:spacing w:after="0"/>
              <w:rPr>
                <w:sz w:val="1"/>
                <w:szCs w:val="1"/>
                <w:color w:val="auto"/>
              </w:rPr>
            </w:pPr>
          </w:p>
        </w:tc>
      </w:tr>
      <w:tr>
        <w:trPr>
          <w:trHeight w:val="214"/>
        </w:trPr>
        <w:tc>
          <w:tcPr>
            <w:tcW w:w="5960" w:type="dxa"/>
            <w:vAlign w:val="bottom"/>
          </w:tcPr>
          <w:p>
            <w:pPr>
              <w:ind w:left="160"/>
              <w:spacing w:after="0"/>
              <w:rPr>
                <w:sz w:val="20"/>
                <w:szCs w:val="20"/>
                <w:color w:val="auto"/>
              </w:rPr>
            </w:pPr>
            <w:r>
              <w:rPr>
                <w:rFonts w:ascii="Arial" w:cs="Arial" w:eastAsia="Arial" w:hAnsi="Arial"/>
                <w:sz w:val="18"/>
                <w:szCs w:val="18"/>
                <w:color w:val="auto"/>
              </w:rPr>
              <w:t>Securities gains, net</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6,490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116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7,047</w:t>
            </w:r>
          </w:p>
        </w:tc>
        <w:tc>
          <w:tcPr>
            <w:tcW w:w="0" w:type="dxa"/>
            <w:vAlign w:val="bottom"/>
          </w:tcPr>
          <w:p>
            <w:pPr>
              <w:spacing w:after="0"/>
              <w:rPr>
                <w:sz w:val="1"/>
                <w:szCs w:val="1"/>
                <w:color w:val="auto"/>
              </w:rPr>
            </w:pPr>
          </w:p>
        </w:tc>
      </w:tr>
      <w:tr>
        <w:trPr>
          <w:trHeight w:val="214"/>
        </w:trPr>
        <w:tc>
          <w:tcPr>
            <w:tcW w:w="5960" w:type="dxa"/>
            <w:vAlign w:val="bottom"/>
          </w:tcPr>
          <w:p>
            <w:pPr>
              <w:ind w:left="160"/>
              <w:spacing w:after="0"/>
              <w:rPr>
                <w:sz w:val="20"/>
                <w:szCs w:val="20"/>
                <w:color w:val="auto"/>
              </w:rPr>
            </w:pPr>
            <w:r>
              <w:rPr>
                <w:rFonts w:ascii="Arial" w:cs="Arial" w:eastAsia="Arial" w:hAnsi="Arial"/>
                <w:sz w:val="18"/>
                <w:szCs w:val="18"/>
                <w:color w:val="auto"/>
              </w:rPr>
              <w:t>Loss from prepayment of debt</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(6,199)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(6,681)</w:t>
            </w:r>
          </w:p>
        </w:tc>
        <w:tc>
          <w:tcPr>
            <w:tcW w:w="0" w:type="dxa"/>
            <w:vAlign w:val="bottom"/>
          </w:tcPr>
          <w:p>
            <w:pPr>
              <w:spacing w:after="0"/>
              <w:rPr>
                <w:sz w:val="1"/>
                <w:szCs w:val="1"/>
                <w:color w:val="auto"/>
              </w:rPr>
            </w:pPr>
          </w:p>
        </w:tc>
      </w:tr>
      <w:tr>
        <w:trPr>
          <w:trHeight w:val="235"/>
        </w:trPr>
        <w:tc>
          <w:tcPr>
            <w:tcW w:w="5960" w:type="dxa"/>
            <w:vAlign w:val="bottom"/>
          </w:tcPr>
          <w:p>
            <w:pPr>
              <w:ind w:left="160"/>
              <w:spacing w:after="0"/>
              <w:rPr>
                <w:sz w:val="20"/>
                <w:szCs w:val="20"/>
                <w:color w:val="auto"/>
              </w:rPr>
            </w:pPr>
            <w:r>
              <w:rPr>
                <w:rFonts w:ascii="Arial" w:cs="Arial" w:eastAsia="Arial" w:hAnsi="Arial"/>
                <w:sz w:val="18"/>
                <w:szCs w:val="18"/>
                <w:color w:val="auto"/>
              </w:rPr>
              <w:t>Other</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4,274</w:t>
            </w:r>
          </w:p>
        </w:tc>
        <w:tc>
          <w:tcPr>
            <w:tcW w:w="1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1,629</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6,159</w:t>
            </w: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6,238</w:t>
            </w:r>
          </w:p>
        </w:tc>
        <w:tc>
          <w:tcPr>
            <w:tcW w:w="0" w:type="dxa"/>
            <w:vAlign w:val="bottom"/>
          </w:tcPr>
          <w:p>
            <w:pPr>
              <w:spacing w:after="0"/>
              <w:rPr>
                <w:sz w:val="1"/>
                <w:szCs w:val="1"/>
                <w:color w:val="auto"/>
              </w:rPr>
            </w:pPr>
          </w:p>
        </w:tc>
      </w:tr>
      <w:tr>
        <w:trPr>
          <w:trHeight w:val="221"/>
        </w:trPr>
        <w:tc>
          <w:tcPr>
            <w:tcW w:w="5960" w:type="dxa"/>
            <w:vAlign w:val="bottom"/>
          </w:tcPr>
          <w:p>
            <w:pPr>
              <w:ind w:left="320"/>
              <w:spacing w:after="0"/>
              <w:rPr>
                <w:sz w:val="20"/>
                <w:szCs w:val="20"/>
                <w:color w:val="auto"/>
              </w:rPr>
            </w:pPr>
            <w:r>
              <w:rPr>
                <w:rFonts w:ascii="Arial" w:cs="Arial" w:eastAsia="Arial" w:hAnsi="Arial"/>
                <w:sz w:val="18"/>
                <w:szCs w:val="18"/>
                <w:color w:val="auto"/>
              </w:rPr>
              <w:t>Total fee revenue</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16,312</w:t>
            </w:r>
          </w:p>
        </w:tc>
        <w:tc>
          <w:tcPr>
            <w:tcW w:w="1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12,867</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29,138</w:t>
            </w: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28,246</w:t>
            </w:r>
          </w:p>
        </w:tc>
        <w:tc>
          <w:tcPr>
            <w:tcW w:w="0" w:type="dxa"/>
            <w:vAlign w:val="bottom"/>
          </w:tcPr>
          <w:p>
            <w:pPr>
              <w:spacing w:after="0"/>
              <w:rPr>
                <w:sz w:val="1"/>
                <w:szCs w:val="1"/>
                <w:color w:val="auto"/>
              </w:rPr>
            </w:pPr>
          </w:p>
        </w:tc>
      </w:tr>
      <w:tr>
        <w:trPr>
          <w:trHeight w:val="221"/>
        </w:trPr>
        <w:tc>
          <w:tcPr>
            <w:tcW w:w="5960" w:type="dxa"/>
            <w:vAlign w:val="bottom"/>
          </w:tcPr>
          <w:p>
            <w:pPr>
              <w:ind w:left="320"/>
              <w:spacing w:after="0"/>
              <w:rPr>
                <w:sz w:val="20"/>
                <w:szCs w:val="20"/>
                <w:color w:val="auto"/>
              </w:rPr>
            </w:pPr>
            <w:r>
              <w:rPr>
                <w:rFonts w:ascii="Arial" w:cs="Arial" w:eastAsia="Arial" w:hAnsi="Arial"/>
                <w:sz w:val="18"/>
                <w:szCs w:val="18"/>
                <w:b w:val="1"/>
                <w:bCs w:val="1"/>
                <w:color w:val="auto"/>
              </w:rPr>
              <w:t>Total revenue</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22,006</w:t>
            </w:r>
          </w:p>
        </w:tc>
        <w:tc>
          <w:tcPr>
            <w:tcW w:w="1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51,259</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78,126</w:t>
            </w: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110,056</w:t>
            </w:r>
          </w:p>
        </w:tc>
        <w:tc>
          <w:tcPr>
            <w:tcW w:w="0" w:type="dxa"/>
            <w:vAlign w:val="bottom"/>
          </w:tcPr>
          <w:p>
            <w:pPr>
              <w:spacing w:after="0"/>
              <w:rPr>
                <w:sz w:val="1"/>
                <w:szCs w:val="1"/>
                <w:color w:val="auto"/>
              </w:rPr>
            </w:pPr>
          </w:p>
        </w:tc>
      </w:tr>
      <w:tr>
        <w:trPr>
          <w:trHeight w:val="200"/>
        </w:trPr>
        <w:tc>
          <w:tcPr>
            <w:tcW w:w="5960" w:type="dxa"/>
            <w:vAlign w:val="bottom"/>
          </w:tcPr>
          <w:p>
            <w:pPr>
              <w:spacing w:after="0" w:line="200" w:lineRule="exact"/>
              <w:rPr>
                <w:sz w:val="20"/>
                <w:szCs w:val="20"/>
                <w:color w:val="auto"/>
              </w:rPr>
            </w:pPr>
            <w:r>
              <w:rPr>
                <w:rFonts w:ascii="Arial" w:cs="Arial" w:eastAsia="Arial" w:hAnsi="Arial"/>
                <w:sz w:val="18"/>
                <w:szCs w:val="18"/>
                <w:b w:val="1"/>
                <w:bCs w:val="1"/>
                <w:color w:val="auto"/>
              </w:rPr>
              <w:t>Operating expenses:</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5960" w:type="dxa"/>
            <w:vAlign w:val="bottom"/>
          </w:tcPr>
          <w:p>
            <w:pPr>
              <w:ind w:left="160"/>
              <w:spacing w:after="0"/>
              <w:rPr>
                <w:sz w:val="20"/>
                <w:szCs w:val="20"/>
                <w:color w:val="auto"/>
              </w:rPr>
            </w:pPr>
            <w:r>
              <w:rPr>
                <w:rFonts w:ascii="Arial" w:cs="Arial" w:eastAsia="Arial" w:hAnsi="Arial"/>
                <w:sz w:val="18"/>
                <w:szCs w:val="18"/>
                <w:color w:val="auto"/>
              </w:rPr>
              <w:t>Salaries and employee benefits</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24,734</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24,297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48,326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49,522</w:t>
            </w:r>
          </w:p>
        </w:tc>
        <w:tc>
          <w:tcPr>
            <w:tcW w:w="0" w:type="dxa"/>
            <w:vAlign w:val="bottom"/>
          </w:tcPr>
          <w:p>
            <w:pPr>
              <w:spacing w:after="0"/>
              <w:rPr>
                <w:sz w:val="1"/>
                <w:szCs w:val="1"/>
                <w:color w:val="auto"/>
              </w:rPr>
            </w:pPr>
          </w:p>
        </w:tc>
      </w:tr>
      <w:tr>
        <w:trPr>
          <w:trHeight w:val="214"/>
        </w:trPr>
        <w:tc>
          <w:tcPr>
            <w:tcW w:w="5960" w:type="dxa"/>
            <w:vAlign w:val="bottom"/>
          </w:tcPr>
          <w:p>
            <w:pPr>
              <w:ind w:left="160"/>
              <w:spacing w:after="0"/>
              <w:rPr>
                <w:sz w:val="20"/>
                <w:szCs w:val="20"/>
                <w:color w:val="auto"/>
              </w:rPr>
            </w:pPr>
            <w:r>
              <w:rPr>
                <w:rFonts w:ascii="Arial" w:cs="Arial" w:eastAsia="Arial" w:hAnsi="Arial"/>
                <w:sz w:val="18"/>
                <w:szCs w:val="18"/>
                <w:color w:val="auto"/>
              </w:rPr>
              <w:t>Communications and equipment</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3,468</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3,211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6,514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6,366</w:t>
            </w:r>
          </w:p>
        </w:tc>
        <w:tc>
          <w:tcPr>
            <w:tcW w:w="0" w:type="dxa"/>
            <w:vAlign w:val="bottom"/>
          </w:tcPr>
          <w:p>
            <w:pPr>
              <w:spacing w:after="0"/>
              <w:rPr>
                <w:sz w:val="1"/>
                <w:szCs w:val="1"/>
                <w:color w:val="auto"/>
              </w:rPr>
            </w:pPr>
          </w:p>
        </w:tc>
      </w:tr>
      <w:tr>
        <w:trPr>
          <w:trHeight w:val="214"/>
        </w:trPr>
        <w:tc>
          <w:tcPr>
            <w:tcW w:w="5960" w:type="dxa"/>
            <w:vAlign w:val="bottom"/>
          </w:tcPr>
          <w:p>
            <w:pPr>
              <w:ind w:left="160"/>
              <w:spacing w:after="0"/>
              <w:rPr>
                <w:sz w:val="20"/>
                <w:szCs w:val="20"/>
                <w:color w:val="auto"/>
              </w:rPr>
            </w:pPr>
            <w:r>
              <w:rPr>
                <w:rFonts w:ascii="Arial" w:cs="Arial" w:eastAsia="Arial" w:hAnsi="Arial"/>
                <w:sz w:val="18"/>
                <w:szCs w:val="18"/>
                <w:color w:val="auto"/>
              </w:rPr>
              <w:t>Occupancy</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3,449</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3,539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6,816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7,310</w:t>
            </w:r>
          </w:p>
        </w:tc>
        <w:tc>
          <w:tcPr>
            <w:tcW w:w="0" w:type="dxa"/>
            <w:vAlign w:val="bottom"/>
          </w:tcPr>
          <w:p>
            <w:pPr>
              <w:spacing w:after="0"/>
              <w:rPr>
                <w:sz w:val="1"/>
                <w:szCs w:val="1"/>
                <w:color w:val="auto"/>
              </w:rPr>
            </w:pPr>
          </w:p>
        </w:tc>
      </w:tr>
      <w:tr>
        <w:trPr>
          <w:trHeight w:val="214"/>
        </w:trPr>
        <w:tc>
          <w:tcPr>
            <w:tcW w:w="5960" w:type="dxa"/>
            <w:vAlign w:val="bottom"/>
          </w:tcPr>
          <w:p>
            <w:pPr>
              <w:ind w:left="160"/>
              <w:spacing w:after="0"/>
              <w:rPr>
                <w:sz w:val="20"/>
                <w:szCs w:val="20"/>
                <w:color w:val="auto"/>
              </w:rPr>
            </w:pPr>
            <w:r>
              <w:rPr>
                <w:rFonts w:ascii="Arial" w:cs="Arial" w:eastAsia="Arial" w:hAnsi="Arial"/>
                <w:sz w:val="18"/>
                <w:szCs w:val="18"/>
                <w:color w:val="auto"/>
              </w:rPr>
              <w:t>Advertising and public relations</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1,037</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1,088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1,975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1,934</w:t>
            </w:r>
          </w:p>
        </w:tc>
        <w:tc>
          <w:tcPr>
            <w:tcW w:w="0" w:type="dxa"/>
            <w:vAlign w:val="bottom"/>
          </w:tcPr>
          <w:p>
            <w:pPr>
              <w:spacing w:after="0"/>
              <w:rPr>
                <w:sz w:val="1"/>
                <w:szCs w:val="1"/>
                <w:color w:val="auto"/>
              </w:rPr>
            </w:pPr>
          </w:p>
        </w:tc>
      </w:tr>
      <w:tr>
        <w:trPr>
          <w:trHeight w:val="214"/>
        </w:trPr>
        <w:tc>
          <w:tcPr>
            <w:tcW w:w="5960" w:type="dxa"/>
            <w:vAlign w:val="bottom"/>
          </w:tcPr>
          <w:p>
            <w:pPr>
              <w:ind w:left="160"/>
              <w:spacing w:after="0"/>
              <w:rPr>
                <w:sz w:val="20"/>
                <w:szCs w:val="20"/>
                <w:color w:val="auto"/>
              </w:rPr>
            </w:pPr>
            <w:r>
              <w:rPr>
                <w:rFonts w:ascii="Arial" w:cs="Arial" w:eastAsia="Arial" w:hAnsi="Arial"/>
                <w:sz w:val="18"/>
                <w:szCs w:val="18"/>
                <w:color w:val="auto"/>
              </w:rPr>
              <w:t>Postage, printing and supplies</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894</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916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1,757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1,895</w:t>
            </w:r>
          </w:p>
        </w:tc>
        <w:tc>
          <w:tcPr>
            <w:tcW w:w="0" w:type="dxa"/>
            <w:vAlign w:val="bottom"/>
          </w:tcPr>
          <w:p>
            <w:pPr>
              <w:spacing w:after="0"/>
              <w:rPr>
                <w:sz w:val="1"/>
                <w:szCs w:val="1"/>
                <w:color w:val="auto"/>
              </w:rPr>
            </w:pPr>
          </w:p>
        </w:tc>
      </w:tr>
      <w:tr>
        <w:trPr>
          <w:trHeight w:val="214"/>
        </w:trPr>
        <w:tc>
          <w:tcPr>
            <w:tcW w:w="5960" w:type="dxa"/>
            <w:vAlign w:val="bottom"/>
          </w:tcPr>
          <w:p>
            <w:pPr>
              <w:ind w:left="160"/>
              <w:spacing w:after="0"/>
              <w:rPr>
                <w:sz w:val="20"/>
                <w:szCs w:val="20"/>
                <w:color w:val="auto"/>
              </w:rPr>
            </w:pPr>
            <w:r>
              <w:rPr>
                <w:rFonts w:ascii="Arial" w:cs="Arial" w:eastAsia="Arial" w:hAnsi="Arial"/>
                <w:sz w:val="18"/>
                <w:szCs w:val="18"/>
                <w:color w:val="auto"/>
              </w:rPr>
              <w:t>Professional fees</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2,499</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1,952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4,865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3,927</w:t>
            </w:r>
          </w:p>
        </w:tc>
        <w:tc>
          <w:tcPr>
            <w:tcW w:w="0" w:type="dxa"/>
            <w:vAlign w:val="bottom"/>
          </w:tcPr>
          <w:p>
            <w:pPr>
              <w:spacing w:after="0"/>
              <w:rPr>
                <w:sz w:val="1"/>
                <w:szCs w:val="1"/>
                <w:color w:val="auto"/>
              </w:rPr>
            </w:pPr>
          </w:p>
        </w:tc>
      </w:tr>
      <w:tr>
        <w:trPr>
          <w:trHeight w:val="214"/>
        </w:trPr>
        <w:tc>
          <w:tcPr>
            <w:tcW w:w="5960" w:type="dxa"/>
            <w:vAlign w:val="bottom"/>
          </w:tcPr>
          <w:p>
            <w:pPr>
              <w:ind w:left="160"/>
              <w:spacing w:after="0"/>
              <w:rPr>
                <w:sz w:val="20"/>
                <w:szCs w:val="20"/>
                <w:color w:val="auto"/>
              </w:rPr>
            </w:pPr>
            <w:r>
              <w:rPr>
                <w:rFonts w:ascii="Arial" w:cs="Arial" w:eastAsia="Arial" w:hAnsi="Arial"/>
                <w:sz w:val="18"/>
                <w:szCs w:val="18"/>
                <w:color w:val="auto"/>
              </w:rPr>
              <w:t>Foreclosed property</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5,151</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1,851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7,484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5,676</w:t>
            </w:r>
          </w:p>
        </w:tc>
        <w:tc>
          <w:tcPr>
            <w:tcW w:w="0" w:type="dxa"/>
            <w:vAlign w:val="bottom"/>
          </w:tcPr>
          <w:p>
            <w:pPr>
              <w:spacing w:after="0"/>
              <w:rPr>
                <w:sz w:val="1"/>
                <w:szCs w:val="1"/>
                <w:color w:val="auto"/>
              </w:rPr>
            </w:pPr>
          </w:p>
        </w:tc>
      </w:tr>
      <w:tr>
        <w:trPr>
          <w:trHeight w:val="214"/>
        </w:trPr>
        <w:tc>
          <w:tcPr>
            <w:tcW w:w="5960" w:type="dxa"/>
            <w:vAlign w:val="bottom"/>
          </w:tcPr>
          <w:p>
            <w:pPr>
              <w:ind w:left="160"/>
              <w:spacing w:after="0"/>
              <w:rPr>
                <w:sz w:val="20"/>
                <w:szCs w:val="20"/>
                <w:color w:val="auto"/>
              </w:rPr>
            </w:pPr>
            <w:r>
              <w:rPr>
                <w:rFonts w:ascii="Arial" w:cs="Arial" w:eastAsia="Arial" w:hAnsi="Arial"/>
                <w:sz w:val="18"/>
                <w:szCs w:val="18"/>
                <w:color w:val="auto"/>
              </w:rPr>
              <w:t>FDIC assessments and other regulatory charges</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2,505</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2,545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5,010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5,055</w:t>
            </w:r>
          </w:p>
        </w:tc>
        <w:tc>
          <w:tcPr>
            <w:tcW w:w="0" w:type="dxa"/>
            <w:vAlign w:val="bottom"/>
          </w:tcPr>
          <w:p>
            <w:pPr>
              <w:spacing w:after="0"/>
              <w:rPr>
                <w:sz w:val="1"/>
                <w:szCs w:val="1"/>
                <w:color w:val="auto"/>
              </w:rPr>
            </w:pPr>
          </w:p>
        </w:tc>
      </w:tr>
      <w:tr>
        <w:trPr>
          <w:trHeight w:val="214"/>
        </w:trPr>
        <w:tc>
          <w:tcPr>
            <w:tcW w:w="5960" w:type="dxa"/>
            <w:vAlign w:val="bottom"/>
          </w:tcPr>
          <w:p>
            <w:pPr>
              <w:ind w:left="160"/>
              <w:spacing w:after="0"/>
              <w:rPr>
                <w:sz w:val="20"/>
                <w:szCs w:val="20"/>
                <w:color w:val="auto"/>
              </w:rPr>
            </w:pPr>
            <w:r>
              <w:rPr>
                <w:rFonts w:ascii="Arial" w:cs="Arial" w:eastAsia="Arial" w:hAnsi="Arial"/>
                <w:sz w:val="18"/>
                <w:szCs w:val="18"/>
                <w:color w:val="auto"/>
              </w:rPr>
              <w:t>Amortization of intangibles</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491</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730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1,196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1,462</w:t>
            </w:r>
          </w:p>
        </w:tc>
        <w:tc>
          <w:tcPr>
            <w:tcW w:w="0" w:type="dxa"/>
            <w:vAlign w:val="bottom"/>
          </w:tcPr>
          <w:p>
            <w:pPr>
              <w:spacing w:after="0"/>
              <w:rPr>
                <w:sz w:val="1"/>
                <w:szCs w:val="1"/>
                <w:color w:val="auto"/>
              </w:rPr>
            </w:pPr>
          </w:p>
        </w:tc>
      </w:tr>
      <w:tr>
        <w:trPr>
          <w:trHeight w:val="235"/>
        </w:trPr>
        <w:tc>
          <w:tcPr>
            <w:tcW w:w="5960" w:type="dxa"/>
            <w:vAlign w:val="bottom"/>
          </w:tcPr>
          <w:p>
            <w:pPr>
              <w:ind w:left="160"/>
              <w:spacing w:after="0"/>
              <w:rPr>
                <w:sz w:val="20"/>
                <w:szCs w:val="20"/>
                <w:color w:val="auto"/>
              </w:rPr>
            </w:pPr>
            <w:r>
              <w:rPr>
                <w:rFonts w:ascii="Arial" w:cs="Arial" w:eastAsia="Arial" w:hAnsi="Arial"/>
                <w:sz w:val="18"/>
                <w:szCs w:val="18"/>
                <w:color w:val="auto"/>
              </w:rPr>
              <w:t>Other</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4,595</w:t>
            </w:r>
          </w:p>
        </w:tc>
        <w:tc>
          <w:tcPr>
            <w:tcW w:w="1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4,181</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8,650</w:t>
            </w: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8,118</w:t>
            </w:r>
          </w:p>
        </w:tc>
        <w:tc>
          <w:tcPr>
            <w:tcW w:w="0" w:type="dxa"/>
            <w:vAlign w:val="bottom"/>
          </w:tcPr>
          <w:p>
            <w:pPr>
              <w:spacing w:after="0"/>
              <w:rPr>
                <w:sz w:val="1"/>
                <w:szCs w:val="1"/>
                <w:color w:val="auto"/>
              </w:rPr>
            </w:pPr>
          </w:p>
        </w:tc>
      </w:tr>
      <w:tr>
        <w:trPr>
          <w:trHeight w:val="221"/>
        </w:trPr>
        <w:tc>
          <w:tcPr>
            <w:tcW w:w="5960" w:type="dxa"/>
            <w:vAlign w:val="bottom"/>
          </w:tcPr>
          <w:p>
            <w:pPr>
              <w:ind w:left="320"/>
              <w:spacing w:after="0"/>
              <w:rPr>
                <w:sz w:val="20"/>
                <w:szCs w:val="20"/>
                <w:color w:val="auto"/>
              </w:rPr>
            </w:pPr>
            <w:r>
              <w:rPr>
                <w:rFonts w:ascii="Arial" w:cs="Arial" w:eastAsia="Arial" w:hAnsi="Arial"/>
                <w:sz w:val="18"/>
                <w:szCs w:val="18"/>
                <w:color w:val="auto"/>
              </w:rPr>
              <w:t>Total operating expenses</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48,823</w:t>
            </w:r>
          </w:p>
        </w:tc>
        <w:tc>
          <w:tcPr>
            <w:tcW w:w="1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44,310</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92,593</w:t>
            </w: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91,265</w:t>
            </w:r>
          </w:p>
        </w:tc>
        <w:tc>
          <w:tcPr>
            <w:tcW w:w="0" w:type="dxa"/>
            <w:vAlign w:val="bottom"/>
          </w:tcPr>
          <w:p>
            <w:pPr>
              <w:spacing w:after="0"/>
              <w:rPr>
                <w:sz w:val="1"/>
                <w:szCs w:val="1"/>
                <w:color w:val="auto"/>
              </w:rPr>
            </w:pPr>
          </w:p>
        </w:tc>
      </w:tr>
      <w:tr>
        <w:trPr>
          <w:trHeight w:val="200"/>
        </w:trPr>
        <w:tc>
          <w:tcPr>
            <w:tcW w:w="5960" w:type="dxa"/>
            <w:vAlign w:val="bottom"/>
          </w:tcPr>
          <w:p>
            <w:pPr>
              <w:ind w:left="320"/>
              <w:spacing w:after="0" w:line="200" w:lineRule="exact"/>
              <w:rPr>
                <w:sz w:val="20"/>
                <w:szCs w:val="20"/>
                <w:color w:val="auto"/>
              </w:rPr>
            </w:pPr>
            <w:r>
              <w:rPr>
                <w:rFonts w:ascii="Arial" w:cs="Arial" w:eastAsia="Arial" w:hAnsi="Arial"/>
                <w:sz w:val="18"/>
                <w:szCs w:val="18"/>
                <w:color w:val="auto"/>
              </w:rPr>
              <w:t>Net (loss) income before income taxes</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jc w:val="right"/>
              <w:spacing w:after="0" w:line="200" w:lineRule="exact"/>
              <w:rPr>
                <w:sz w:val="20"/>
                <w:szCs w:val="20"/>
                <w:color w:val="auto"/>
              </w:rPr>
            </w:pPr>
            <w:r>
              <w:rPr>
                <w:rFonts w:ascii="Arial" w:cs="Arial" w:eastAsia="Arial" w:hAnsi="Arial"/>
                <w:sz w:val="18"/>
                <w:szCs w:val="18"/>
                <w:color w:val="auto"/>
              </w:rPr>
              <w:t>(26,817)</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gridSpan w:val="2"/>
          </w:tcPr>
          <w:p>
            <w:pPr>
              <w:jc w:val="right"/>
              <w:ind w:right="120"/>
              <w:spacing w:after="0" w:line="200" w:lineRule="exact"/>
              <w:rPr>
                <w:sz w:val="20"/>
                <w:szCs w:val="20"/>
                <w:color w:val="auto"/>
              </w:rPr>
            </w:pPr>
            <w:r>
              <w:rPr>
                <w:rFonts w:ascii="Arial" w:cs="Arial" w:eastAsia="Arial" w:hAnsi="Arial"/>
                <w:sz w:val="18"/>
                <w:szCs w:val="18"/>
                <w:color w:val="auto"/>
              </w:rPr>
              <w:t>6,949</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spacing w:after="0" w:line="200" w:lineRule="exact"/>
              <w:rPr>
                <w:sz w:val="20"/>
                <w:szCs w:val="20"/>
                <w:color w:val="auto"/>
              </w:rPr>
            </w:pPr>
            <w:r>
              <w:rPr>
                <w:rFonts w:ascii="Arial" w:cs="Arial" w:eastAsia="Arial" w:hAnsi="Arial"/>
                <w:sz w:val="18"/>
                <w:szCs w:val="18"/>
                <w:color w:val="auto"/>
              </w:rPr>
              <w:t>(14,467)</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jc w:val="right"/>
              <w:ind w:right="11"/>
              <w:spacing w:after="0" w:line="200" w:lineRule="exact"/>
              <w:rPr>
                <w:sz w:val="20"/>
                <w:szCs w:val="20"/>
                <w:color w:val="auto"/>
              </w:rPr>
            </w:pPr>
            <w:r>
              <w:rPr>
                <w:rFonts w:ascii="Arial" w:cs="Arial" w:eastAsia="Arial" w:hAnsi="Arial"/>
                <w:sz w:val="18"/>
                <w:szCs w:val="18"/>
                <w:color w:val="auto"/>
              </w:rPr>
              <w:t>18,791</w:t>
            </w:r>
          </w:p>
        </w:tc>
        <w:tc>
          <w:tcPr>
            <w:tcW w:w="0" w:type="dxa"/>
            <w:vAlign w:val="bottom"/>
          </w:tcPr>
          <w:p>
            <w:pPr>
              <w:spacing w:after="0"/>
              <w:rPr>
                <w:sz w:val="1"/>
                <w:szCs w:val="1"/>
                <w:color w:val="auto"/>
              </w:rPr>
            </w:pPr>
          </w:p>
        </w:tc>
      </w:tr>
      <w:tr>
        <w:trPr>
          <w:trHeight w:val="235"/>
        </w:trPr>
        <w:tc>
          <w:tcPr>
            <w:tcW w:w="5960" w:type="dxa"/>
            <w:vAlign w:val="bottom"/>
          </w:tcPr>
          <w:p>
            <w:pPr>
              <w:ind w:left="160"/>
              <w:spacing w:after="0"/>
              <w:rPr>
                <w:sz w:val="20"/>
                <w:szCs w:val="20"/>
                <w:color w:val="auto"/>
              </w:rPr>
            </w:pPr>
            <w:r>
              <w:rPr>
                <w:rFonts w:ascii="Arial" w:cs="Arial" w:eastAsia="Arial" w:hAnsi="Arial"/>
                <w:sz w:val="18"/>
                <w:szCs w:val="18"/>
                <w:color w:val="auto"/>
              </w:rPr>
              <w:t>Income tax (benefit) expense</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(256,781)</w:t>
            </w:r>
          </w:p>
        </w:tc>
        <w:tc>
          <w:tcPr>
            <w:tcW w:w="1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450</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(256,196)</w:t>
            </w: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764</w:t>
            </w:r>
          </w:p>
        </w:tc>
        <w:tc>
          <w:tcPr>
            <w:tcW w:w="0" w:type="dxa"/>
            <w:vAlign w:val="bottom"/>
          </w:tcPr>
          <w:p>
            <w:pPr>
              <w:spacing w:after="0"/>
              <w:rPr>
                <w:sz w:val="1"/>
                <w:szCs w:val="1"/>
                <w:color w:val="auto"/>
              </w:rPr>
            </w:pPr>
          </w:p>
        </w:tc>
      </w:tr>
      <w:tr>
        <w:trPr>
          <w:trHeight w:val="200"/>
        </w:trPr>
        <w:tc>
          <w:tcPr>
            <w:tcW w:w="5960" w:type="dxa"/>
            <w:vAlign w:val="bottom"/>
          </w:tcPr>
          <w:p>
            <w:pPr>
              <w:ind w:left="320"/>
              <w:spacing w:after="0" w:line="200" w:lineRule="exact"/>
              <w:rPr>
                <w:sz w:val="20"/>
                <w:szCs w:val="20"/>
                <w:color w:val="auto"/>
              </w:rPr>
            </w:pPr>
            <w:r>
              <w:rPr>
                <w:rFonts w:ascii="Arial" w:cs="Arial" w:eastAsia="Arial" w:hAnsi="Arial"/>
                <w:sz w:val="18"/>
                <w:szCs w:val="18"/>
                <w:b w:val="1"/>
                <w:bCs w:val="1"/>
                <w:color w:val="auto"/>
              </w:rPr>
              <w:t>Net income</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jc w:val="right"/>
              <w:ind w:right="31"/>
              <w:spacing w:after="0" w:line="200" w:lineRule="exact"/>
              <w:rPr>
                <w:sz w:val="20"/>
                <w:szCs w:val="20"/>
                <w:color w:val="auto"/>
              </w:rPr>
            </w:pPr>
            <w:r>
              <w:rPr>
                <w:rFonts w:ascii="Arial" w:cs="Arial" w:eastAsia="Arial" w:hAnsi="Arial"/>
                <w:sz w:val="18"/>
                <w:szCs w:val="18"/>
                <w:color w:val="auto"/>
              </w:rPr>
              <w:t>229,964</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gridSpan w:val="2"/>
          </w:tcPr>
          <w:p>
            <w:pPr>
              <w:jc w:val="right"/>
              <w:ind w:right="120"/>
              <w:spacing w:after="0" w:line="200" w:lineRule="exact"/>
              <w:rPr>
                <w:sz w:val="20"/>
                <w:szCs w:val="20"/>
                <w:color w:val="auto"/>
              </w:rPr>
            </w:pPr>
            <w:r>
              <w:rPr>
                <w:rFonts w:ascii="Arial" w:cs="Arial" w:eastAsia="Arial" w:hAnsi="Arial"/>
                <w:sz w:val="18"/>
                <w:szCs w:val="18"/>
                <w:color w:val="auto"/>
              </w:rPr>
              <w:t>6,499</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ind w:right="11"/>
              <w:spacing w:after="0" w:line="200" w:lineRule="exact"/>
              <w:rPr>
                <w:sz w:val="20"/>
                <w:szCs w:val="20"/>
                <w:color w:val="auto"/>
              </w:rPr>
            </w:pPr>
            <w:r>
              <w:rPr>
                <w:rFonts w:ascii="Arial" w:cs="Arial" w:eastAsia="Arial" w:hAnsi="Arial"/>
                <w:sz w:val="18"/>
                <w:szCs w:val="18"/>
                <w:color w:val="auto"/>
              </w:rPr>
              <w:t>241,729</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jc w:val="right"/>
              <w:ind w:right="11"/>
              <w:spacing w:after="0" w:line="200" w:lineRule="exact"/>
              <w:rPr>
                <w:sz w:val="20"/>
                <w:szCs w:val="20"/>
                <w:color w:val="auto"/>
              </w:rPr>
            </w:pPr>
            <w:r>
              <w:rPr>
                <w:rFonts w:ascii="Arial" w:cs="Arial" w:eastAsia="Arial" w:hAnsi="Arial"/>
                <w:sz w:val="18"/>
                <w:szCs w:val="18"/>
                <w:color w:val="auto"/>
              </w:rPr>
              <w:t>18,027</w:t>
            </w:r>
          </w:p>
        </w:tc>
        <w:tc>
          <w:tcPr>
            <w:tcW w:w="0" w:type="dxa"/>
            <w:vAlign w:val="bottom"/>
          </w:tcPr>
          <w:p>
            <w:pPr>
              <w:spacing w:after="0"/>
              <w:rPr>
                <w:sz w:val="1"/>
                <w:szCs w:val="1"/>
                <w:color w:val="auto"/>
              </w:rPr>
            </w:pPr>
          </w:p>
        </w:tc>
      </w:tr>
      <w:tr>
        <w:trPr>
          <w:trHeight w:val="235"/>
        </w:trPr>
        <w:tc>
          <w:tcPr>
            <w:tcW w:w="5960" w:type="dxa"/>
            <w:vAlign w:val="bottom"/>
          </w:tcPr>
          <w:p>
            <w:pPr>
              <w:ind w:left="160"/>
              <w:spacing w:after="0"/>
              <w:rPr>
                <w:sz w:val="20"/>
                <w:szCs w:val="20"/>
                <w:color w:val="auto"/>
              </w:rPr>
            </w:pPr>
            <w:r>
              <w:rPr>
                <w:rFonts w:ascii="Arial" w:cs="Arial" w:eastAsia="Arial" w:hAnsi="Arial"/>
                <w:sz w:val="18"/>
                <w:szCs w:val="18"/>
                <w:color w:val="auto"/>
              </w:rPr>
              <w:t>Preferred stock dividends and discount accretion</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3,055</w:t>
            </w:r>
          </w:p>
        </w:tc>
        <w:tc>
          <w:tcPr>
            <w:tcW w:w="1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3,032</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6,107</w:t>
            </w: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6,062</w:t>
            </w:r>
          </w:p>
        </w:tc>
        <w:tc>
          <w:tcPr>
            <w:tcW w:w="0" w:type="dxa"/>
            <w:vAlign w:val="bottom"/>
          </w:tcPr>
          <w:p>
            <w:pPr>
              <w:spacing w:after="0"/>
              <w:rPr>
                <w:sz w:val="1"/>
                <w:szCs w:val="1"/>
                <w:color w:val="auto"/>
              </w:rPr>
            </w:pPr>
          </w:p>
        </w:tc>
      </w:tr>
      <w:tr>
        <w:trPr>
          <w:trHeight w:val="214"/>
        </w:trPr>
        <w:tc>
          <w:tcPr>
            <w:tcW w:w="5960" w:type="dxa"/>
            <w:vAlign w:val="bottom"/>
          </w:tcPr>
          <w:p>
            <w:pPr>
              <w:ind w:left="320"/>
              <w:spacing w:after="0"/>
              <w:rPr>
                <w:sz w:val="20"/>
                <w:szCs w:val="20"/>
                <w:color w:val="auto"/>
              </w:rPr>
            </w:pPr>
            <w:r>
              <w:rPr>
                <w:rFonts w:ascii="Arial" w:cs="Arial" w:eastAsia="Arial" w:hAnsi="Arial"/>
                <w:sz w:val="18"/>
                <w:szCs w:val="18"/>
                <w:b w:val="1"/>
                <w:bCs w:val="1"/>
                <w:color w:val="auto"/>
              </w:rPr>
              <w:t>Net income available to common shareholders</w:t>
            </w:r>
          </w:p>
        </w:tc>
        <w:tc>
          <w:tcPr>
            <w:tcW w:w="1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jc w:val="right"/>
              <w:ind w:right="110"/>
              <w:spacing w:after="0"/>
              <w:rPr>
                <w:sz w:val="20"/>
                <w:szCs w:val="20"/>
                <w:color w:val="auto"/>
              </w:rPr>
            </w:pPr>
            <w:r>
              <w:rPr>
                <w:rFonts w:ascii="Arial" w:cs="Arial" w:eastAsia="Arial" w:hAnsi="Arial"/>
                <w:sz w:val="10"/>
                <w:szCs w:val="10"/>
                <w:color w:val="auto"/>
                <w:w w:val="71"/>
              </w:rPr>
              <w:t>$</w:t>
            </w:r>
          </w:p>
        </w:tc>
        <w:tc>
          <w:tcPr>
            <w:tcW w:w="10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226,909</w:t>
            </w:r>
          </w:p>
        </w:tc>
        <w:tc>
          <w:tcPr>
            <w:tcW w:w="120" w:type="dxa"/>
            <w:vAlign w:val="bottom"/>
          </w:tcPr>
          <w:p>
            <w:pPr>
              <w:spacing w:after="0"/>
              <w:rPr>
                <w:sz w:val="18"/>
                <w:szCs w:val="18"/>
                <w:color w:val="auto"/>
              </w:rPr>
            </w:pPr>
          </w:p>
        </w:tc>
        <w:tc>
          <w:tcPr>
            <w:tcW w:w="300" w:type="dxa"/>
            <w:vAlign w:val="bottom"/>
            <w:tcBorders>
              <w:bottom w:val="single" w:sz="8" w:color="auto"/>
            </w:tcBorders>
          </w:tcPr>
          <w:p>
            <w:pPr>
              <w:jc w:val="right"/>
              <w:ind w:right="111"/>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3,467</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235,622</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11"/>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11,965</w:t>
            </w:r>
          </w:p>
        </w:tc>
        <w:tc>
          <w:tcPr>
            <w:tcW w:w="0" w:type="dxa"/>
            <w:vAlign w:val="bottom"/>
          </w:tcPr>
          <w:p>
            <w:pPr>
              <w:spacing w:after="0"/>
              <w:rPr>
                <w:sz w:val="1"/>
                <w:szCs w:val="1"/>
                <w:color w:val="auto"/>
              </w:rPr>
            </w:pPr>
          </w:p>
        </w:tc>
      </w:tr>
      <w:tr>
        <w:trPr>
          <w:trHeight w:val="20"/>
        </w:trPr>
        <w:tc>
          <w:tcPr>
            <w:tcW w:w="5960" w:type="dxa"/>
            <w:vAlign w:val="bottom"/>
            <w:vMerge w:val="restart"/>
          </w:tcPr>
          <w:p>
            <w:pPr>
              <w:spacing w:after="0"/>
              <w:rPr>
                <w:sz w:val="20"/>
                <w:szCs w:val="20"/>
                <w:color w:val="auto"/>
              </w:rPr>
            </w:pPr>
            <w:r>
              <w:rPr>
                <w:rFonts w:ascii="Arial" w:cs="Arial" w:eastAsia="Arial" w:hAnsi="Arial"/>
                <w:sz w:val="18"/>
                <w:szCs w:val="18"/>
                <w:color w:val="auto"/>
              </w:rPr>
              <w:t>Earnings per common share - basic / diluted</w:t>
            </w:r>
          </w:p>
        </w:tc>
        <w:tc>
          <w:tcPr>
            <w:tcW w:w="140" w:type="dxa"/>
            <w:vAlign w:val="bottom"/>
            <w:gridSpan w:val="2"/>
            <w:vMerge w:val="restart"/>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3"/>
        </w:trPr>
        <w:tc>
          <w:tcPr>
            <w:tcW w:w="5960" w:type="dxa"/>
            <w:vAlign w:val="bottom"/>
            <w:vMerge w:val="continue"/>
          </w:tcPr>
          <w:p>
            <w:pPr>
              <w:spacing w:after="0"/>
              <w:rPr>
                <w:sz w:val="16"/>
                <w:szCs w:val="16"/>
                <w:color w:val="auto"/>
              </w:rPr>
            </w:pPr>
          </w:p>
        </w:tc>
        <w:tc>
          <w:tcPr>
            <w:tcW w:w="140" w:type="dxa"/>
            <w:vAlign w:val="bottom"/>
            <w:gridSpan w:val="2"/>
            <w:vMerge w:val="continue"/>
          </w:tcPr>
          <w:p>
            <w:pPr>
              <w:spacing w:after="0"/>
              <w:rPr>
                <w:sz w:val="16"/>
                <w:szCs w:val="16"/>
                <w:color w:val="auto"/>
              </w:rPr>
            </w:pPr>
          </w:p>
        </w:tc>
        <w:tc>
          <w:tcPr>
            <w:tcW w:w="220" w:type="dxa"/>
            <w:vAlign w:val="bottom"/>
          </w:tcPr>
          <w:p>
            <w:pPr>
              <w:jc w:val="right"/>
              <w:ind w:right="110"/>
              <w:spacing w:after="0"/>
              <w:rPr>
                <w:sz w:val="20"/>
                <w:szCs w:val="20"/>
                <w:color w:val="auto"/>
              </w:rPr>
            </w:pPr>
            <w:r>
              <w:rPr>
                <w:rFonts w:ascii="Arial" w:cs="Arial" w:eastAsia="Arial" w:hAnsi="Arial"/>
                <w:sz w:val="10"/>
                <w:szCs w:val="10"/>
                <w:color w:val="auto"/>
                <w:w w:val="71"/>
              </w:rPr>
              <w:t>$</w:t>
            </w:r>
          </w:p>
        </w:tc>
        <w:tc>
          <w:tcPr>
            <w:tcW w:w="1020" w:type="dxa"/>
            <w:vAlign w:val="bottom"/>
          </w:tcPr>
          <w:p>
            <w:pPr>
              <w:jc w:val="right"/>
              <w:ind w:right="31"/>
              <w:spacing w:after="0" w:line="194" w:lineRule="exact"/>
              <w:rPr>
                <w:sz w:val="20"/>
                <w:szCs w:val="20"/>
                <w:color w:val="auto"/>
              </w:rPr>
            </w:pPr>
            <w:r>
              <w:rPr>
                <w:rFonts w:ascii="Arial" w:cs="Arial" w:eastAsia="Arial" w:hAnsi="Arial"/>
                <w:sz w:val="18"/>
                <w:szCs w:val="18"/>
                <w:color w:val="auto"/>
              </w:rPr>
              <w:t>3.90</w:t>
            </w:r>
          </w:p>
        </w:tc>
        <w:tc>
          <w:tcPr>
            <w:tcW w:w="120" w:type="dxa"/>
            <w:vAlign w:val="bottom"/>
            <w:vMerge w:val="continue"/>
          </w:tcPr>
          <w:p>
            <w:pPr>
              <w:spacing w:after="0"/>
              <w:rPr>
                <w:sz w:val="16"/>
                <w:szCs w:val="16"/>
                <w:color w:val="auto"/>
              </w:rPr>
            </w:pPr>
          </w:p>
        </w:tc>
        <w:tc>
          <w:tcPr>
            <w:tcW w:w="300" w:type="dxa"/>
            <w:vAlign w:val="bottom"/>
          </w:tcPr>
          <w:p>
            <w:pPr>
              <w:jc w:val="right"/>
              <w:ind w:right="111"/>
              <w:spacing w:after="0" w:line="194" w:lineRule="exact"/>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20"/>
              <w:spacing w:after="0" w:line="194" w:lineRule="exact"/>
              <w:rPr>
                <w:sz w:val="20"/>
                <w:szCs w:val="20"/>
                <w:color w:val="auto"/>
              </w:rPr>
            </w:pPr>
            <w:r>
              <w:rPr>
                <w:rFonts w:ascii="Arial" w:cs="Arial" w:eastAsia="Arial" w:hAnsi="Arial"/>
                <w:sz w:val="18"/>
                <w:szCs w:val="18"/>
                <w:color w:val="auto"/>
              </w:rPr>
              <w:t>.06</w:t>
            </w:r>
          </w:p>
        </w:tc>
        <w:tc>
          <w:tcPr>
            <w:tcW w:w="100" w:type="dxa"/>
            <w:vAlign w:val="bottom"/>
          </w:tcPr>
          <w:p>
            <w:pPr>
              <w:spacing w:after="0"/>
              <w:rPr>
                <w:sz w:val="16"/>
                <w:szCs w:val="16"/>
                <w:color w:val="auto"/>
              </w:rPr>
            </w:pPr>
          </w:p>
        </w:tc>
        <w:tc>
          <w:tcPr>
            <w:tcW w:w="240" w:type="dxa"/>
            <w:vAlign w:val="bottom"/>
          </w:tcPr>
          <w:p>
            <w:pPr>
              <w:jc w:val="right"/>
              <w:ind w:right="51"/>
              <w:spacing w:after="0" w:line="194" w:lineRule="exact"/>
              <w:rPr>
                <w:sz w:val="20"/>
                <w:szCs w:val="20"/>
                <w:color w:val="auto"/>
              </w:rPr>
            </w:pPr>
            <w:r>
              <w:rPr>
                <w:rFonts w:ascii="Arial" w:cs="Arial" w:eastAsia="Arial" w:hAnsi="Arial"/>
                <w:sz w:val="18"/>
                <w:szCs w:val="18"/>
                <w:color w:val="auto"/>
                <w:w w:val="79"/>
              </w:rPr>
              <w:t>$</w:t>
            </w:r>
          </w:p>
        </w:tc>
        <w:tc>
          <w:tcPr>
            <w:tcW w:w="1000" w:type="dxa"/>
            <w:vAlign w:val="bottom"/>
          </w:tcPr>
          <w:p>
            <w:pPr>
              <w:jc w:val="right"/>
              <w:ind w:right="11"/>
              <w:spacing w:after="0" w:line="194" w:lineRule="exact"/>
              <w:rPr>
                <w:sz w:val="20"/>
                <w:szCs w:val="20"/>
                <w:color w:val="auto"/>
              </w:rPr>
            </w:pPr>
            <w:r>
              <w:rPr>
                <w:rFonts w:ascii="Arial" w:cs="Arial" w:eastAsia="Arial" w:hAnsi="Arial"/>
                <w:sz w:val="18"/>
                <w:szCs w:val="18"/>
                <w:color w:val="auto"/>
              </w:rPr>
              <w:t>4.05</w:t>
            </w:r>
          </w:p>
        </w:tc>
        <w:tc>
          <w:tcPr>
            <w:tcW w:w="100" w:type="dxa"/>
            <w:vAlign w:val="bottom"/>
            <w:vMerge w:val="continue"/>
          </w:tcPr>
          <w:p>
            <w:pPr>
              <w:spacing w:after="0"/>
              <w:rPr>
                <w:sz w:val="16"/>
                <w:szCs w:val="16"/>
                <w:color w:val="auto"/>
              </w:rPr>
            </w:pPr>
          </w:p>
        </w:tc>
        <w:tc>
          <w:tcPr>
            <w:tcW w:w="300" w:type="dxa"/>
            <w:vAlign w:val="bottom"/>
          </w:tcPr>
          <w:p>
            <w:pPr>
              <w:jc w:val="right"/>
              <w:ind w:right="111"/>
              <w:spacing w:after="0" w:line="194" w:lineRule="exact"/>
              <w:rPr>
                <w:sz w:val="20"/>
                <w:szCs w:val="20"/>
                <w:color w:val="auto"/>
              </w:rPr>
            </w:pPr>
            <w:r>
              <w:rPr>
                <w:rFonts w:ascii="Arial" w:cs="Arial" w:eastAsia="Arial" w:hAnsi="Arial"/>
                <w:sz w:val="18"/>
                <w:szCs w:val="18"/>
                <w:color w:val="auto"/>
                <w:w w:val="79"/>
              </w:rPr>
              <w:t>$</w:t>
            </w:r>
          </w:p>
        </w:tc>
        <w:tc>
          <w:tcPr>
            <w:tcW w:w="940" w:type="dxa"/>
            <w:vAlign w:val="bottom"/>
          </w:tcPr>
          <w:p>
            <w:pPr>
              <w:jc w:val="right"/>
              <w:ind w:right="11"/>
              <w:spacing w:after="0" w:line="194" w:lineRule="exact"/>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27"/>
        </w:trPr>
        <w:tc>
          <w:tcPr>
            <w:tcW w:w="5960" w:type="dxa"/>
            <w:vAlign w:val="bottom"/>
          </w:tcPr>
          <w:p>
            <w:pPr>
              <w:spacing w:after="0"/>
              <w:rPr>
                <w:sz w:val="20"/>
                <w:szCs w:val="20"/>
                <w:color w:val="auto"/>
              </w:rPr>
            </w:pPr>
            <w:r>
              <w:rPr>
                <w:rFonts w:ascii="Arial" w:cs="Arial" w:eastAsia="Arial" w:hAnsi="Arial"/>
                <w:sz w:val="18"/>
                <w:szCs w:val="18"/>
                <w:color w:val="auto"/>
              </w:rPr>
              <w:t>Weighted average common shares outstanding - basic / diluted</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58,141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57,840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58,111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57,803</w:t>
            </w:r>
          </w:p>
        </w:tc>
        <w:tc>
          <w:tcPr>
            <w:tcW w:w="0" w:type="dxa"/>
            <w:vAlign w:val="bottom"/>
          </w:tcPr>
          <w:p>
            <w:pPr>
              <w:spacing w:after="0"/>
              <w:rPr>
                <w:sz w:val="1"/>
                <w:szCs w:val="1"/>
                <w:color w:val="auto"/>
              </w:rPr>
            </w:pPr>
          </w:p>
        </w:tc>
      </w:tr>
    </w:tbl>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13970</wp:posOffset>
            </wp:positionV>
            <wp:extent cx="724789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7890" cy="8255"/>
                    </a:xfrm>
                    <a:prstGeom prst="rect">
                      <a:avLst/>
                    </a:prstGeom>
                    <a:noFill/>
                  </pic:spPr>
                </pic:pic>
              </a:graphicData>
            </a:graphic>
          </wp:anchor>
        </w:drawing>
      </w:r>
    </w:p>
    <w:p>
      <w:pPr>
        <w:sectPr>
          <w:pgSz w:w="11900" w:h="16838" w:orient="portrait"/>
          <w:cols w:equalWidth="0" w:num="1">
            <w:col w:w="11420"/>
          </w:cols>
          <w:pgMar w:left="240" w:top="912" w:right="2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UNITED COMMUNITY BANKS, INC.</w:t>
      </w:r>
    </w:p>
    <w:p>
      <w:pPr>
        <w:spacing w:after="0" w:line="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Consolidated Statement of Comprehensive Income </w:t>
      </w:r>
      <w:r>
        <w:rPr>
          <w:rFonts w:ascii="Arial" w:cs="Arial" w:eastAsia="Arial" w:hAnsi="Arial"/>
          <w:sz w:val="18"/>
          <w:szCs w:val="18"/>
          <w:i w:val="1"/>
          <w:iCs w:val="1"/>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4820" w:type="dxa"/>
            <w:vAlign w:val="bottom"/>
            <w:tcBorders>
              <w:top w:val="single" w:sz="8" w:color="auto"/>
            </w:tcBorders>
          </w:tcPr>
          <w:p>
            <w:pPr>
              <w:spacing w:after="0"/>
              <w:rPr>
                <w:sz w:val="20"/>
                <w:szCs w:val="20"/>
                <w:color w:val="auto"/>
              </w:rPr>
            </w:pPr>
            <w:r>
              <w:rPr>
                <w:rFonts w:ascii="Arial" w:cs="Arial" w:eastAsia="Arial" w:hAnsi="Arial"/>
                <w:sz w:val="18"/>
                <w:szCs w:val="18"/>
                <w:i w:val="1"/>
                <w:iCs w:val="1"/>
                <w:color w:val="auto"/>
              </w:rPr>
              <w:t>(in thousands)</w:t>
            </w:r>
          </w:p>
        </w:tc>
        <w:tc>
          <w:tcPr>
            <w:tcW w:w="100" w:type="dxa"/>
            <w:vAlign w:val="bottom"/>
            <w:tcBorders>
              <w:top w:val="single" w:sz="8" w:color="auto"/>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3060" w:type="dxa"/>
            <w:vAlign w:val="bottom"/>
            <w:tcBorders>
              <w:top w:val="single" w:sz="8" w:color="auto"/>
              <w:bottom w:val="single" w:sz="8" w:color="auto"/>
            </w:tcBorders>
            <w:gridSpan w:val="7"/>
          </w:tcPr>
          <w:p>
            <w:pPr>
              <w:jc w:val="center"/>
              <w:ind w:right="111"/>
              <w:spacing w:after="0"/>
              <w:rPr>
                <w:sz w:val="20"/>
                <w:szCs w:val="20"/>
                <w:color w:val="auto"/>
              </w:rPr>
            </w:pPr>
            <w:r>
              <w:rPr>
                <w:rFonts w:ascii="Arial" w:cs="Arial" w:eastAsia="Arial" w:hAnsi="Arial"/>
                <w:sz w:val="18"/>
                <w:szCs w:val="18"/>
                <w:b w:val="1"/>
                <w:bCs w:val="1"/>
                <w:color w:val="auto"/>
                <w:w w:val="90"/>
              </w:rPr>
              <w:t>Three Months Ended June 30,</w:t>
            </w:r>
          </w:p>
        </w:tc>
        <w:tc>
          <w:tcPr>
            <w:tcW w:w="120" w:type="dxa"/>
            <w:vAlign w:val="bottom"/>
            <w:tcBorders>
              <w:top w:val="single" w:sz="8" w:color="auto"/>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3120" w:type="dxa"/>
            <w:vAlign w:val="bottom"/>
            <w:tcBorders>
              <w:top w:val="single" w:sz="8" w:color="auto"/>
              <w:bottom w:val="single" w:sz="8" w:color="auto"/>
            </w:tcBorders>
            <w:gridSpan w:val="7"/>
          </w:tcPr>
          <w:p>
            <w:pPr>
              <w:jc w:val="center"/>
              <w:ind w:right="131"/>
              <w:spacing w:after="0"/>
              <w:rPr>
                <w:sz w:val="20"/>
                <w:szCs w:val="20"/>
                <w:color w:val="auto"/>
              </w:rPr>
            </w:pPr>
            <w:r>
              <w:rPr>
                <w:rFonts w:ascii="Arial" w:cs="Arial" w:eastAsia="Arial" w:hAnsi="Arial"/>
                <w:sz w:val="18"/>
                <w:szCs w:val="18"/>
                <w:b w:val="1"/>
                <w:bCs w:val="1"/>
                <w:color w:val="auto"/>
                <w:w w:val="90"/>
              </w:rPr>
              <w:t>Six Months Ended June 30,</w:t>
            </w:r>
          </w:p>
        </w:tc>
        <w:tc>
          <w:tcPr>
            <w:tcW w:w="0" w:type="dxa"/>
            <w:vAlign w:val="bottom"/>
          </w:tcPr>
          <w:p>
            <w:pPr>
              <w:spacing w:after="0"/>
              <w:rPr>
                <w:sz w:val="1"/>
                <w:szCs w:val="1"/>
                <w:color w:val="auto"/>
              </w:rPr>
            </w:pPr>
          </w:p>
        </w:tc>
      </w:tr>
      <w:tr>
        <w:trPr>
          <w:trHeight w:val="196"/>
        </w:trPr>
        <w:tc>
          <w:tcPr>
            <w:tcW w:w="4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center"/>
              <w:ind w:right="131"/>
              <w:spacing w:after="0" w:line="196" w:lineRule="exact"/>
              <w:rPr>
                <w:sz w:val="20"/>
                <w:szCs w:val="20"/>
                <w:color w:val="auto"/>
              </w:rPr>
            </w:pPr>
            <w:r>
              <w:rPr>
                <w:rFonts w:ascii="Arial" w:cs="Arial" w:eastAsia="Arial" w:hAnsi="Arial"/>
                <w:sz w:val="18"/>
                <w:szCs w:val="18"/>
                <w:b w:val="1"/>
                <w:bCs w:val="1"/>
                <w:color w:val="auto"/>
                <w:w w:val="88"/>
              </w:rPr>
              <w:t>Before-</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jc w:val="center"/>
              <w:ind w:right="131"/>
              <w:spacing w:after="0" w:line="196" w:lineRule="exact"/>
              <w:rPr>
                <w:sz w:val="20"/>
                <w:szCs w:val="20"/>
                <w:color w:val="auto"/>
              </w:rPr>
            </w:pPr>
            <w:r>
              <w:rPr>
                <w:rFonts w:ascii="Arial" w:cs="Arial" w:eastAsia="Arial" w:hAnsi="Arial"/>
                <w:sz w:val="18"/>
                <w:szCs w:val="18"/>
                <w:b w:val="1"/>
                <w:bCs w:val="1"/>
                <w:color w:val="auto"/>
                <w:w w:val="90"/>
              </w:rPr>
              <w:t>Tax</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center"/>
              <w:ind w:right="131"/>
              <w:spacing w:after="0" w:line="196" w:lineRule="exact"/>
              <w:rPr>
                <w:sz w:val="20"/>
                <w:szCs w:val="20"/>
                <w:color w:val="auto"/>
              </w:rPr>
            </w:pPr>
            <w:r>
              <w:rPr>
                <w:rFonts w:ascii="Arial" w:cs="Arial" w:eastAsia="Arial" w:hAnsi="Arial"/>
                <w:sz w:val="18"/>
                <w:szCs w:val="18"/>
                <w:b w:val="1"/>
                <w:bCs w:val="1"/>
                <w:color w:val="auto"/>
                <w:w w:val="88"/>
              </w:rPr>
              <w:t>Before-</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jc w:val="center"/>
              <w:ind w:right="131"/>
              <w:spacing w:after="0" w:line="196" w:lineRule="exact"/>
              <w:rPr>
                <w:sz w:val="20"/>
                <w:szCs w:val="20"/>
                <w:color w:val="auto"/>
              </w:rPr>
            </w:pPr>
            <w:r>
              <w:rPr>
                <w:rFonts w:ascii="Arial" w:cs="Arial" w:eastAsia="Arial" w:hAnsi="Arial"/>
                <w:sz w:val="18"/>
                <w:szCs w:val="18"/>
                <w:b w:val="1"/>
                <w:bCs w:val="1"/>
                <w:color w:val="auto"/>
                <w:w w:val="90"/>
              </w:rPr>
              <w:t>Tax</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4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center"/>
              <w:ind w:right="131"/>
              <w:spacing w:after="0"/>
              <w:rPr>
                <w:sz w:val="20"/>
                <w:szCs w:val="20"/>
                <w:color w:val="auto"/>
              </w:rPr>
            </w:pPr>
            <w:r>
              <w:rPr>
                <w:rFonts w:ascii="Arial" w:cs="Arial" w:eastAsia="Arial" w:hAnsi="Arial"/>
                <w:sz w:val="18"/>
                <w:szCs w:val="18"/>
                <w:b w:val="1"/>
                <w:bCs w:val="1"/>
                <w:color w:val="auto"/>
                <w:w w:val="92"/>
              </w:rPr>
              <w:t>tax</w:t>
            </w:r>
          </w:p>
        </w:tc>
        <w:tc>
          <w:tcPr>
            <w:tcW w:w="120" w:type="dxa"/>
            <w:vAlign w:val="bottom"/>
          </w:tcPr>
          <w:p>
            <w:pPr>
              <w:spacing w:after="0"/>
              <w:rPr>
                <w:sz w:val="18"/>
                <w:szCs w:val="18"/>
                <w:color w:val="auto"/>
              </w:rPr>
            </w:pPr>
          </w:p>
        </w:tc>
        <w:tc>
          <w:tcPr>
            <w:tcW w:w="980" w:type="dxa"/>
            <w:vAlign w:val="bottom"/>
            <w:gridSpan w:val="2"/>
          </w:tcPr>
          <w:p>
            <w:pPr>
              <w:jc w:val="center"/>
              <w:ind w:right="11"/>
              <w:spacing w:after="0"/>
              <w:rPr>
                <w:sz w:val="20"/>
                <w:szCs w:val="20"/>
                <w:color w:val="auto"/>
              </w:rPr>
            </w:pPr>
            <w:r>
              <w:rPr>
                <w:rFonts w:ascii="Arial" w:cs="Arial" w:eastAsia="Arial" w:hAnsi="Arial"/>
                <w:sz w:val="18"/>
                <w:szCs w:val="18"/>
                <w:b w:val="1"/>
                <w:bCs w:val="1"/>
                <w:color w:val="auto"/>
                <w:w w:val="88"/>
              </w:rPr>
              <w:t>(Expense)</w:t>
            </w:r>
          </w:p>
        </w:tc>
        <w:tc>
          <w:tcPr>
            <w:tcW w:w="120" w:type="dxa"/>
            <w:vAlign w:val="bottom"/>
          </w:tcPr>
          <w:p>
            <w:pPr>
              <w:spacing w:after="0"/>
              <w:rPr>
                <w:sz w:val="18"/>
                <w:szCs w:val="18"/>
                <w:color w:val="auto"/>
              </w:rPr>
            </w:pPr>
          </w:p>
        </w:tc>
        <w:tc>
          <w:tcPr>
            <w:tcW w:w="980" w:type="dxa"/>
            <w:vAlign w:val="bottom"/>
            <w:gridSpan w:val="2"/>
          </w:tcPr>
          <w:p>
            <w:pPr>
              <w:jc w:val="right"/>
              <w:ind w:right="71"/>
              <w:spacing w:after="0"/>
              <w:rPr>
                <w:sz w:val="20"/>
                <w:szCs w:val="20"/>
                <w:color w:val="auto"/>
              </w:rPr>
            </w:pPr>
            <w:r>
              <w:rPr>
                <w:rFonts w:ascii="Arial" w:cs="Arial" w:eastAsia="Arial" w:hAnsi="Arial"/>
                <w:sz w:val="18"/>
                <w:szCs w:val="18"/>
                <w:b w:val="1"/>
                <w:bCs w:val="1"/>
                <w:color w:val="auto"/>
                <w:w w:val="91"/>
              </w:rPr>
              <w:t>Net of Tax</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center"/>
              <w:ind w:right="131"/>
              <w:spacing w:after="0"/>
              <w:rPr>
                <w:sz w:val="20"/>
                <w:szCs w:val="20"/>
                <w:color w:val="auto"/>
              </w:rPr>
            </w:pPr>
            <w:r>
              <w:rPr>
                <w:rFonts w:ascii="Arial" w:cs="Arial" w:eastAsia="Arial" w:hAnsi="Arial"/>
                <w:sz w:val="18"/>
                <w:szCs w:val="18"/>
                <w:b w:val="1"/>
                <w:bCs w:val="1"/>
                <w:color w:val="auto"/>
                <w:w w:val="92"/>
              </w:rPr>
              <w:t>tax</w:t>
            </w:r>
          </w:p>
        </w:tc>
        <w:tc>
          <w:tcPr>
            <w:tcW w:w="100" w:type="dxa"/>
            <w:vAlign w:val="bottom"/>
          </w:tcPr>
          <w:p>
            <w:pPr>
              <w:spacing w:after="0"/>
              <w:rPr>
                <w:sz w:val="18"/>
                <w:szCs w:val="18"/>
                <w:color w:val="auto"/>
              </w:rPr>
            </w:pPr>
          </w:p>
        </w:tc>
        <w:tc>
          <w:tcPr>
            <w:tcW w:w="1000" w:type="dxa"/>
            <w:vAlign w:val="bottom"/>
            <w:gridSpan w:val="2"/>
          </w:tcPr>
          <w:p>
            <w:pPr>
              <w:jc w:val="center"/>
              <w:ind w:right="11"/>
              <w:spacing w:after="0"/>
              <w:rPr>
                <w:sz w:val="20"/>
                <w:szCs w:val="20"/>
                <w:color w:val="auto"/>
              </w:rPr>
            </w:pPr>
            <w:r>
              <w:rPr>
                <w:rFonts w:ascii="Arial" w:cs="Arial" w:eastAsia="Arial" w:hAnsi="Arial"/>
                <w:sz w:val="18"/>
                <w:szCs w:val="18"/>
                <w:b w:val="1"/>
                <w:bCs w:val="1"/>
                <w:color w:val="auto"/>
                <w:w w:val="85"/>
              </w:rPr>
              <w:t>(Expense)</w:t>
            </w:r>
          </w:p>
        </w:tc>
        <w:tc>
          <w:tcPr>
            <w:tcW w:w="120" w:type="dxa"/>
            <w:vAlign w:val="bottom"/>
          </w:tcPr>
          <w:p>
            <w:pPr>
              <w:spacing w:after="0"/>
              <w:rPr>
                <w:sz w:val="18"/>
                <w:szCs w:val="18"/>
                <w:color w:val="auto"/>
              </w:rPr>
            </w:pPr>
          </w:p>
        </w:tc>
        <w:tc>
          <w:tcPr>
            <w:tcW w:w="1000" w:type="dxa"/>
            <w:vAlign w:val="bottom"/>
            <w:gridSpan w:val="2"/>
          </w:tcPr>
          <w:p>
            <w:pPr>
              <w:jc w:val="right"/>
              <w:ind w:right="71"/>
              <w:spacing w:after="0"/>
              <w:rPr>
                <w:sz w:val="20"/>
                <w:szCs w:val="20"/>
                <w:color w:val="auto"/>
              </w:rPr>
            </w:pPr>
            <w:r>
              <w:rPr>
                <w:rFonts w:ascii="Arial" w:cs="Arial" w:eastAsia="Arial" w:hAnsi="Arial"/>
                <w:sz w:val="18"/>
                <w:szCs w:val="18"/>
                <w:b w:val="1"/>
                <w:bCs w:val="1"/>
                <w:color w:val="auto"/>
                <w:w w:val="94"/>
              </w:rPr>
              <w:t>Net of Tax</w:t>
            </w:r>
          </w:p>
        </w:tc>
        <w:tc>
          <w:tcPr>
            <w:tcW w:w="0" w:type="dxa"/>
            <w:vAlign w:val="bottom"/>
          </w:tcPr>
          <w:p>
            <w:pPr>
              <w:spacing w:after="0"/>
              <w:rPr>
                <w:sz w:val="1"/>
                <w:szCs w:val="1"/>
                <w:color w:val="auto"/>
              </w:rPr>
            </w:pPr>
          </w:p>
        </w:tc>
      </w:tr>
      <w:tr>
        <w:trPr>
          <w:trHeight w:val="239"/>
        </w:trPr>
        <w:tc>
          <w:tcPr>
            <w:tcW w:w="48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center"/>
              <w:ind w:right="111"/>
              <w:spacing w:after="0"/>
              <w:rPr>
                <w:sz w:val="20"/>
                <w:szCs w:val="20"/>
                <w:color w:val="auto"/>
              </w:rPr>
            </w:pPr>
            <w:r>
              <w:rPr>
                <w:rFonts w:ascii="Arial" w:cs="Arial" w:eastAsia="Arial" w:hAnsi="Arial"/>
                <w:sz w:val="18"/>
                <w:szCs w:val="18"/>
                <w:b w:val="1"/>
                <w:bCs w:val="1"/>
                <w:color w:val="auto"/>
                <w:w w:val="91"/>
              </w:rPr>
              <w:t>Amount</w:t>
            </w: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center"/>
              <w:ind w:right="131"/>
              <w:spacing w:after="0"/>
              <w:rPr>
                <w:sz w:val="20"/>
                <w:szCs w:val="20"/>
                <w:color w:val="auto"/>
              </w:rPr>
            </w:pPr>
            <w:r>
              <w:rPr>
                <w:rFonts w:ascii="Arial" w:cs="Arial" w:eastAsia="Arial" w:hAnsi="Arial"/>
                <w:sz w:val="18"/>
                <w:szCs w:val="18"/>
                <w:b w:val="1"/>
                <w:bCs w:val="1"/>
                <w:color w:val="auto"/>
                <w:w w:val="91"/>
              </w:rPr>
              <w:t>Benefit</w:t>
            </w: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b w:val="1"/>
                <w:bCs w:val="1"/>
                <w:color w:val="auto"/>
                <w:w w:val="91"/>
              </w:rPr>
              <w:t>Amount</w:t>
            </w: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ind w:right="131"/>
              <w:spacing w:after="0"/>
              <w:rPr>
                <w:sz w:val="20"/>
                <w:szCs w:val="20"/>
                <w:color w:val="auto"/>
              </w:rPr>
            </w:pPr>
            <w:r>
              <w:rPr>
                <w:rFonts w:ascii="Arial" w:cs="Arial" w:eastAsia="Arial" w:hAnsi="Arial"/>
                <w:sz w:val="18"/>
                <w:szCs w:val="18"/>
                <w:b w:val="1"/>
                <w:bCs w:val="1"/>
                <w:color w:val="auto"/>
                <w:w w:val="94"/>
              </w:rPr>
              <w:t>Amount</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center"/>
              <w:ind w:right="151"/>
              <w:spacing w:after="0"/>
              <w:rPr>
                <w:sz w:val="20"/>
                <w:szCs w:val="20"/>
                <w:color w:val="auto"/>
              </w:rPr>
            </w:pPr>
            <w:r>
              <w:rPr>
                <w:rFonts w:ascii="Arial" w:cs="Arial" w:eastAsia="Arial" w:hAnsi="Arial"/>
                <w:sz w:val="18"/>
                <w:szCs w:val="18"/>
                <w:b w:val="1"/>
                <w:bCs w:val="1"/>
                <w:color w:val="auto"/>
                <w:w w:val="88"/>
              </w:rPr>
              <w:t>Benefit</w:t>
            </w: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b w:val="1"/>
                <w:bCs w:val="1"/>
                <w:color w:val="auto"/>
                <w:w w:val="94"/>
              </w:rPr>
              <w:t>Amount</w:t>
            </w:r>
          </w:p>
        </w:tc>
        <w:tc>
          <w:tcPr>
            <w:tcW w:w="0" w:type="dxa"/>
            <w:vAlign w:val="bottom"/>
          </w:tcPr>
          <w:p>
            <w:pPr>
              <w:spacing w:after="0"/>
              <w:rPr>
                <w:sz w:val="1"/>
                <w:szCs w:val="1"/>
                <w:color w:val="auto"/>
              </w:rPr>
            </w:pPr>
          </w:p>
        </w:tc>
      </w:tr>
      <w:tr>
        <w:trPr>
          <w:trHeight w:val="414"/>
        </w:trPr>
        <w:tc>
          <w:tcPr>
            <w:tcW w:w="4820" w:type="dxa"/>
            <w:vAlign w:val="bottom"/>
          </w:tcPr>
          <w:p>
            <w:pPr>
              <w:spacing w:after="0"/>
              <w:rPr>
                <w:sz w:val="20"/>
                <w:szCs w:val="20"/>
                <w:color w:val="auto"/>
              </w:rPr>
            </w:pPr>
            <w:r>
              <w:rPr>
                <w:rFonts w:ascii="Arial" w:cs="Arial" w:eastAsia="Arial" w:hAnsi="Arial"/>
                <w:sz w:val="18"/>
                <w:szCs w:val="18"/>
                <w:color w:val="auto"/>
              </w:rPr>
              <w:t>Net (loss) income</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(26,817)</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256,781</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229,964</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(14,467)</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256,196</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241,729</w:t>
            </w:r>
          </w:p>
        </w:tc>
        <w:tc>
          <w:tcPr>
            <w:tcW w:w="0" w:type="dxa"/>
            <w:vAlign w:val="bottom"/>
          </w:tcPr>
          <w:p>
            <w:pPr>
              <w:spacing w:after="0"/>
              <w:rPr>
                <w:sz w:val="1"/>
                <w:szCs w:val="1"/>
                <w:color w:val="auto"/>
              </w:rPr>
            </w:pPr>
          </w:p>
        </w:tc>
      </w:tr>
      <w:tr>
        <w:trPr>
          <w:trHeight w:val="214"/>
        </w:trPr>
        <w:tc>
          <w:tcPr>
            <w:tcW w:w="4820" w:type="dxa"/>
            <w:vAlign w:val="bottom"/>
          </w:tcPr>
          <w:p>
            <w:pPr>
              <w:spacing w:after="0"/>
              <w:rPr>
                <w:sz w:val="20"/>
                <w:szCs w:val="20"/>
                <w:color w:val="auto"/>
              </w:rPr>
            </w:pPr>
            <w:r>
              <w:rPr>
                <w:rFonts w:ascii="Arial" w:cs="Arial" w:eastAsia="Arial" w:hAnsi="Arial"/>
                <w:sz w:val="18"/>
                <w:szCs w:val="18"/>
                <w:color w:val="auto"/>
              </w:rPr>
              <w:t>Other comprehensive income (loss):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820" w:type="dxa"/>
            <w:vAlign w:val="bottom"/>
          </w:tcPr>
          <w:p>
            <w:pPr>
              <w:ind w:left="160"/>
              <w:spacing w:after="0"/>
              <w:rPr>
                <w:sz w:val="20"/>
                <w:szCs w:val="20"/>
                <w:color w:val="auto"/>
              </w:rPr>
            </w:pPr>
            <w:r>
              <w:rPr>
                <w:rFonts w:ascii="Arial" w:cs="Arial" w:eastAsia="Arial" w:hAnsi="Arial"/>
                <w:sz w:val="18"/>
                <w:szCs w:val="18"/>
                <w:color w:val="auto"/>
              </w:rPr>
              <w:t>Unrealized (losses) gains on available-for-sale securities: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820" w:type="dxa"/>
            <w:vAlign w:val="bottom"/>
          </w:tcPr>
          <w:p>
            <w:pPr>
              <w:ind w:left="480"/>
              <w:spacing w:after="0"/>
              <w:rPr>
                <w:sz w:val="20"/>
                <w:szCs w:val="20"/>
                <w:color w:val="auto"/>
              </w:rPr>
            </w:pPr>
            <w:r>
              <w:rPr>
                <w:rFonts w:ascii="Arial" w:cs="Arial" w:eastAsia="Arial" w:hAnsi="Arial"/>
                <w:sz w:val="18"/>
                <w:szCs w:val="18"/>
                <w:color w:val="auto"/>
                <w:w w:val="99"/>
              </w:rPr>
              <w:t>Unrealized holding gains (losses) arising during period</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(15,358)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5,798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(9,560)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(13,717)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5,177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(8,540)</w:t>
            </w:r>
          </w:p>
        </w:tc>
        <w:tc>
          <w:tcPr>
            <w:tcW w:w="0" w:type="dxa"/>
            <w:vAlign w:val="bottom"/>
          </w:tcPr>
          <w:p>
            <w:pPr>
              <w:spacing w:after="0"/>
              <w:rPr>
                <w:sz w:val="1"/>
                <w:szCs w:val="1"/>
                <w:color w:val="auto"/>
              </w:rPr>
            </w:pPr>
          </w:p>
        </w:tc>
      </w:tr>
      <w:tr>
        <w:trPr>
          <w:trHeight w:val="214"/>
        </w:trPr>
        <w:tc>
          <w:tcPr>
            <w:tcW w:w="4820" w:type="dxa"/>
            <w:vAlign w:val="bottom"/>
          </w:tcPr>
          <w:p>
            <w:pPr>
              <w:ind w:left="480"/>
              <w:spacing w:after="0"/>
              <w:rPr>
                <w:sz w:val="20"/>
                <w:szCs w:val="20"/>
                <w:color w:val="auto"/>
              </w:rPr>
            </w:pPr>
            <w:r>
              <w:rPr>
                <w:rFonts w:ascii="Arial" w:cs="Arial" w:eastAsia="Arial" w:hAnsi="Arial"/>
                <w:sz w:val="18"/>
                <w:szCs w:val="18"/>
                <w:color w:val="auto"/>
                <w:w w:val="90"/>
              </w:rPr>
              <w:t>Reclassification adjustment for gains included in net income</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14"/>
        </w:trPr>
        <w:tc>
          <w:tcPr>
            <w:tcW w:w="4820" w:type="dxa"/>
            <w:vAlign w:val="bottom"/>
          </w:tcPr>
          <w:p>
            <w:pPr>
              <w:ind w:left="480"/>
              <w:spacing w:after="0"/>
              <w:rPr>
                <w:sz w:val="20"/>
                <w:szCs w:val="20"/>
                <w:color w:val="auto"/>
              </w:rPr>
            </w:pPr>
            <w:r>
              <w:rPr>
                <w:rFonts w:ascii="Arial" w:cs="Arial" w:eastAsia="Arial" w:hAnsi="Arial"/>
                <w:sz w:val="18"/>
                <w:szCs w:val="18"/>
                <w:color w:val="auto"/>
              </w:rPr>
              <w:t>Adjustment of valuation allowance for the change in</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820" w:type="dxa"/>
            <w:vAlign w:val="bottom"/>
          </w:tcPr>
          <w:p>
            <w:pPr>
              <w:ind w:left="660"/>
              <w:spacing w:after="0"/>
              <w:rPr>
                <w:sz w:val="20"/>
                <w:szCs w:val="20"/>
                <w:color w:val="auto"/>
              </w:rPr>
            </w:pPr>
            <w:r>
              <w:rPr>
                <w:rFonts w:ascii="Arial" w:cs="Arial" w:eastAsia="Arial" w:hAnsi="Arial"/>
                <w:sz w:val="18"/>
                <w:szCs w:val="18"/>
                <w:color w:val="auto"/>
                <w:w w:val="88"/>
              </w:rPr>
              <w:t>deferred taxes arising from unrealized gains and losses on</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820" w:type="dxa"/>
            <w:vAlign w:val="bottom"/>
          </w:tcPr>
          <w:p>
            <w:pPr>
              <w:ind w:left="660"/>
              <w:spacing w:after="0"/>
              <w:rPr>
                <w:sz w:val="20"/>
                <w:szCs w:val="20"/>
                <w:color w:val="auto"/>
              </w:rPr>
            </w:pPr>
            <w:r>
              <w:rPr>
                <w:rFonts w:ascii="Arial" w:cs="Arial" w:eastAsia="Arial" w:hAnsi="Arial"/>
                <w:sz w:val="18"/>
                <w:szCs w:val="18"/>
                <w:color w:val="auto"/>
                <w:w w:val="99"/>
              </w:rPr>
              <w:t>available-for-sale securities and release of valuation</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4820" w:type="dxa"/>
            <w:vAlign w:val="bottom"/>
          </w:tcPr>
          <w:p>
            <w:pPr>
              <w:ind w:left="660"/>
              <w:spacing w:after="0"/>
              <w:rPr>
                <w:sz w:val="20"/>
                <w:szCs w:val="20"/>
                <w:color w:val="auto"/>
              </w:rPr>
            </w:pPr>
            <w:r>
              <w:rPr>
                <w:rFonts w:ascii="Arial" w:cs="Arial" w:eastAsia="Arial" w:hAnsi="Arial"/>
                <w:sz w:val="18"/>
                <w:szCs w:val="18"/>
                <w:color w:val="auto"/>
              </w:rPr>
              <w:t>allowance</w:t>
            </w: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(3,526)</w:t>
            </w: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(3,526)</w:t>
            </w: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(2,950)</w:t>
            </w: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(2,950)</w:t>
            </w:r>
          </w:p>
        </w:tc>
        <w:tc>
          <w:tcPr>
            <w:tcW w:w="0" w:type="dxa"/>
            <w:vAlign w:val="bottom"/>
          </w:tcPr>
          <w:p>
            <w:pPr>
              <w:spacing w:after="0"/>
              <w:rPr>
                <w:sz w:val="1"/>
                <w:szCs w:val="1"/>
                <w:color w:val="auto"/>
              </w:rPr>
            </w:pPr>
          </w:p>
        </w:tc>
      </w:tr>
      <w:tr>
        <w:trPr>
          <w:trHeight w:val="200"/>
        </w:trPr>
        <w:tc>
          <w:tcPr>
            <w:tcW w:w="4820" w:type="dxa"/>
            <w:vAlign w:val="bottom"/>
          </w:tcPr>
          <w:p>
            <w:pPr>
              <w:ind w:left="480"/>
              <w:spacing w:after="0" w:line="200" w:lineRule="exact"/>
              <w:rPr>
                <w:sz w:val="20"/>
                <w:szCs w:val="20"/>
                <w:color w:val="auto"/>
              </w:rPr>
            </w:pPr>
            <w:r>
              <w:rPr>
                <w:rFonts w:ascii="Arial" w:cs="Arial" w:eastAsia="Arial" w:hAnsi="Arial"/>
                <w:sz w:val="18"/>
                <w:szCs w:val="18"/>
                <w:color w:val="auto"/>
              </w:rPr>
              <w:t>Net unrealized gains (losses)</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spacing w:after="0" w:line="200" w:lineRule="exact"/>
              <w:rPr>
                <w:sz w:val="20"/>
                <w:szCs w:val="20"/>
                <w:color w:val="auto"/>
              </w:rPr>
            </w:pPr>
            <w:r>
              <w:rPr>
                <w:rFonts w:ascii="Arial" w:cs="Arial" w:eastAsia="Arial" w:hAnsi="Arial"/>
                <w:sz w:val="18"/>
                <w:szCs w:val="18"/>
                <w:color w:val="auto"/>
              </w:rPr>
              <w:t>(15,358)</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jc w:val="right"/>
              <w:ind w:right="11"/>
              <w:spacing w:after="0" w:line="200" w:lineRule="exact"/>
              <w:rPr>
                <w:sz w:val="20"/>
                <w:szCs w:val="20"/>
                <w:color w:val="auto"/>
              </w:rPr>
            </w:pPr>
            <w:r>
              <w:rPr>
                <w:rFonts w:ascii="Arial" w:cs="Arial" w:eastAsia="Arial" w:hAnsi="Arial"/>
                <w:sz w:val="18"/>
                <w:szCs w:val="18"/>
                <w:color w:val="auto"/>
              </w:rPr>
              <w:t>2,272</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spacing w:after="0" w:line="200" w:lineRule="exact"/>
              <w:rPr>
                <w:sz w:val="20"/>
                <w:szCs w:val="20"/>
                <w:color w:val="auto"/>
              </w:rPr>
            </w:pPr>
            <w:r>
              <w:rPr>
                <w:rFonts w:ascii="Arial" w:cs="Arial" w:eastAsia="Arial" w:hAnsi="Arial"/>
                <w:sz w:val="18"/>
                <w:szCs w:val="18"/>
                <w:color w:val="auto"/>
              </w:rPr>
              <w:t>(13,086)</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spacing w:after="0" w:line="200" w:lineRule="exact"/>
              <w:rPr>
                <w:sz w:val="20"/>
                <w:szCs w:val="20"/>
                <w:color w:val="auto"/>
              </w:rPr>
            </w:pPr>
            <w:r>
              <w:rPr>
                <w:rFonts w:ascii="Arial" w:cs="Arial" w:eastAsia="Arial" w:hAnsi="Arial"/>
                <w:sz w:val="18"/>
                <w:szCs w:val="18"/>
                <w:color w:val="auto"/>
              </w:rPr>
              <w:t>(13,833)</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jc w:val="right"/>
              <w:ind w:right="11"/>
              <w:spacing w:after="0" w:line="200" w:lineRule="exact"/>
              <w:rPr>
                <w:sz w:val="20"/>
                <w:szCs w:val="20"/>
                <w:color w:val="auto"/>
              </w:rPr>
            </w:pPr>
            <w:r>
              <w:rPr>
                <w:rFonts w:ascii="Arial" w:cs="Arial" w:eastAsia="Arial" w:hAnsi="Arial"/>
                <w:sz w:val="18"/>
                <w:szCs w:val="18"/>
                <w:color w:val="auto"/>
              </w:rPr>
              <w:t>2,272</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spacing w:after="0" w:line="200" w:lineRule="exact"/>
              <w:rPr>
                <w:sz w:val="20"/>
                <w:szCs w:val="20"/>
                <w:color w:val="auto"/>
              </w:rPr>
            </w:pPr>
            <w:r>
              <w:rPr>
                <w:rFonts w:ascii="Arial" w:cs="Arial" w:eastAsia="Arial" w:hAnsi="Arial"/>
                <w:sz w:val="18"/>
                <w:szCs w:val="18"/>
                <w:color w:val="auto"/>
              </w:rPr>
              <w:t>(11,561)</w:t>
            </w:r>
          </w:p>
        </w:tc>
        <w:tc>
          <w:tcPr>
            <w:tcW w:w="0" w:type="dxa"/>
            <w:vAlign w:val="bottom"/>
          </w:tcPr>
          <w:p>
            <w:pPr>
              <w:spacing w:after="0"/>
              <w:rPr>
                <w:sz w:val="1"/>
                <w:szCs w:val="1"/>
                <w:color w:val="auto"/>
              </w:rPr>
            </w:pPr>
          </w:p>
        </w:tc>
      </w:tr>
      <w:tr>
        <w:trPr>
          <w:trHeight w:val="214"/>
        </w:trPr>
        <w:tc>
          <w:tcPr>
            <w:tcW w:w="4820" w:type="dxa"/>
            <w:vAlign w:val="bottom"/>
          </w:tcPr>
          <w:p>
            <w:pPr>
              <w:ind w:left="160"/>
              <w:spacing w:after="0"/>
              <w:rPr>
                <w:sz w:val="20"/>
                <w:szCs w:val="20"/>
                <w:color w:val="auto"/>
              </w:rPr>
            </w:pPr>
            <w:r>
              <w:rPr>
                <w:rFonts w:ascii="Arial" w:cs="Arial" w:eastAsia="Arial" w:hAnsi="Arial"/>
                <w:sz w:val="18"/>
                <w:szCs w:val="18"/>
                <w:color w:val="auto"/>
                <w:w w:val="95"/>
              </w:rPr>
              <w:t>Amortization of gains included in net income on available-for-</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820" w:type="dxa"/>
            <w:vAlign w:val="bottom"/>
          </w:tcPr>
          <w:p>
            <w:pPr>
              <w:ind w:left="320"/>
              <w:spacing w:after="0"/>
              <w:rPr>
                <w:sz w:val="20"/>
                <w:szCs w:val="20"/>
                <w:color w:val="auto"/>
              </w:rPr>
            </w:pPr>
            <w:r>
              <w:rPr>
                <w:rFonts w:ascii="Arial" w:cs="Arial" w:eastAsia="Arial" w:hAnsi="Arial"/>
                <w:sz w:val="18"/>
                <w:szCs w:val="18"/>
                <w:color w:val="auto"/>
              </w:rPr>
              <w:t>sale securities transferred to held-to-maturity</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(271)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103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(590)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227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(363)</w:t>
            </w:r>
          </w:p>
        </w:tc>
        <w:tc>
          <w:tcPr>
            <w:tcW w:w="0" w:type="dxa"/>
            <w:vAlign w:val="bottom"/>
          </w:tcPr>
          <w:p>
            <w:pPr>
              <w:spacing w:after="0"/>
              <w:rPr>
                <w:sz w:val="1"/>
                <w:szCs w:val="1"/>
                <w:color w:val="auto"/>
              </w:rPr>
            </w:pPr>
          </w:p>
        </w:tc>
      </w:tr>
      <w:tr>
        <w:trPr>
          <w:trHeight w:val="214"/>
        </w:trPr>
        <w:tc>
          <w:tcPr>
            <w:tcW w:w="4820" w:type="dxa"/>
            <w:vAlign w:val="bottom"/>
          </w:tcPr>
          <w:p>
            <w:pPr>
              <w:ind w:left="160"/>
              <w:spacing w:after="0"/>
              <w:rPr>
                <w:sz w:val="20"/>
                <w:szCs w:val="20"/>
                <w:color w:val="auto"/>
              </w:rPr>
            </w:pPr>
            <w:r>
              <w:rPr>
                <w:rFonts w:ascii="Arial" w:cs="Arial" w:eastAsia="Arial" w:hAnsi="Arial"/>
                <w:sz w:val="18"/>
                <w:szCs w:val="18"/>
                <w:color w:val="auto"/>
                <w:w w:val="96"/>
              </w:rPr>
              <w:t>Adjustment of valuation allowance for the change in deferred</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820" w:type="dxa"/>
            <w:vAlign w:val="bottom"/>
          </w:tcPr>
          <w:p>
            <w:pPr>
              <w:ind w:left="320"/>
              <w:spacing w:after="0"/>
              <w:rPr>
                <w:sz w:val="20"/>
                <w:szCs w:val="20"/>
                <w:color w:val="auto"/>
              </w:rPr>
            </w:pPr>
            <w:r>
              <w:rPr>
                <w:rFonts w:ascii="Arial" w:cs="Arial" w:eastAsia="Arial" w:hAnsi="Arial"/>
                <w:sz w:val="18"/>
                <w:szCs w:val="18"/>
                <w:color w:val="auto"/>
                <w:w w:val="96"/>
              </w:rPr>
              <w:t>taxes arising from the amortization of gains included in net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820" w:type="dxa"/>
            <w:vAlign w:val="bottom"/>
          </w:tcPr>
          <w:p>
            <w:pPr>
              <w:ind w:left="320"/>
              <w:spacing w:after="0"/>
              <w:rPr>
                <w:sz w:val="20"/>
                <w:szCs w:val="20"/>
                <w:color w:val="auto"/>
              </w:rPr>
            </w:pPr>
            <w:r>
              <w:rPr>
                <w:rFonts w:ascii="Arial" w:cs="Arial" w:eastAsia="Arial" w:hAnsi="Arial"/>
                <w:sz w:val="18"/>
                <w:szCs w:val="18"/>
                <w:color w:val="auto"/>
                <w:w w:val="95"/>
              </w:rPr>
              <w:t>income (loss) on available-for-sale securities transferred to</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4820" w:type="dxa"/>
            <w:vAlign w:val="bottom"/>
          </w:tcPr>
          <w:p>
            <w:pPr>
              <w:ind w:left="320"/>
              <w:spacing w:after="0"/>
              <w:rPr>
                <w:sz w:val="20"/>
                <w:szCs w:val="20"/>
                <w:color w:val="auto"/>
              </w:rPr>
            </w:pPr>
            <w:r>
              <w:rPr>
                <w:rFonts w:ascii="Arial" w:cs="Arial" w:eastAsia="Arial" w:hAnsi="Arial"/>
                <w:sz w:val="18"/>
                <w:szCs w:val="18"/>
                <w:color w:val="auto"/>
              </w:rPr>
              <w:t>held-to-maturity and release of valuation allowance</w:t>
            </w: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1,415</w:t>
            </w: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1,415</w:t>
            </w: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1,293</w:t>
            </w: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1,293</w:t>
            </w:r>
          </w:p>
        </w:tc>
        <w:tc>
          <w:tcPr>
            <w:tcW w:w="0" w:type="dxa"/>
            <w:vAlign w:val="bottom"/>
          </w:tcPr>
          <w:p>
            <w:pPr>
              <w:spacing w:after="0"/>
              <w:rPr>
                <w:sz w:val="1"/>
                <w:szCs w:val="1"/>
                <w:color w:val="auto"/>
              </w:rPr>
            </w:pPr>
          </w:p>
        </w:tc>
      </w:tr>
      <w:tr>
        <w:trPr>
          <w:trHeight w:val="200"/>
        </w:trPr>
        <w:tc>
          <w:tcPr>
            <w:tcW w:w="4820" w:type="dxa"/>
            <w:vAlign w:val="bottom"/>
          </w:tcPr>
          <w:p>
            <w:pPr>
              <w:ind w:left="480"/>
              <w:spacing w:after="0" w:line="200" w:lineRule="exact"/>
              <w:rPr>
                <w:sz w:val="20"/>
                <w:szCs w:val="20"/>
                <w:color w:val="auto"/>
              </w:rPr>
            </w:pPr>
            <w:r>
              <w:rPr>
                <w:rFonts w:ascii="Arial" w:cs="Arial" w:eastAsia="Arial" w:hAnsi="Arial"/>
                <w:sz w:val="18"/>
                <w:szCs w:val="18"/>
                <w:color w:val="auto"/>
              </w:rPr>
              <w:t>Net unrealized losses</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spacing w:after="0" w:line="200" w:lineRule="exact"/>
              <w:rPr>
                <w:sz w:val="20"/>
                <w:szCs w:val="20"/>
                <w:color w:val="auto"/>
              </w:rPr>
            </w:pPr>
            <w:r>
              <w:rPr>
                <w:rFonts w:ascii="Arial" w:cs="Arial" w:eastAsia="Arial" w:hAnsi="Arial"/>
                <w:sz w:val="18"/>
                <w:szCs w:val="18"/>
                <w:color w:val="auto"/>
              </w:rPr>
              <w:t>(271)</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jc w:val="right"/>
              <w:ind w:right="11"/>
              <w:spacing w:after="0" w:line="200" w:lineRule="exact"/>
              <w:rPr>
                <w:sz w:val="20"/>
                <w:szCs w:val="20"/>
                <w:color w:val="auto"/>
              </w:rPr>
            </w:pPr>
            <w:r>
              <w:rPr>
                <w:rFonts w:ascii="Arial" w:cs="Arial" w:eastAsia="Arial" w:hAnsi="Arial"/>
                <w:sz w:val="18"/>
                <w:szCs w:val="18"/>
                <w:color w:val="auto"/>
              </w:rPr>
              <w:t>1,518</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ind w:right="11"/>
              <w:spacing w:after="0" w:line="200" w:lineRule="exact"/>
              <w:rPr>
                <w:sz w:val="20"/>
                <w:szCs w:val="20"/>
                <w:color w:val="auto"/>
              </w:rPr>
            </w:pPr>
            <w:r>
              <w:rPr>
                <w:rFonts w:ascii="Arial" w:cs="Arial" w:eastAsia="Arial" w:hAnsi="Arial"/>
                <w:sz w:val="18"/>
                <w:szCs w:val="18"/>
                <w:color w:val="auto"/>
              </w:rPr>
              <w:t>1,247</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spacing w:after="0" w:line="200" w:lineRule="exact"/>
              <w:rPr>
                <w:sz w:val="20"/>
                <w:szCs w:val="20"/>
                <w:color w:val="auto"/>
              </w:rPr>
            </w:pPr>
            <w:r>
              <w:rPr>
                <w:rFonts w:ascii="Arial" w:cs="Arial" w:eastAsia="Arial" w:hAnsi="Arial"/>
                <w:sz w:val="18"/>
                <w:szCs w:val="18"/>
                <w:color w:val="auto"/>
              </w:rPr>
              <w:t>(590)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jc w:val="right"/>
              <w:ind w:right="11"/>
              <w:spacing w:after="0" w:line="200" w:lineRule="exact"/>
              <w:rPr>
                <w:sz w:val="20"/>
                <w:szCs w:val="20"/>
                <w:color w:val="auto"/>
              </w:rPr>
            </w:pPr>
            <w:r>
              <w:rPr>
                <w:rFonts w:ascii="Arial" w:cs="Arial" w:eastAsia="Arial" w:hAnsi="Arial"/>
                <w:sz w:val="18"/>
                <w:szCs w:val="18"/>
                <w:color w:val="auto"/>
              </w:rPr>
              <w:t>1,520</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ind w:right="11"/>
              <w:spacing w:after="0" w:line="200" w:lineRule="exact"/>
              <w:rPr>
                <w:sz w:val="20"/>
                <w:szCs w:val="20"/>
                <w:color w:val="auto"/>
              </w:rPr>
            </w:pPr>
            <w:r>
              <w:rPr>
                <w:rFonts w:ascii="Arial" w:cs="Arial" w:eastAsia="Arial" w:hAnsi="Arial"/>
                <w:sz w:val="18"/>
                <w:szCs w:val="18"/>
                <w:color w:val="auto"/>
              </w:rPr>
              <w:t>930</w:t>
            </w:r>
          </w:p>
        </w:tc>
        <w:tc>
          <w:tcPr>
            <w:tcW w:w="0" w:type="dxa"/>
            <w:vAlign w:val="bottom"/>
          </w:tcPr>
          <w:p>
            <w:pPr>
              <w:spacing w:after="0"/>
              <w:rPr>
                <w:sz w:val="1"/>
                <w:szCs w:val="1"/>
                <w:color w:val="auto"/>
              </w:rPr>
            </w:pPr>
          </w:p>
        </w:tc>
      </w:tr>
      <w:tr>
        <w:trPr>
          <w:trHeight w:val="214"/>
        </w:trPr>
        <w:tc>
          <w:tcPr>
            <w:tcW w:w="4820" w:type="dxa"/>
            <w:vAlign w:val="bottom"/>
          </w:tcPr>
          <w:p>
            <w:pPr>
              <w:ind w:left="160"/>
              <w:spacing w:after="0"/>
              <w:rPr>
                <w:sz w:val="20"/>
                <w:szCs w:val="20"/>
                <w:color w:val="auto"/>
              </w:rPr>
            </w:pPr>
            <w:r>
              <w:rPr>
                <w:rFonts w:ascii="Arial" w:cs="Arial" w:eastAsia="Arial" w:hAnsi="Arial"/>
                <w:sz w:val="18"/>
                <w:szCs w:val="18"/>
                <w:color w:val="auto"/>
              </w:rPr>
              <w:t>Amounts reclassified into net income on cash flow hedges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(306)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119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(844)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328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(516)</w:t>
            </w:r>
          </w:p>
        </w:tc>
        <w:tc>
          <w:tcPr>
            <w:tcW w:w="0" w:type="dxa"/>
            <w:vAlign w:val="bottom"/>
          </w:tcPr>
          <w:p>
            <w:pPr>
              <w:spacing w:after="0"/>
              <w:rPr>
                <w:sz w:val="1"/>
                <w:szCs w:val="1"/>
                <w:color w:val="auto"/>
              </w:rPr>
            </w:pPr>
          </w:p>
        </w:tc>
      </w:tr>
      <w:tr>
        <w:trPr>
          <w:trHeight w:val="214"/>
        </w:trPr>
        <w:tc>
          <w:tcPr>
            <w:tcW w:w="4820" w:type="dxa"/>
            <w:vAlign w:val="bottom"/>
          </w:tcPr>
          <w:p>
            <w:pPr>
              <w:ind w:left="160"/>
              <w:spacing w:after="0"/>
              <w:rPr>
                <w:sz w:val="20"/>
                <w:szCs w:val="20"/>
                <w:color w:val="auto"/>
              </w:rPr>
            </w:pPr>
            <w:r>
              <w:rPr>
                <w:rFonts w:ascii="Arial" w:cs="Arial" w:eastAsia="Arial" w:hAnsi="Arial"/>
                <w:sz w:val="18"/>
                <w:szCs w:val="18"/>
                <w:color w:val="auto"/>
                <w:w w:val="91"/>
              </w:rPr>
              <w:t>Unrealized losses on derivative financial instruments accounted</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820" w:type="dxa"/>
            <w:vAlign w:val="bottom"/>
          </w:tcPr>
          <w:p>
            <w:pPr>
              <w:ind w:left="320"/>
              <w:spacing w:after="0"/>
              <w:rPr>
                <w:sz w:val="20"/>
                <w:szCs w:val="20"/>
                <w:color w:val="auto"/>
              </w:rPr>
            </w:pPr>
            <w:r>
              <w:rPr>
                <w:rFonts w:ascii="Arial" w:cs="Arial" w:eastAsia="Arial" w:hAnsi="Arial"/>
                <w:sz w:val="18"/>
                <w:szCs w:val="18"/>
                <w:color w:val="auto"/>
              </w:rPr>
              <w:t>for as cash flow hedges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11,672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(4,540)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7,132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12,102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(4,707)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7,395</w:t>
            </w:r>
          </w:p>
        </w:tc>
        <w:tc>
          <w:tcPr>
            <w:tcW w:w="0" w:type="dxa"/>
            <w:vAlign w:val="bottom"/>
          </w:tcPr>
          <w:p>
            <w:pPr>
              <w:spacing w:after="0"/>
              <w:rPr>
                <w:sz w:val="1"/>
                <w:szCs w:val="1"/>
                <w:color w:val="auto"/>
              </w:rPr>
            </w:pPr>
          </w:p>
        </w:tc>
      </w:tr>
      <w:tr>
        <w:trPr>
          <w:trHeight w:val="214"/>
        </w:trPr>
        <w:tc>
          <w:tcPr>
            <w:tcW w:w="4820" w:type="dxa"/>
            <w:vAlign w:val="bottom"/>
          </w:tcPr>
          <w:p>
            <w:pPr>
              <w:ind w:left="160"/>
              <w:spacing w:after="0"/>
              <w:rPr>
                <w:sz w:val="20"/>
                <w:szCs w:val="20"/>
                <w:color w:val="auto"/>
              </w:rPr>
            </w:pPr>
            <w:r>
              <w:rPr>
                <w:rFonts w:ascii="Arial" w:cs="Arial" w:eastAsia="Arial" w:hAnsi="Arial"/>
                <w:sz w:val="18"/>
                <w:szCs w:val="18"/>
                <w:color w:val="auto"/>
                <w:w w:val="96"/>
              </w:rPr>
              <w:t>Adjustment of valuation allowance for the change in deferred</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820" w:type="dxa"/>
            <w:vAlign w:val="bottom"/>
          </w:tcPr>
          <w:p>
            <w:pPr>
              <w:ind w:left="320"/>
              <w:spacing w:after="0"/>
              <w:rPr>
                <w:sz w:val="20"/>
                <w:szCs w:val="20"/>
                <w:color w:val="auto"/>
              </w:rPr>
            </w:pPr>
            <w:r>
              <w:rPr>
                <w:rFonts w:ascii="Arial" w:cs="Arial" w:eastAsia="Arial" w:hAnsi="Arial"/>
                <w:sz w:val="18"/>
                <w:szCs w:val="18"/>
                <w:color w:val="auto"/>
              </w:rPr>
              <w:t>taxes arising from unrealized gains and losses and</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820" w:type="dxa"/>
            <w:vAlign w:val="bottom"/>
          </w:tcPr>
          <w:p>
            <w:pPr>
              <w:ind w:left="320"/>
              <w:spacing w:after="0"/>
              <w:rPr>
                <w:sz w:val="20"/>
                <w:szCs w:val="20"/>
                <w:color w:val="auto"/>
              </w:rPr>
            </w:pPr>
            <w:r>
              <w:rPr>
                <w:rFonts w:ascii="Arial" w:cs="Arial" w:eastAsia="Arial" w:hAnsi="Arial"/>
                <w:sz w:val="18"/>
                <w:szCs w:val="18"/>
                <w:color w:val="auto"/>
                <w:w w:val="98"/>
              </w:rPr>
              <w:t>amortization of gains included in net income on cash flow</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4820" w:type="dxa"/>
            <w:vAlign w:val="bottom"/>
          </w:tcPr>
          <w:p>
            <w:pPr>
              <w:ind w:left="320"/>
              <w:spacing w:after="0"/>
              <w:rPr>
                <w:sz w:val="20"/>
                <w:szCs w:val="20"/>
                <w:color w:val="auto"/>
              </w:rPr>
            </w:pPr>
            <w:r>
              <w:rPr>
                <w:rFonts w:ascii="Arial" w:cs="Arial" w:eastAsia="Arial" w:hAnsi="Arial"/>
                <w:sz w:val="18"/>
                <w:szCs w:val="18"/>
                <w:color w:val="auto"/>
              </w:rPr>
              <w:t>hedges and release of valuation allowance</w:t>
            </w: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13,740</w:t>
            </w: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13,740</w:t>
            </w: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13,698</w:t>
            </w: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13,698</w:t>
            </w:r>
          </w:p>
        </w:tc>
        <w:tc>
          <w:tcPr>
            <w:tcW w:w="0" w:type="dxa"/>
            <w:vAlign w:val="bottom"/>
          </w:tcPr>
          <w:p>
            <w:pPr>
              <w:spacing w:after="0"/>
              <w:rPr>
                <w:sz w:val="1"/>
                <w:szCs w:val="1"/>
                <w:color w:val="auto"/>
              </w:rPr>
            </w:pPr>
          </w:p>
        </w:tc>
      </w:tr>
      <w:tr>
        <w:trPr>
          <w:trHeight w:val="200"/>
        </w:trPr>
        <w:tc>
          <w:tcPr>
            <w:tcW w:w="4820" w:type="dxa"/>
            <w:vAlign w:val="bottom"/>
          </w:tcPr>
          <w:p>
            <w:pPr>
              <w:ind w:left="480"/>
              <w:spacing w:after="0" w:line="200" w:lineRule="exact"/>
              <w:rPr>
                <w:sz w:val="20"/>
                <w:szCs w:val="20"/>
                <w:color w:val="auto"/>
              </w:rPr>
            </w:pPr>
            <w:r>
              <w:rPr>
                <w:rFonts w:ascii="Arial" w:cs="Arial" w:eastAsia="Arial" w:hAnsi="Arial"/>
                <w:sz w:val="18"/>
                <w:szCs w:val="18"/>
                <w:color w:val="auto"/>
              </w:rPr>
              <w:t>Net unrealized losses</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ind w:right="11"/>
              <w:spacing w:after="0" w:line="200" w:lineRule="exact"/>
              <w:rPr>
                <w:sz w:val="20"/>
                <w:szCs w:val="20"/>
                <w:color w:val="auto"/>
              </w:rPr>
            </w:pPr>
            <w:r>
              <w:rPr>
                <w:rFonts w:ascii="Arial" w:cs="Arial" w:eastAsia="Arial" w:hAnsi="Arial"/>
                <w:sz w:val="18"/>
                <w:szCs w:val="18"/>
                <w:color w:val="auto"/>
              </w:rPr>
              <w:t>11,366</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jc w:val="right"/>
              <w:ind w:right="11"/>
              <w:spacing w:after="0" w:line="200" w:lineRule="exact"/>
              <w:rPr>
                <w:sz w:val="20"/>
                <w:szCs w:val="20"/>
                <w:color w:val="auto"/>
              </w:rPr>
            </w:pPr>
            <w:r>
              <w:rPr>
                <w:rFonts w:ascii="Arial" w:cs="Arial" w:eastAsia="Arial" w:hAnsi="Arial"/>
                <w:sz w:val="18"/>
                <w:szCs w:val="18"/>
                <w:color w:val="auto"/>
              </w:rPr>
              <w:t>9,319</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ind w:right="11"/>
              <w:spacing w:after="0" w:line="200" w:lineRule="exact"/>
              <w:rPr>
                <w:sz w:val="20"/>
                <w:szCs w:val="20"/>
                <w:color w:val="auto"/>
              </w:rPr>
            </w:pPr>
            <w:r>
              <w:rPr>
                <w:rFonts w:ascii="Arial" w:cs="Arial" w:eastAsia="Arial" w:hAnsi="Arial"/>
                <w:sz w:val="18"/>
                <w:szCs w:val="18"/>
                <w:color w:val="auto"/>
              </w:rPr>
              <w:t>20,685</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ind w:right="11"/>
              <w:spacing w:after="0" w:line="200" w:lineRule="exact"/>
              <w:rPr>
                <w:sz w:val="20"/>
                <w:szCs w:val="20"/>
                <w:color w:val="auto"/>
              </w:rPr>
            </w:pPr>
            <w:r>
              <w:rPr>
                <w:rFonts w:ascii="Arial" w:cs="Arial" w:eastAsia="Arial" w:hAnsi="Arial"/>
                <w:sz w:val="18"/>
                <w:szCs w:val="18"/>
                <w:color w:val="auto"/>
              </w:rPr>
              <w:t>11,258</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jc w:val="right"/>
              <w:ind w:right="11"/>
              <w:spacing w:after="0" w:line="200" w:lineRule="exact"/>
              <w:rPr>
                <w:sz w:val="20"/>
                <w:szCs w:val="20"/>
                <w:color w:val="auto"/>
              </w:rPr>
            </w:pPr>
            <w:r>
              <w:rPr>
                <w:rFonts w:ascii="Arial" w:cs="Arial" w:eastAsia="Arial" w:hAnsi="Arial"/>
                <w:sz w:val="18"/>
                <w:szCs w:val="18"/>
                <w:color w:val="auto"/>
              </w:rPr>
              <w:t>9,319</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ind w:right="11"/>
              <w:spacing w:after="0" w:line="200" w:lineRule="exact"/>
              <w:rPr>
                <w:sz w:val="20"/>
                <w:szCs w:val="20"/>
                <w:color w:val="auto"/>
              </w:rPr>
            </w:pPr>
            <w:r>
              <w:rPr>
                <w:rFonts w:ascii="Arial" w:cs="Arial" w:eastAsia="Arial" w:hAnsi="Arial"/>
                <w:sz w:val="18"/>
                <w:szCs w:val="18"/>
                <w:color w:val="auto"/>
              </w:rPr>
              <w:t>20,577</w:t>
            </w:r>
          </w:p>
        </w:tc>
        <w:tc>
          <w:tcPr>
            <w:tcW w:w="0" w:type="dxa"/>
            <w:vAlign w:val="bottom"/>
          </w:tcPr>
          <w:p>
            <w:pPr>
              <w:spacing w:after="0"/>
              <w:rPr>
                <w:sz w:val="1"/>
                <w:szCs w:val="1"/>
                <w:color w:val="auto"/>
              </w:rPr>
            </w:pPr>
          </w:p>
        </w:tc>
      </w:tr>
      <w:tr>
        <w:trPr>
          <w:trHeight w:val="214"/>
        </w:trPr>
        <w:tc>
          <w:tcPr>
            <w:tcW w:w="4820" w:type="dxa"/>
            <w:vAlign w:val="bottom"/>
          </w:tcPr>
          <w:p>
            <w:pPr>
              <w:ind w:left="160"/>
              <w:spacing w:after="0"/>
              <w:rPr>
                <w:sz w:val="20"/>
                <w:szCs w:val="20"/>
                <w:color w:val="auto"/>
              </w:rPr>
            </w:pPr>
            <w:r>
              <w:rPr>
                <w:rFonts w:ascii="Arial" w:cs="Arial" w:eastAsia="Arial" w:hAnsi="Arial"/>
                <w:sz w:val="18"/>
                <w:szCs w:val="18"/>
                <w:color w:val="auto"/>
              </w:rPr>
              <w:t>Net actuarial loss on defined benefit pension plan</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(415)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161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(254)</w:t>
            </w:r>
          </w:p>
        </w:tc>
        <w:tc>
          <w:tcPr>
            <w:tcW w:w="0" w:type="dxa"/>
            <w:vAlign w:val="bottom"/>
          </w:tcPr>
          <w:p>
            <w:pPr>
              <w:spacing w:after="0"/>
              <w:rPr>
                <w:sz w:val="1"/>
                <w:szCs w:val="1"/>
                <w:color w:val="auto"/>
              </w:rPr>
            </w:pPr>
          </w:p>
        </w:tc>
      </w:tr>
      <w:tr>
        <w:trPr>
          <w:trHeight w:val="214"/>
        </w:trPr>
        <w:tc>
          <w:tcPr>
            <w:tcW w:w="4820" w:type="dxa"/>
            <w:vAlign w:val="bottom"/>
          </w:tcPr>
          <w:p>
            <w:pPr>
              <w:ind w:left="160"/>
              <w:spacing w:after="0"/>
              <w:rPr>
                <w:sz w:val="20"/>
                <w:szCs w:val="20"/>
                <w:color w:val="auto"/>
              </w:rPr>
            </w:pPr>
            <w:r>
              <w:rPr>
                <w:rFonts w:ascii="Arial" w:cs="Arial" w:eastAsia="Arial" w:hAnsi="Arial"/>
                <w:sz w:val="18"/>
                <w:szCs w:val="18"/>
                <w:color w:val="auto"/>
                <w:w w:val="93"/>
              </w:rPr>
              <w:t>Amortization of prior service cost and actuarial losses included</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820" w:type="dxa"/>
            <w:vAlign w:val="bottom"/>
          </w:tcPr>
          <w:p>
            <w:pPr>
              <w:ind w:left="320"/>
              <w:spacing w:after="0"/>
              <w:rPr>
                <w:sz w:val="20"/>
                <w:szCs w:val="20"/>
                <w:color w:val="auto"/>
              </w:rPr>
            </w:pPr>
            <w:r>
              <w:rPr>
                <w:rFonts w:ascii="Arial" w:cs="Arial" w:eastAsia="Arial" w:hAnsi="Arial"/>
                <w:sz w:val="18"/>
                <w:szCs w:val="18"/>
                <w:color w:val="auto"/>
                <w:w w:val="94"/>
              </w:rPr>
              <w:t>in net periodic pension cost for defined benefit pension plan</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133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81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265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214"/>
        </w:trPr>
        <w:tc>
          <w:tcPr>
            <w:tcW w:w="4820" w:type="dxa"/>
            <w:vAlign w:val="bottom"/>
          </w:tcPr>
          <w:p>
            <w:pPr>
              <w:ind w:left="160"/>
              <w:spacing w:after="0"/>
              <w:rPr>
                <w:sz w:val="20"/>
                <w:szCs w:val="20"/>
                <w:color w:val="auto"/>
              </w:rPr>
            </w:pPr>
            <w:r>
              <w:rPr>
                <w:rFonts w:ascii="Arial" w:cs="Arial" w:eastAsia="Arial" w:hAnsi="Arial"/>
                <w:sz w:val="18"/>
                <w:szCs w:val="18"/>
                <w:color w:val="auto"/>
                <w:w w:val="96"/>
              </w:rPr>
              <w:t>Adjustment of valuation allowance for the change in deferred</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820" w:type="dxa"/>
            <w:vAlign w:val="bottom"/>
          </w:tcPr>
          <w:p>
            <w:pPr>
              <w:ind w:left="320"/>
              <w:spacing w:after="0"/>
              <w:rPr>
                <w:sz w:val="20"/>
                <w:szCs w:val="20"/>
                <w:color w:val="auto"/>
              </w:rPr>
            </w:pPr>
            <w:r>
              <w:rPr>
                <w:rFonts w:ascii="Arial" w:cs="Arial" w:eastAsia="Arial" w:hAnsi="Arial"/>
                <w:sz w:val="18"/>
                <w:szCs w:val="18"/>
                <w:color w:val="auto"/>
                <w:w w:val="91"/>
              </w:rPr>
              <w:t>taxes arising from reclassification of unamortized prior service</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820" w:type="dxa"/>
            <w:vAlign w:val="bottom"/>
          </w:tcPr>
          <w:p>
            <w:pPr>
              <w:ind w:left="320"/>
              <w:spacing w:after="0"/>
              <w:rPr>
                <w:sz w:val="20"/>
                <w:szCs w:val="20"/>
                <w:color w:val="auto"/>
              </w:rPr>
            </w:pPr>
            <w:r>
              <w:rPr>
                <w:rFonts w:ascii="Arial" w:cs="Arial" w:eastAsia="Arial" w:hAnsi="Arial"/>
                <w:sz w:val="18"/>
                <w:szCs w:val="18"/>
                <w:color w:val="auto"/>
                <w:w w:val="90"/>
              </w:rPr>
              <w:t>cost and actuarial losses and amortization of prior service cost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4820" w:type="dxa"/>
            <w:vAlign w:val="bottom"/>
          </w:tcPr>
          <w:p>
            <w:pPr>
              <w:ind w:left="320"/>
              <w:spacing w:after="0"/>
              <w:rPr>
                <w:sz w:val="20"/>
                <w:szCs w:val="20"/>
                <w:color w:val="auto"/>
              </w:rPr>
            </w:pPr>
            <w:r>
              <w:rPr>
                <w:rFonts w:ascii="Arial" w:cs="Arial" w:eastAsia="Arial" w:hAnsi="Arial"/>
                <w:sz w:val="18"/>
                <w:szCs w:val="18"/>
                <w:color w:val="auto"/>
              </w:rPr>
              <w:t>and actuarial losses and release of valuation allowance</w:t>
            </w: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110</w:t>
            </w: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110</w:t>
            </w: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1"/>
        </w:trPr>
        <w:tc>
          <w:tcPr>
            <w:tcW w:w="4820" w:type="dxa"/>
            <w:vAlign w:val="bottom"/>
          </w:tcPr>
          <w:p>
            <w:pPr>
              <w:ind w:left="480"/>
              <w:spacing w:after="0"/>
              <w:rPr>
                <w:sz w:val="20"/>
                <w:szCs w:val="20"/>
                <w:color w:val="auto"/>
              </w:rPr>
            </w:pPr>
            <w:r>
              <w:rPr>
                <w:rFonts w:ascii="Arial" w:cs="Arial" w:eastAsia="Arial" w:hAnsi="Arial"/>
                <w:sz w:val="18"/>
                <w:szCs w:val="18"/>
                <w:color w:val="auto"/>
              </w:rPr>
              <w:t>Net defined benefit pension plan activity</w:t>
            </w: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133</w:t>
            </w: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58</w:t>
            </w: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191</w:t>
            </w: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58</w:t>
            </w: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435"/>
        </w:trPr>
        <w:tc>
          <w:tcPr>
            <w:tcW w:w="4820" w:type="dxa"/>
            <w:vAlign w:val="bottom"/>
          </w:tcPr>
          <w:p>
            <w:pPr>
              <w:ind w:left="700"/>
              <w:spacing w:after="0"/>
              <w:rPr>
                <w:sz w:val="20"/>
                <w:szCs w:val="20"/>
                <w:color w:val="auto"/>
              </w:rPr>
            </w:pPr>
            <w:r>
              <w:rPr>
                <w:rFonts w:ascii="Arial" w:cs="Arial" w:eastAsia="Arial" w:hAnsi="Arial"/>
                <w:sz w:val="18"/>
                <w:szCs w:val="18"/>
                <w:color w:val="auto"/>
              </w:rPr>
              <w:t>Total other comprehensive income (loss)</w:t>
            </w:r>
          </w:p>
        </w:tc>
        <w:tc>
          <w:tcPr>
            <w:tcW w:w="1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(4,130)</w:t>
            </w: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13,167</w:t>
            </w:r>
          </w:p>
        </w:tc>
        <w:tc>
          <w:tcPr>
            <w:tcW w:w="1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9,037</w:t>
            </w:r>
          </w:p>
        </w:tc>
        <w:tc>
          <w:tcPr>
            <w:tcW w:w="1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(3,315)</w:t>
            </w: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13,169</w:t>
            </w:r>
          </w:p>
        </w:tc>
        <w:tc>
          <w:tcPr>
            <w:tcW w:w="1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9,854</w:t>
            </w:r>
          </w:p>
        </w:tc>
        <w:tc>
          <w:tcPr>
            <w:tcW w:w="0" w:type="dxa"/>
            <w:vAlign w:val="bottom"/>
          </w:tcPr>
          <w:p>
            <w:pPr>
              <w:spacing w:after="0"/>
              <w:rPr>
                <w:sz w:val="1"/>
                <w:szCs w:val="1"/>
                <w:color w:val="auto"/>
              </w:rPr>
            </w:pPr>
          </w:p>
        </w:tc>
      </w:tr>
      <w:tr>
        <w:trPr>
          <w:trHeight w:val="427"/>
        </w:trPr>
        <w:tc>
          <w:tcPr>
            <w:tcW w:w="4820" w:type="dxa"/>
            <w:vAlign w:val="bottom"/>
          </w:tcPr>
          <w:p>
            <w:pPr>
              <w:ind w:left="720"/>
              <w:spacing w:after="0"/>
              <w:rPr>
                <w:sz w:val="20"/>
                <w:szCs w:val="20"/>
                <w:color w:val="auto"/>
              </w:rPr>
            </w:pPr>
            <w:r>
              <w:rPr>
                <w:rFonts w:ascii="Arial" w:cs="Arial" w:eastAsia="Arial" w:hAnsi="Arial"/>
                <w:sz w:val="18"/>
                <w:szCs w:val="18"/>
                <w:color w:val="auto"/>
              </w:rPr>
              <w:t>Comprehensive income</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(30,947)</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269,948</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239,001</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(17,782)</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269,365</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251,583</w:t>
            </w:r>
          </w:p>
        </w:tc>
        <w:tc>
          <w:tcPr>
            <w:tcW w:w="0" w:type="dxa"/>
            <w:vAlign w:val="bottom"/>
          </w:tcPr>
          <w:p>
            <w:pPr>
              <w:spacing w:after="0"/>
              <w:rPr>
                <w:sz w:val="1"/>
                <w:szCs w:val="1"/>
                <w:color w:val="auto"/>
              </w:rPr>
            </w:pPr>
          </w:p>
        </w:tc>
      </w:tr>
      <w:tr>
        <w:trPr>
          <w:trHeight w:val="22"/>
        </w:trPr>
        <w:tc>
          <w:tcPr>
            <w:tcW w:w="4820" w:type="dxa"/>
            <w:vAlign w:val="bottom"/>
            <w:vMerge w:val="restart"/>
          </w:tcPr>
          <w:p>
            <w:pPr>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4"/>
        </w:trPr>
        <w:tc>
          <w:tcPr>
            <w:tcW w:w="4820" w:type="dxa"/>
            <w:vAlign w:val="bottom"/>
            <w:tcBorders>
              <w:bottom w:val="single" w:sz="8" w:color="auto"/>
            </w:tcBorders>
            <w:vMerge w:val="continue"/>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4820" w:type="dxa"/>
            <w:vAlign w:val="bottom"/>
          </w:tcPr>
          <w:p>
            <w:pPr>
              <w:spacing w:after="0"/>
              <w:rPr>
                <w:sz w:val="20"/>
                <w:szCs w:val="20"/>
                <w:color w:val="auto"/>
              </w:rPr>
            </w:pPr>
            <w:r>
              <w:rPr>
                <w:rFonts w:ascii="Arial" w:cs="Arial" w:eastAsia="Arial" w:hAnsi="Arial"/>
                <w:sz w:val="18"/>
                <w:szCs w:val="18"/>
                <w:color w:val="auto"/>
              </w:rPr>
              <w:t>Net (loss) income</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6,949</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(450)</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6,499</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18,791</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(764)</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18,027</w:t>
            </w:r>
          </w:p>
        </w:tc>
        <w:tc>
          <w:tcPr>
            <w:tcW w:w="0" w:type="dxa"/>
            <w:vAlign w:val="bottom"/>
          </w:tcPr>
          <w:p>
            <w:pPr>
              <w:spacing w:after="0"/>
              <w:rPr>
                <w:sz w:val="1"/>
                <w:szCs w:val="1"/>
                <w:color w:val="auto"/>
              </w:rPr>
            </w:pPr>
          </w:p>
        </w:tc>
      </w:tr>
      <w:tr>
        <w:trPr>
          <w:trHeight w:val="214"/>
        </w:trPr>
        <w:tc>
          <w:tcPr>
            <w:tcW w:w="4820" w:type="dxa"/>
            <w:vAlign w:val="bottom"/>
          </w:tcPr>
          <w:p>
            <w:pPr>
              <w:spacing w:after="0"/>
              <w:rPr>
                <w:sz w:val="20"/>
                <w:szCs w:val="20"/>
                <w:color w:val="auto"/>
              </w:rPr>
            </w:pPr>
            <w:r>
              <w:rPr>
                <w:rFonts w:ascii="Arial" w:cs="Arial" w:eastAsia="Arial" w:hAnsi="Arial"/>
                <w:sz w:val="18"/>
                <w:szCs w:val="18"/>
                <w:color w:val="auto"/>
              </w:rPr>
              <w:t>Other comprehensive income (loss):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820" w:type="dxa"/>
            <w:vAlign w:val="bottom"/>
          </w:tcPr>
          <w:p>
            <w:pPr>
              <w:ind w:left="160"/>
              <w:spacing w:after="0"/>
              <w:rPr>
                <w:sz w:val="20"/>
                <w:szCs w:val="20"/>
                <w:color w:val="auto"/>
              </w:rPr>
            </w:pPr>
            <w:r>
              <w:rPr>
                <w:rFonts w:ascii="Arial" w:cs="Arial" w:eastAsia="Arial" w:hAnsi="Arial"/>
                <w:sz w:val="18"/>
                <w:szCs w:val="18"/>
                <w:color w:val="auto"/>
              </w:rPr>
              <w:t>Unrealized (losses) gains on available-for-sale securities: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820" w:type="dxa"/>
            <w:vAlign w:val="bottom"/>
          </w:tcPr>
          <w:p>
            <w:pPr>
              <w:ind w:left="480"/>
              <w:spacing w:after="0"/>
              <w:rPr>
                <w:sz w:val="20"/>
                <w:szCs w:val="20"/>
                <w:color w:val="auto"/>
              </w:rPr>
            </w:pPr>
            <w:r>
              <w:rPr>
                <w:rFonts w:ascii="Arial" w:cs="Arial" w:eastAsia="Arial" w:hAnsi="Arial"/>
                <w:sz w:val="18"/>
                <w:szCs w:val="18"/>
                <w:color w:val="auto"/>
                <w:w w:val="99"/>
              </w:rPr>
              <w:t>Unrealized holding gains (losses) arising during period</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4,264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(1,645)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2,619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924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(277)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647</w:t>
            </w:r>
          </w:p>
        </w:tc>
        <w:tc>
          <w:tcPr>
            <w:tcW w:w="0" w:type="dxa"/>
            <w:vAlign w:val="bottom"/>
          </w:tcPr>
          <w:p>
            <w:pPr>
              <w:spacing w:after="0"/>
              <w:rPr>
                <w:sz w:val="1"/>
                <w:szCs w:val="1"/>
                <w:color w:val="auto"/>
              </w:rPr>
            </w:pPr>
          </w:p>
        </w:tc>
      </w:tr>
      <w:tr>
        <w:trPr>
          <w:trHeight w:val="214"/>
        </w:trPr>
        <w:tc>
          <w:tcPr>
            <w:tcW w:w="4820" w:type="dxa"/>
            <w:vAlign w:val="bottom"/>
          </w:tcPr>
          <w:p>
            <w:pPr>
              <w:ind w:left="480"/>
              <w:spacing w:after="0"/>
              <w:rPr>
                <w:sz w:val="20"/>
                <w:szCs w:val="20"/>
                <w:color w:val="auto"/>
              </w:rPr>
            </w:pPr>
            <w:r>
              <w:rPr>
                <w:rFonts w:ascii="Arial" w:cs="Arial" w:eastAsia="Arial" w:hAnsi="Arial"/>
                <w:sz w:val="18"/>
                <w:szCs w:val="18"/>
                <w:color w:val="auto"/>
                <w:w w:val="90"/>
              </w:rPr>
              <w:t>Reclassification adjustment for gains included in net income</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(6,490)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2,425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(4,065)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(7,047)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2,631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(4,416)</w:t>
            </w:r>
          </w:p>
        </w:tc>
        <w:tc>
          <w:tcPr>
            <w:tcW w:w="0" w:type="dxa"/>
            <w:vAlign w:val="bottom"/>
          </w:tcPr>
          <w:p>
            <w:pPr>
              <w:spacing w:after="0"/>
              <w:rPr>
                <w:sz w:val="1"/>
                <w:szCs w:val="1"/>
                <w:color w:val="auto"/>
              </w:rPr>
            </w:pPr>
          </w:p>
        </w:tc>
      </w:tr>
      <w:tr>
        <w:trPr>
          <w:trHeight w:val="214"/>
        </w:trPr>
        <w:tc>
          <w:tcPr>
            <w:tcW w:w="4820" w:type="dxa"/>
            <w:vAlign w:val="bottom"/>
          </w:tcPr>
          <w:p>
            <w:pPr>
              <w:ind w:left="480"/>
              <w:spacing w:after="0"/>
              <w:rPr>
                <w:sz w:val="20"/>
                <w:szCs w:val="20"/>
                <w:color w:val="auto"/>
              </w:rPr>
            </w:pPr>
            <w:r>
              <w:rPr>
                <w:rFonts w:ascii="Arial" w:cs="Arial" w:eastAsia="Arial" w:hAnsi="Arial"/>
                <w:sz w:val="18"/>
                <w:szCs w:val="18"/>
                <w:color w:val="auto"/>
                <w:w w:val="90"/>
              </w:rPr>
              <w:t>Valuation allowance for the change in deferred taxes arising</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820" w:type="dxa"/>
            <w:vAlign w:val="bottom"/>
          </w:tcPr>
          <w:p>
            <w:pPr>
              <w:ind w:left="660"/>
              <w:spacing w:after="0"/>
              <w:rPr>
                <w:sz w:val="20"/>
                <w:szCs w:val="20"/>
                <w:color w:val="auto"/>
              </w:rPr>
            </w:pPr>
            <w:r>
              <w:rPr>
                <w:rFonts w:ascii="Arial" w:cs="Arial" w:eastAsia="Arial" w:hAnsi="Arial"/>
                <w:sz w:val="18"/>
                <w:szCs w:val="18"/>
                <w:color w:val="auto"/>
                <w:w w:val="96"/>
              </w:rPr>
              <w:t>from unrealized gains and losses on available-for-sale</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4820" w:type="dxa"/>
            <w:vAlign w:val="bottom"/>
          </w:tcPr>
          <w:p>
            <w:pPr>
              <w:ind w:left="660"/>
              <w:spacing w:after="0"/>
              <w:rPr>
                <w:sz w:val="20"/>
                <w:szCs w:val="20"/>
                <w:color w:val="auto"/>
              </w:rPr>
            </w:pPr>
            <w:r>
              <w:rPr>
                <w:rFonts w:ascii="Arial" w:cs="Arial" w:eastAsia="Arial" w:hAnsi="Arial"/>
                <w:sz w:val="18"/>
                <w:szCs w:val="18"/>
                <w:color w:val="auto"/>
              </w:rPr>
              <w:t>securities</w:t>
            </w: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(780)</w:t>
            </w: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(780)</w:t>
            </w: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(2,354)</w:t>
            </w: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(2,354)</w:t>
            </w:r>
          </w:p>
        </w:tc>
        <w:tc>
          <w:tcPr>
            <w:tcW w:w="0" w:type="dxa"/>
            <w:vAlign w:val="bottom"/>
          </w:tcPr>
          <w:p>
            <w:pPr>
              <w:spacing w:after="0"/>
              <w:rPr>
                <w:sz w:val="1"/>
                <w:szCs w:val="1"/>
                <w:color w:val="auto"/>
              </w:rPr>
            </w:pPr>
          </w:p>
        </w:tc>
      </w:tr>
      <w:tr>
        <w:trPr>
          <w:trHeight w:val="200"/>
        </w:trPr>
        <w:tc>
          <w:tcPr>
            <w:tcW w:w="4820" w:type="dxa"/>
            <w:vAlign w:val="bottom"/>
          </w:tcPr>
          <w:p>
            <w:pPr>
              <w:ind w:left="480"/>
              <w:spacing w:after="0" w:line="200" w:lineRule="exact"/>
              <w:rPr>
                <w:sz w:val="20"/>
                <w:szCs w:val="20"/>
                <w:color w:val="auto"/>
              </w:rPr>
            </w:pPr>
            <w:r>
              <w:rPr>
                <w:rFonts w:ascii="Arial" w:cs="Arial" w:eastAsia="Arial" w:hAnsi="Arial"/>
                <w:sz w:val="18"/>
                <w:szCs w:val="18"/>
                <w:color w:val="auto"/>
              </w:rPr>
              <w:t>Net unrealized gains (losses)</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spacing w:after="0" w:line="200" w:lineRule="exact"/>
              <w:rPr>
                <w:sz w:val="20"/>
                <w:szCs w:val="20"/>
                <w:color w:val="auto"/>
              </w:rPr>
            </w:pPr>
            <w:r>
              <w:rPr>
                <w:rFonts w:ascii="Arial" w:cs="Arial" w:eastAsia="Arial" w:hAnsi="Arial"/>
                <w:sz w:val="18"/>
                <w:szCs w:val="18"/>
                <w:color w:val="auto"/>
              </w:rPr>
              <w:t>(2,226)</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jc w:val="right"/>
              <w:ind w:right="11"/>
              <w:spacing w:after="0" w:line="200"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spacing w:after="0" w:line="200" w:lineRule="exact"/>
              <w:rPr>
                <w:sz w:val="20"/>
                <w:szCs w:val="20"/>
                <w:color w:val="auto"/>
              </w:rPr>
            </w:pPr>
            <w:r>
              <w:rPr>
                <w:rFonts w:ascii="Arial" w:cs="Arial" w:eastAsia="Arial" w:hAnsi="Arial"/>
                <w:sz w:val="18"/>
                <w:szCs w:val="18"/>
                <w:color w:val="auto"/>
              </w:rPr>
              <w:t>(2,226)</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spacing w:after="0" w:line="200" w:lineRule="exact"/>
              <w:rPr>
                <w:sz w:val="20"/>
                <w:szCs w:val="20"/>
                <w:color w:val="auto"/>
              </w:rPr>
            </w:pPr>
            <w:r>
              <w:rPr>
                <w:rFonts w:ascii="Arial" w:cs="Arial" w:eastAsia="Arial" w:hAnsi="Arial"/>
                <w:sz w:val="18"/>
                <w:szCs w:val="18"/>
                <w:color w:val="auto"/>
              </w:rPr>
              <w:t>(6,123)</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jc w:val="right"/>
              <w:ind w:right="11"/>
              <w:spacing w:after="0" w:line="200"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spacing w:after="0" w:line="200" w:lineRule="exact"/>
              <w:rPr>
                <w:sz w:val="20"/>
                <w:szCs w:val="20"/>
                <w:color w:val="auto"/>
              </w:rPr>
            </w:pPr>
            <w:r>
              <w:rPr>
                <w:rFonts w:ascii="Arial" w:cs="Arial" w:eastAsia="Arial" w:hAnsi="Arial"/>
                <w:sz w:val="18"/>
                <w:szCs w:val="18"/>
                <w:color w:val="auto"/>
              </w:rPr>
              <w:t>(6,123)</w:t>
            </w:r>
          </w:p>
        </w:tc>
        <w:tc>
          <w:tcPr>
            <w:tcW w:w="0" w:type="dxa"/>
            <w:vAlign w:val="bottom"/>
          </w:tcPr>
          <w:p>
            <w:pPr>
              <w:spacing w:after="0"/>
              <w:rPr>
                <w:sz w:val="1"/>
                <w:szCs w:val="1"/>
                <w:color w:val="auto"/>
              </w:rPr>
            </w:pPr>
          </w:p>
        </w:tc>
      </w:tr>
      <w:tr>
        <w:trPr>
          <w:trHeight w:val="214"/>
        </w:trPr>
        <w:tc>
          <w:tcPr>
            <w:tcW w:w="4820" w:type="dxa"/>
            <w:vAlign w:val="bottom"/>
          </w:tcPr>
          <w:p>
            <w:pPr>
              <w:ind w:left="160"/>
              <w:spacing w:after="0"/>
              <w:rPr>
                <w:sz w:val="20"/>
                <w:szCs w:val="20"/>
                <w:color w:val="auto"/>
              </w:rPr>
            </w:pPr>
            <w:r>
              <w:rPr>
                <w:rFonts w:ascii="Arial" w:cs="Arial" w:eastAsia="Arial" w:hAnsi="Arial"/>
                <w:sz w:val="18"/>
                <w:szCs w:val="18"/>
                <w:color w:val="auto"/>
                <w:w w:val="95"/>
              </w:rPr>
              <w:t>Amortization of gains included in net income on available-for-</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820" w:type="dxa"/>
            <w:vAlign w:val="bottom"/>
          </w:tcPr>
          <w:p>
            <w:pPr>
              <w:ind w:left="320"/>
              <w:spacing w:after="0"/>
              <w:rPr>
                <w:sz w:val="20"/>
                <w:szCs w:val="20"/>
                <w:color w:val="auto"/>
              </w:rPr>
            </w:pPr>
            <w:r>
              <w:rPr>
                <w:rFonts w:ascii="Arial" w:cs="Arial" w:eastAsia="Arial" w:hAnsi="Arial"/>
                <w:sz w:val="18"/>
                <w:szCs w:val="18"/>
                <w:color w:val="auto"/>
              </w:rPr>
              <w:t>sale securities transferred to held-to-maturity</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(400)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151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(249)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(813)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308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(505)</w:t>
            </w:r>
          </w:p>
        </w:tc>
        <w:tc>
          <w:tcPr>
            <w:tcW w:w="0" w:type="dxa"/>
            <w:vAlign w:val="bottom"/>
          </w:tcPr>
          <w:p>
            <w:pPr>
              <w:spacing w:after="0"/>
              <w:rPr>
                <w:sz w:val="1"/>
                <w:szCs w:val="1"/>
                <w:color w:val="auto"/>
              </w:rPr>
            </w:pPr>
          </w:p>
        </w:tc>
      </w:tr>
      <w:tr>
        <w:trPr>
          <w:trHeight w:val="214"/>
        </w:trPr>
        <w:tc>
          <w:tcPr>
            <w:tcW w:w="4820" w:type="dxa"/>
            <w:vAlign w:val="bottom"/>
          </w:tcPr>
          <w:p>
            <w:pPr>
              <w:ind w:left="160"/>
              <w:spacing w:after="0"/>
              <w:rPr>
                <w:sz w:val="20"/>
                <w:szCs w:val="20"/>
                <w:color w:val="auto"/>
              </w:rPr>
            </w:pPr>
            <w:r>
              <w:rPr>
                <w:rFonts w:ascii="Arial" w:cs="Arial" w:eastAsia="Arial" w:hAnsi="Arial"/>
                <w:sz w:val="18"/>
                <w:szCs w:val="18"/>
                <w:color w:val="auto"/>
                <w:w w:val="97"/>
              </w:rPr>
              <w:t>Valuation allowance for the change in deferred taxes arising</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820" w:type="dxa"/>
            <w:vAlign w:val="bottom"/>
          </w:tcPr>
          <w:p>
            <w:pPr>
              <w:ind w:left="320"/>
              <w:spacing w:after="0"/>
              <w:rPr>
                <w:sz w:val="20"/>
                <w:szCs w:val="20"/>
                <w:color w:val="auto"/>
              </w:rPr>
            </w:pPr>
            <w:r>
              <w:rPr>
                <w:rFonts w:ascii="Arial" w:cs="Arial" w:eastAsia="Arial" w:hAnsi="Arial"/>
                <w:sz w:val="18"/>
                <w:szCs w:val="18"/>
                <w:color w:val="auto"/>
                <w:w w:val="95"/>
              </w:rPr>
              <w:t>from the amortization of gains included in net income (loss)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4820" w:type="dxa"/>
            <w:vAlign w:val="bottom"/>
          </w:tcPr>
          <w:p>
            <w:pPr>
              <w:ind w:left="320"/>
              <w:spacing w:after="0"/>
              <w:rPr>
                <w:sz w:val="20"/>
                <w:szCs w:val="20"/>
                <w:color w:val="auto"/>
              </w:rPr>
            </w:pPr>
            <w:r>
              <w:rPr>
                <w:rFonts w:ascii="Arial" w:cs="Arial" w:eastAsia="Arial" w:hAnsi="Arial"/>
                <w:sz w:val="18"/>
                <w:szCs w:val="18"/>
                <w:color w:val="auto"/>
                <w:w w:val="91"/>
              </w:rPr>
              <w:t>on available-for-sale securities transferred to held-to- maturity</w:t>
            </w: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w:t>
            </w: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w:t>
            </w: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(308)</w:t>
            </w: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(308)</w:t>
            </w:r>
          </w:p>
        </w:tc>
        <w:tc>
          <w:tcPr>
            <w:tcW w:w="0" w:type="dxa"/>
            <w:vAlign w:val="bottom"/>
          </w:tcPr>
          <w:p>
            <w:pPr>
              <w:spacing w:after="0"/>
              <w:rPr>
                <w:sz w:val="1"/>
                <w:szCs w:val="1"/>
                <w:color w:val="auto"/>
              </w:rPr>
            </w:pPr>
          </w:p>
        </w:tc>
      </w:tr>
      <w:tr>
        <w:trPr>
          <w:trHeight w:val="200"/>
        </w:trPr>
        <w:tc>
          <w:tcPr>
            <w:tcW w:w="4820" w:type="dxa"/>
            <w:vAlign w:val="bottom"/>
          </w:tcPr>
          <w:p>
            <w:pPr>
              <w:ind w:left="480"/>
              <w:spacing w:after="0" w:line="200" w:lineRule="exact"/>
              <w:rPr>
                <w:sz w:val="20"/>
                <w:szCs w:val="20"/>
                <w:color w:val="auto"/>
              </w:rPr>
            </w:pPr>
            <w:r>
              <w:rPr>
                <w:rFonts w:ascii="Arial" w:cs="Arial" w:eastAsia="Arial" w:hAnsi="Arial"/>
                <w:sz w:val="18"/>
                <w:szCs w:val="18"/>
                <w:color w:val="auto"/>
              </w:rPr>
              <w:t>Net unrealized losses</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spacing w:after="0" w:line="200" w:lineRule="exact"/>
              <w:rPr>
                <w:sz w:val="20"/>
                <w:szCs w:val="20"/>
                <w:color w:val="auto"/>
              </w:rPr>
            </w:pPr>
            <w:r>
              <w:rPr>
                <w:rFonts w:ascii="Arial" w:cs="Arial" w:eastAsia="Arial" w:hAnsi="Arial"/>
                <w:sz w:val="18"/>
                <w:szCs w:val="18"/>
                <w:color w:val="auto"/>
              </w:rPr>
              <w:t>(400)</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jc w:val="right"/>
              <w:ind w:right="11"/>
              <w:spacing w:after="0" w:line="200"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spacing w:after="0" w:line="200" w:lineRule="exact"/>
              <w:rPr>
                <w:sz w:val="20"/>
                <w:szCs w:val="20"/>
                <w:color w:val="auto"/>
              </w:rPr>
            </w:pPr>
            <w:r>
              <w:rPr>
                <w:rFonts w:ascii="Arial" w:cs="Arial" w:eastAsia="Arial" w:hAnsi="Arial"/>
                <w:sz w:val="18"/>
                <w:szCs w:val="18"/>
                <w:color w:val="auto"/>
              </w:rPr>
              <w:t>(400)</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spacing w:after="0" w:line="200" w:lineRule="exact"/>
              <w:rPr>
                <w:sz w:val="20"/>
                <w:szCs w:val="20"/>
                <w:color w:val="auto"/>
              </w:rPr>
            </w:pPr>
            <w:r>
              <w:rPr>
                <w:rFonts w:ascii="Arial" w:cs="Arial" w:eastAsia="Arial" w:hAnsi="Arial"/>
                <w:sz w:val="18"/>
                <w:szCs w:val="18"/>
                <w:color w:val="auto"/>
              </w:rPr>
              <w:t>(813)</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jc w:val="right"/>
              <w:ind w:right="11"/>
              <w:spacing w:after="0" w:line="200"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spacing w:after="0" w:line="200" w:lineRule="exact"/>
              <w:rPr>
                <w:sz w:val="20"/>
                <w:szCs w:val="20"/>
                <w:color w:val="auto"/>
              </w:rPr>
            </w:pPr>
            <w:r>
              <w:rPr>
                <w:rFonts w:ascii="Arial" w:cs="Arial" w:eastAsia="Arial" w:hAnsi="Arial"/>
                <w:sz w:val="18"/>
                <w:szCs w:val="18"/>
                <w:color w:val="auto"/>
              </w:rPr>
              <w:t>(813)</w:t>
            </w:r>
          </w:p>
        </w:tc>
        <w:tc>
          <w:tcPr>
            <w:tcW w:w="0" w:type="dxa"/>
            <w:vAlign w:val="bottom"/>
          </w:tcPr>
          <w:p>
            <w:pPr>
              <w:spacing w:after="0"/>
              <w:rPr>
                <w:sz w:val="1"/>
                <w:szCs w:val="1"/>
                <w:color w:val="auto"/>
              </w:rPr>
            </w:pPr>
          </w:p>
        </w:tc>
      </w:tr>
      <w:tr>
        <w:trPr>
          <w:trHeight w:val="214"/>
        </w:trPr>
        <w:tc>
          <w:tcPr>
            <w:tcW w:w="4820" w:type="dxa"/>
            <w:vAlign w:val="bottom"/>
          </w:tcPr>
          <w:p>
            <w:pPr>
              <w:ind w:left="160"/>
              <w:spacing w:after="0"/>
              <w:rPr>
                <w:sz w:val="20"/>
                <w:szCs w:val="20"/>
                <w:color w:val="auto"/>
              </w:rPr>
            </w:pPr>
            <w:r>
              <w:rPr>
                <w:rFonts w:ascii="Arial" w:cs="Arial" w:eastAsia="Arial" w:hAnsi="Arial"/>
                <w:sz w:val="18"/>
                <w:szCs w:val="18"/>
                <w:color w:val="auto"/>
                <w:w w:val="99"/>
              </w:rPr>
              <w:t>Amortization of gains included in net income on terminated</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820" w:type="dxa"/>
            <w:vAlign w:val="bottom"/>
          </w:tcPr>
          <w:p>
            <w:pPr>
              <w:ind w:left="320"/>
              <w:spacing w:after="0"/>
              <w:rPr>
                <w:sz w:val="20"/>
                <w:szCs w:val="20"/>
                <w:color w:val="auto"/>
              </w:rPr>
            </w:pPr>
            <w:r>
              <w:rPr>
                <w:rFonts w:ascii="Arial" w:cs="Arial" w:eastAsia="Arial" w:hAnsi="Arial"/>
                <w:sz w:val="18"/>
                <w:szCs w:val="18"/>
                <w:color w:val="auto"/>
              </w:rPr>
              <w:t>derivative financial instruments that were previously</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820" w:type="dxa"/>
            <w:vAlign w:val="bottom"/>
          </w:tcPr>
          <w:p>
            <w:pPr>
              <w:ind w:left="320"/>
              <w:spacing w:after="0"/>
              <w:rPr>
                <w:sz w:val="20"/>
                <w:szCs w:val="20"/>
                <w:color w:val="auto"/>
              </w:rPr>
            </w:pPr>
            <w:r>
              <w:rPr>
                <w:rFonts w:ascii="Arial" w:cs="Arial" w:eastAsia="Arial" w:hAnsi="Arial"/>
                <w:sz w:val="18"/>
                <w:szCs w:val="18"/>
                <w:color w:val="auto"/>
              </w:rPr>
              <w:t>accounted for as cash flow hedges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(714)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278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(436)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(2,314)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900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(1,414)</w:t>
            </w:r>
          </w:p>
        </w:tc>
        <w:tc>
          <w:tcPr>
            <w:tcW w:w="0" w:type="dxa"/>
            <w:vAlign w:val="bottom"/>
          </w:tcPr>
          <w:p>
            <w:pPr>
              <w:spacing w:after="0"/>
              <w:rPr>
                <w:sz w:val="1"/>
                <w:szCs w:val="1"/>
                <w:color w:val="auto"/>
              </w:rPr>
            </w:pPr>
          </w:p>
        </w:tc>
      </w:tr>
      <w:tr>
        <w:trPr>
          <w:trHeight w:val="214"/>
        </w:trPr>
        <w:tc>
          <w:tcPr>
            <w:tcW w:w="4820" w:type="dxa"/>
            <w:vAlign w:val="bottom"/>
          </w:tcPr>
          <w:p>
            <w:pPr>
              <w:ind w:left="160"/>
              <w:spacing w:after="0"/>
              <w:rPr>
                <w:sz w:val="20"/>
                <w:szCs w:val="20"/>
                <w:color w:val="auto"/>
              </w:rPr>
            </w:pPr>
            <w:r>
              <w:rPr>
                <w:rFonts w:ascii="Arial" w:cs="Arial" w:eastAsia="Arial" w:hAnsi="Arial"/>
                <w:sz w:val="18"/>
                <w:szCs w:val="18"/>
                <w:color w:val="auto"/>
                <w:w w:val="91"/>
              </w:rPr>
              <w:t>Unrealized losses on derivative financial instruments accounted</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820" w:type="dxa"/>
            <w:vAlign w:val="bottom"/>
          </w:tcPr>
          <w:p>
            <w:pPr>
              <w:ind w:left="320"/>
              <w:spacing w:after="0"/>
              <w:rPr>
                <w:sz w:val="20"/>
                <w:szCs w:val="20"/>
                <w:color w:val="auto"/>
              </w:rPr>
            </w:pPr>
            <w:r>
              <w:rPr>
                <w:rFonts w:ascii="Arial" w:cs="Arial" w:eastAsia="Arial" w:hAnsi="Arial"/>
                <w:sz w:val="18"/>
                <w:szCs w:val="18"/>
                <w:color w:val="auto"/>
              </w:rPr>
              <w:t>for as cash flow hedges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(4,855)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1,889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(2,966)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(4,855)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1,889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(2,966)</w:t>
            </w:r>
          </w:p>
        </w:tc>
        <w:tc>
          <w:tcPr>
            <w:tcW w:w="0" w:type="dxa"/>
            <w:vAlign w:val="bottom"/>
          </w:tcPr>
          <w:p>
            <w:pPr>
              <w:spacing w:after="0"/>
              <w:rPr>
                <w:sz w:val="1"/>
                <w:szCs w:val="1"/>
                <w:color w:val="auto"/>
              </w:rPr>
            </w:pPr>
          </w:p>
        </w:tc>
      </w:tr>
      <w:tr>
        <w:trPr>
          <w:trHeight w:val="214"/>
        </w:trPr>
        <w:tc>
          <w:tcPr>
            <w:tcW w:w="4820" w:type="dxa"/>
            <w:vAlign w:val="bottom"/>
          </w:tcPr>
          <w:p>
            <w:pPr>
              <w:ind w:left="160"/>
              <w:spacing w:after="0"/>
              <w:rPr>
                <w:sz w:val="20"/>
                <w:szCs w:val="20"/>
                <w:color w:val="auto"/>
              </w:rPr>
            </w:pPr>
            <w:r>
              <w:rPr>
                <w:rFonts w:ascii="Arial" w:cs="Arial" w:eastAsia="Arial" w:hAnsi="Arial"/>
                <w:sz w:val="18"/>
                <w:szCs w:val="18"/>
                <w:color w:val="auto"/>
                <w:w w:val="97"/>
              </w:rPr>
              <w:t>Valuation allowance for the change in deferred taxes arising</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820" w:type="dxa"/>
            <w:vAlign w:val="bottom"/>
          </w:tcPr>
          <w:p>
            <w:pPr>
              <w:ind w:left="320"/>
              <w:spacing w:after="0"/>
              <w:rPr>
                <w:sz w:val="20"/>
                <w:szCs w:val="20"/>
                <w:color w:val="auto"/>
              </w:rPr>
            </w:pPr>
            <w:r>
              <w:rPr>
                <w:rFonts w:ascii="Arial" w:cs="Arial" w:eastAsia="Arial" w:hAnsi="Arial"/>
                <w:sz w:val="18"/>
                <w:szCs w:val="18"/>
                <w:color w:val="auto"/>
                <w:w w:val="95"/>
              </w:rPr>
              <w:t>from unrealized gains and losses and amortization of gains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4820" w:type="dxa"/>
            <w:vAlign w:val="bottom"/>
          </w:tcPr>
          <w:p>
            <w:pPr>
              <w:ind w:left="320"/>
              <w:spacing w:after="0"/>
              <w:rPr>
                <w:sz w:val="20"/>
                <w:szCs w:val="20"/>
                <w:color w:val="auto"/>
              </w:rPr>
            </w:pPr>
            <w:r>
              <w:rPr>
                <w:rFonts w:ascii="Arial" w:cs="Arial" w:eastAsia="Arial" w:hAnsi="Arial"/>
                <w:sz w:val="18"/>
                <w:szCs w:val="18"/>
                <w:color w:val="auto"/>
              </w:rPr>
              <w:t>included in net income on cash flow hedges</w:t>
            </w: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(2,167)</w:t>
            </w: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(2,167)</w:t>
            </w: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(2,789)</w:t>
            </w: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(2,789)</w:t>
            </w:r>
          </w:p>
        </w:tc>
        <w:tc>
          <w:tcPr>
            <w:tcW w:w="0" w:type="dxa"/>
            <w:vAlign w:val="bottom"/>
          </w:tcPr>
          <w:p>
            <w:pPr>
              <w:spacing w:after="0"/>
              <w:rPr>
                <w:sz w:val="1"/>
                <w:szCs w:val="1"/>
                <w:color w:val="auto"/>
              </w:rPr>
            </w:pPr>
          </w:p>
        </w:tc>
      </w:tr>
    </w:tbl>
    <w:p>
      <w:pPr>
        <w:sectPr>
          <w:pgSz w:w="11900" w:h="16838" w:orient="portrait"/>
          <w:cols w:equalWidth="0" w:num="1">
            <w:col w:w="11420"/>
          </w:cols>
          <w:pgMar w:left="240" w:top="912" w:right="239" w:bottom="0" w:gutter="0" w:footer="0" w:header="0"/>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4760" w:type="dxa"/>
            <w:vAlign w:val="bottom"/>
          </w:tcPr>
          <w:p>
            <w:pPr>
              <w:ind w:left="320"/>
              <w:spacing w:after="0"/>
              <w:rPr>
                <w:sz w:val="20"/>
                <w:szCs w:val="20"/>
                <w:color w:val="auto"/>
              </w:rPr>
            </w:pPr>
            <w:r>
              <w:rPr>
                <w:rFonts w:ascii="Arial" w:cs="Arial" w:eastAsia="Arial" w:hAnsi="Arial"/>
                <w:sz w:val="18"/>
                <w:szCs w:val="18"/>
                <w:color w:val="auto"/>
              </w:rPr>
              <w:t>Net unrealized losses</w:t>
            </w:r>
          </w:p>
        </w:tc>
        <w:tc>
          <w:tcPr>
            <w:tcW w:w="2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(5,569)</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(5,569)</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(7,169)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(7,169)</w:t>
            </w:r>
          </w:p>
        </w:tc>
      </w:tr>
      <w:tr>
        <w:trPr>
          <w:trHeight w:val="214"/>
        </w:trPr>
        <w:tc>
          <w:tcPr>
            <w:tcW w:w="4760" w:type="dxa"/>
            <w:vAlign w:val="bottom"/>
          </w:tcPr>
          <w:p>
            <w:pPr>
              <w:spacing w:after="0"/>
              <w:rPr>
                <w:sz w:val="20"/>
                <w:szCs w:val="20"/>
                <w:color w:val="auto"/>
              </w:rPr>
            </w:pPr>
            <w:r>
              <w:rPr>
                <w:rFonts w:ascii="Arial" w:cs="Arial" w:eastAsia="Arial" w:hAnsi="Arial"/>
                <w:sz w:val="18"/>
                <w:szCs w:val="18"/>
                <w:color w:val="auto"/>
              </w:rPr>
              <w:t>Net actuarial loss on defined benefit pension plan</w:t>
            </w:r>
          </w:p>
        </w:tc>
        <w:tc>
          <w:tcPr>
            <w:tcW w:w="240" w:type="dxa"/>
            <w:vAlign w:val="bottom"/>
          </w:tcPr>
          <w:p>
            <w:pPr>
              <w:spacing w:after="0"/>
              <w:rPr>
                <w:sz w:val="18"/>
                <w:szCs w:val="18"/>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14"/>
        </w:trPr>
        <w:tc>
          <w:tcPr>
            <w:tcW w:w="4760" w:type="dxa"/>
            <w:vAlign w:val="bottom"/>
          </w:tcPr>
          <w:p>
            <w:pPr>
              <w:spacing w:after="0"/>
              <w:rPr>
                <w:sz w:val="20"/>
                <w:szCs w:val="20"/>
                <w:color w:val="auto"/>
              </w:rPr>
            </w:pPr>
            <w:r>
              <w:rPr>
                <w:rFonts w:ascii="Arial" w:cs="Arial" w:eastAsia="Arial" w:hAnsi="Arial"/>
                <w:sz w:val="18"/>
                <w:szCs w:val="18"/>
                <w:color w:val="auto"/>
                <w:w w:val="95"/>
              </w:rPr>
              <w:t>Amortization of prior service cost and actuarial losses included</w:t>
            </w: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14"/>
        </w:trPr>
        <w:tc>
          <w:tcPr>
            <w:tcW w:w="4760" w:type="dxa"/>
            <w:vAlign w:val="bottom"/>
          </w:tcPr>
          <w:p>
            <w:pPr>
              <w:ind w:left="160"/>
              <w:spacing w:after="0"/>
              <w:rPr>
                <w:sz w:val="20"/>
                <w:szCs w:val="20"/>
                <w:color w:val="auto"/>
              </w:rPr>
            </w:pPr>
            <w:r>
              <w:rPr>
                <w:rFonts w:ascii="Arial" w:cs="Arial" w:eastAsia="Arial" w:hAnsi="Arial"/>
                <w:sz w:val="18"/>
                <w:szCs w:val="18"/>
                <w:color w:val="auto"/>
                <w:w w:val="96"/>
              </w:rPr>
              <w:t>in net periodic pension cost for defined benefit pension plan</w:t>
            </w:r>
          </w:p>
        </w:tc>
        <w:tc>
          <w:tcPr>
            <w:tcW w:w="240" w:type="dxa"/>
            <w:vAlign w:val="bottom"/>
          </w:tcPr>
          <w:p>
            <w:pPr>
              <w:spacing w:after="0"/>
              <w:rPr>
                <w:sz w:val="18"/>
                <w:szCs w:val="18"/>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154</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(60)</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94</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308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(120)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188</w:t>
            </w:r>
          </w:p>
        </w:tc>
      </w:tr>
      <w:tr>
        <w:trPr>
          <w:trHeight w:val="214"/>
        </w:trPr>
        <w:tc>
          <w:tcPr>
            <w:tcW w:w="4760" w:type="dxa"/>
            <w:vAlign w:val="bottom"/>
          </w:tcPr>
          <w:p>
            <w:pPr>
              <w:spacing w:after="0"/>
              <w:rPr>
                <w:sz w:val="20"/>
                <w:szCs w:val="20"/>
                <w:color w:val="auto"/>
              </w:rPr>
            </w:pPr>
            <w:r>
              <w:rPr>
                <w:rFonts w:ascii="Arial" w:cs="Arial" w:eastAsia="Arial" w:hAnsi="Arial"/>
                <w:sz w:val="18"/>
                <w:szCs w:val="18"/>
                <w:color w:val="auto"/>
                <w:w w:val="99"/>
              </w:rPr>
              <w:t>Valuation allowance for the change in deferred taxes arising</w:t>
            </w: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14"/>
        </w:trPr>
        <w:tc>
          <w:tcPr>
            <w:tcW w:w="4760" w:type="dxa"/>
            <w:vAlign w:val="bottom"/>
          </w:tcPr>
          <w:p>
            <w:pPr>
              <w:ind w:left="160"/>
              <w:spacing w:after="0"/>
              <w:rPr>
                <w:sz w:val="20"/>
                <w:szCs w:val="20"/>
                <w:color w:val="auto"/>
              </w:rPr>
            </w:pPr>
            <w:r>
              <w:rPr>
                <w:rFonts w:ascii="Arial" w:cs="Arial" w:eastAsia="Arial" w:hAnsi="Arial"/>
                <w:sz w:val="18"/>
                <w:szCs w:val="18"/>
                <w:color w:val="auto"/>
                <w:w w:val="99"/>
              </w:rPr>
              <w:t>from reclassification of unamortized prior service cost and</w:t>
            </w: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14"/>
        </w:trPr>
        <w:tc>
          <w:tcPr>
            <w:tcW w:w="4760" w:type="dxa"/>
            <w:vAlign w:val="bottom"/>
          </w:tcPr>
          <w:p>
            <w:pPr>
              <w:ind w:left="160"/>
              <w:spacing w:after="0"/>
              <w:rPr>
                <w:sz w:val="20"/>
                <w:szCs w:val="20"/>
                <w:color w:val="auto"/>
              </w:rPr>
            </w:pPr>
            <w:r>
              <w:rPr>
                <w:rFonts w:ascii="Arial" w:cs="Arial" w:eastAsia="Arial" w:hAnsi="Arial"/>
                <w:sz w:val="18"/>
                <w:szCs w:val="18"/>
                <w:color w:val="auto"/>
                <w:w w:val="99"/>
              </w:rPr>
              <w:t>actuarial losses and amortization of prior service cost and</w:t>
            </w: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35"/>
        </w:trPr>
        <w:tc>
          <w:tcPr>
            <w:tcW w:w="4760" w:type="dxa"/>
            <w:vAlign w:val="bottom"/>
          </w:tcPr>
          <w:p>
            <w:pPr>
              <w:ind w:left="160"/>
              <w:spacing w:after="0"/>
              <w:rPr>
                <w:sz w:val="20"/>
                <w:szCs w:val="20"/>
                <w:color w:val="auto"/>
              </w:rPr>
            </w:pPr>
            <w:r>
              <w:rPr>
                <w:rFonts w:ascii="Arial" w:cs="Arial" w:eastAsia="Arial" w:hAnsi="Arial"/>
                <w:sz w:val="18"/>
                <w:szCs w:val="18"/>
                <w:color w:val="auto"/>
              </w:rPr>
              <w:t>actuarial losses</w:t>
            </w:r>
          </w:p>
        </w:tc>
        <w:tc>
          <w:tcPr>
            <w:tcW w:w="24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60</w:t>
            </w:r>
          </w:p>
        </w:tc>
        <w:tc>
          <w:tcPr>
            <w:tcW w:w="1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60</w:t>
            </w: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120</w:t>
            </w: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120</w:t>
            </w:r>
          </w:p>
        </w:tc>
      </w:tr>
      <w:tr>
        <w:trPr>
          <w:trHeight w:val="221"/>
        </w:trPr>
        <w:tc>
          <w:tcPr>
            <w:tcW w:w="4760" w:type="dxa"/>
            <w:vAlign w:val="bottom"/>
          </w:tcPr>
          <w:p>
            <w:pPr>
              <w:ind w:left="320"/>
              <w:spacing w:after="0"/>
              <w:rPr>
                <w:sz w:val="20"/>
                <w:szCs w:val="20"/>
                <w:color w:val="auto"/>
              </w:rPr>
            </w:pPr>
            <w:r>
              <w:rPr>
                <w:rFonts w:ascii="Arial" w:cs="Arial" w:eastAsia="Arial" w:hAnsi="Arial"/>
                <w:sz w:val="18"/>
                <w:szCs w:val="18"/>
                <w:color w:val="auto"/>
              </w:rPr>
              <w:t>Net defined benefit pension plan activity</w:t>
            </w:r>
          </w:p>
        </w:tc>
        <w:tc>
          <w:tcPr>
            <w:tcW w:w="2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154</w:t>
            </w:r>
          </w:p>
        </w:tc>
        <w:tc>
          <w:tcPr>
            <w:tcW w:w="1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154</w:t>
            </w: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308</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308</w:t>
            </w:r>
          </w:p>
        </w:tc>
      </w:tr>
      <w:tr>
        <w:trPr>
          <w:trHeight w:val="435"/>
        </w:trPr>
        <w:tc>
          <w:tcPr>
            <w:tcW w:w="4760" w:type="dxa"/>
            <w:vAlign w:val="bottom"/>
          </w:tcPr>
          <w:p>
            <w:pPr>
              <w:ind w:left="540"/>
              <w:spacing w:after="0"/>
              <w:rPr>
                <w:sz w:val="20"/>
                <w:szCs w:val="20"/>
                <w:color w:val="auto"/>
              </w:rPr>
            </w:pPr>
            <w:r>
              <w:rPr>
                <w:rFonts w:ascii="Arial" w:cs="Arial" w:eastAsia="Arial" w:hAnsi="Arial"/>
                <w:sz w:val="18"/>
                <w:szCs w:val="18"/>
                <w:color w:val="auto"/>
              </w:rPr>
              <w:t>Total other comprehensive income (loss)</w:t>
            </w:r>
          </w:p>
        </w:tc>
        <w:tc>
          <w:tcPr>
            <w:tcW w:w="2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(8,041)</w:t>
            </w:r>
          </w:p>
        </w:tc>
        <w:tc>
          <w:tcPr>
            <w:tcW w:w="1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(8,041)</w:t>
            </w:r>
          </w:p>
        </w:tc>
        <w:tc>
          <w:tcPr>
            <w:tcW w:w="1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(13,797)</w:t>
            </w:r>
          </w:p>
        </w:tc>
        <w:tc>
          <w:tcPr>
            <w:tcW w:w="1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(13,797)</w:t>
            </w:r>
          </w:p>
        </w:tc>
      </w:tr>
      <w:tr>
        <w:trPr>
          <w:trHeight w:val="428"/>
        </w:trPr>
        <w:tc>
          <w:tcPr>
            <w:tcW w:w="4760" w:type="dxa"/>
            <w:vAlign w:val="bottom"/>
          </w:tcPr>
          <w:p>
            <w:pPr>
              <w:ind w:left="560"/>
              <w:spacing w:after="0"/>
              <w:rPr>
                <w:sz w:val="20"/>
                <w:szCs w:val="20"/>
                <w:color w:val="auto"/>
              </w:rPr>
            </w:pPr>
            <w:r>
              <w:rPr>
                <w:rFonts w:ascii="Arial" w:cs="Arial" w:eastAsia="Arial" w:hAnsi="Arial"/>
                <w:sz w:val="18"/>
                <w:szCs w:val="18"/>
                <w:color w:val="auto"/>
              </w:rPr>
              <w:t>Comprehensive income</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(1,092)</w:t>
            </w:r>
          </w:p>
        </w:tc>
        <w:tc>
          <w:tcPr>
            <w:tcW w:w="4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(450)</w:t>
            </w:r>
          </w:p>
        </w:tc>
        <w:tc>
          <w:tcPr>
            <w:tcW w:w="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(1,542)</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4,994</w:t>
            </w:r>
          </w:p>
        </w:tc>
        <w:tc>
          <w:tcPr>
            <w:tcW w:w="4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(764)</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4,230</w:t>
            </w:r>
          </w:p>
        </w:tc>
      </w:tr>
      <w:tr>
        <w:trPr>
          <w:trHeight w:val="21"/>
        </w:trPr>
        <w:tc>
          <w:tcPr>
            <w:tcW w:w="47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r>
    </w:tbl>
    <w:p>
      <w:pPr>
        <w:spacing w:after="0" w:line="227"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22"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-96520</wp:posOffset>
            </wp:positionH>
            <wp:positionV relativeFrom="paragraph">
              <wp:posOffset>13970</wp:posOffset>
            </wp:positionV>
            <wp:extent cx="724789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7890" cy="8255"/>
                    </a:xfrm>
                    <a:prstGeom prst="rect">
                      <a:avLst/>
                    </a:prstGeom>
                    <a:noFill/>
                  </pic:spPr>
                </pic:pic>
              </a:graphicData>
            </a:graphic>
          </wp:anchor>
        </w:drawing>
      </w:r>
    </w:p>
    <w:p>
      <w:pPr>
        <w:sectPr>
          <w:pgSz w:w="11900" w:h="16838" w:orient="portrait"/>
          <w:cols w:equalWidth="0" w:num="1">
            <w:col w:w="11260"/>
          </w:cols>
          <w:pgMar w:left="400" w:top="125"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UNITED COMMUNITY BANKS, INC.</w:t>
      </w:r>
    </w:p>
    <w:p>
      <w:pPr>
        <w:spacing w:after="0" w:line="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Consolidated Balance Sheet </w:t>
      </w:r>
      <w:r>
        <w:rPr>
          <w:rFonts w:ascii="Arial" w:cs="Arial" w:eastAsia="Arial" w:hAnsi="Arial"/>
          <w:sz w:val="18"/>
          <w:szCs w:val="18"/>
          <w:b w:val="1"/>
          <w:bCs w:val="1"/>
          <w:i w:val="1"/>
          <w:iCs w:val="1"/>
          <w:color w:val="auto"/>
        </w:rPr>
        <w:t>(Unaudited)</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73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right"/>
              <w:ind w:right="291"/>
              <w:spacing w:after="0" w:line="204" w:lineRule="exact"/>
              <w:rPr>
                <w:sz w:val="20"/>
                <w:szCs w:val="20"/>
                <w:color w:val="auto"/>
              </w:rPr>
            </w:pPr>
            <w:r>
              <w:rPr>
                <w:rFonts w:ascii="Arial" w:cs="Arial" w:eastAsia="Arial" w:hAnsi="Arial"/>
                <w:sz w:val="18"/>
                <w:szCs w:val="18"/>
                <w:b w:val="1"/>
                <w:bCs w:val="1"/>
                <w:color w:val="auto"/>
                <w:w w:val="97"/>
              </w:rPr>
              <w:t>June 30,</w:t>
            </w:r>
          </w:p>
        </w:tc>
        <w:tc>
          <w:tcPr>
            <w:tcW w:w="12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gridSpan w:val="2"/>
          </w:tcPr>
          <w:p>
            <w:pPr>
              <w:jc w:val="right"/>
              <w:ind w:right="71"/>
              <w:spacing w:after="0" w:line="204" w:lineRule="exact"/>
              <w:rPr>
                <w:sz w:val="20"/>
                <w:szCs w:val="20"/>
                <w:color w:val="auto"/>
              </w:rPr>
            </w:pPr>
            <w:r>
              <w:rPr>
                <w:rFonts w:ascii="Arial" w:cs="Arial" w:eastAsia="Arial" w:hAnsi="Arial"/>
                <w:sz w:val="18"/>
                <w:szCs w:val="18"/>
                <w:b w:val="1"/>
                <w:bCs w:val="1"/>
                <w:color w:val="auto"/>
                <w:w w:val="90"/>
              </w:rPr>
              <w:t>December 31,</w:t>
            </w:r>
          </w:p>
        </w:tc>
        <w:tc>
          <w:tcPr>
            <w:tcW w:w="10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jc w:val="right"/>
              <w:ind w:right="271"/>
              <w:spacing w:after="0" w:line="204" w:lineRule="exact"/>
              <w:rPr>
                <w:sz w:val="20"/>
                <w:szCs w:val="20"/>
                <w:color w:val="auto"/>
              </w:rPr>
            </w:pPr>
            <w:r>
              <w:rPr>
                <w:rFonts w:ascii="Arial" w:cs="Arial" w:eastAsia="Arial" w:hAnsi="Arial"/>
                <w:sz w:val="18"/>
                <w:szCs w:val="18"/>
                <w:b w:val="1"/>
                <w:bCs w:val="1"/>
                <w:color w:val="auto"/>
                <w:w w:val="94"/>
              </w:rPr>
              <w:t>June 30,</w:t>
            </w:r>
          </w:p>
        </w:tc>
        <w:tc>
          <w:tcPr>
            <w:tcW w:w="0" w:type="dxa"/>
            <w:vAlign w:val="bottom"/>
          </w:tcPr>
          <w:p>
            <w:pPr>
              <w:spacing w:after="0"/>
              <w:rPr>
                <w:sz w:val="1"/>
                <w:szCs w:val="1"/>
                <w:color w:val="auto"/>
              </w:rPr>
            </w:pPr>
          </w:p>
        </w:tc>
      </w:tr>
      <w:tr>
        <w:trPr>
          <w:trHeight w:val="239"/>
        </w:trPr>
        <w:tc>
          <w:tcPr>
            <w:tcW w:w="732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(in thousands, except share and per share data)</w:t>
            </w: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31"/>
              <w:spacing w:after="0"/>
              <w:rPr>
                <w:sz w:val="20"/>
                <w:szCs w:val="20"/>
                <w:color w:val="auto"/>
              </w:rPr>
            </w:pPr>
            <w:r>
              <w:rPr>
                <w:rFonts w:ascii="Arial" w:cs="Arial" w:eastAsia="Arial" w:hAnsi="Arial"/>
                <w:sz w:val="18"/>
                <w:szCs w:val="18"/>
                <w:b w:val="1"/>
                <w:bCs w:val="1"/>
                <w:color w:val="auto"/>
              </w:rPr>
              <w:t>2013</w:t>
            </w: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411"/>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11"/>
              <w:spacing w:after="0"/>
              <w:rPr>
                <w:sz w:val="20"/>
                <w:szCs w:val="20"/>
                <w:color w:val="auto"/>
              </w:rPr>
            </w:pPr>
            <w:r>
              <w:rPr>
                <w:rFonts w:ascii="Arial" w:cs="Arial" w:eastAsia="Arial" w:hAnsi="Arial"/>
                <w:sz w:val="18"/>
                <w:szCs w:val="18"/>
                <w:b w:val="1"/>
                <w:bCs w:val="1"/>
                <w:color w:val="auto"/>
              </w:rPr>
              <w:t>2012</w:t>
            </w:r>
          </w:p>
        </w:tc>
        <w:tc>
          <w:tcPr>
            <w:tcW w:w="0" w:type="dxa"/>
            <w:vAlign w:val="bottom"/>
          </w:tcPr>
          <w:p>
            <w:pPr>
              <w:spacing w:after="0"/>
              <w:rPr>
                <w:sz w:val="1"/>
                <w:szCs w:val="1"/>
                <w:color w:val="auto"/>
              </w:rPr>
            </w:pPr>
          </w:p>
        </w:tc>
      </w:tr>
      <w:tr>
        <w:trPr>
          <w:trHeight w:val="200"/>
        </w:trPr>
        <w:tc>
          <w:tcPr>
            <w:tcW w:w="7320" w:type="dxa"/>
            <w:vAlign w:val="bottom"/>
          </w:tcPr>
          <w:p>
            <w:pPr>
              <w:ind w:left="40"/>
              <w:spacing w:after="0" w:line="200" w:lineRule="exact"/>
              <w:rPr>
                <w:sz w:val="20"/>
                <w:szCs w:val="20"/>
                <w:color w:val="auto"/>
              </w:rPr>
            </w:pPr>
            <w:r>
              <w:rPr>
                <w:rFonts w:ascii="Arial" w:cs="Arial" w:eastAsia="Arial" w:hAnsi="Arial"/>
                <w:sz w:val="18"/>
                <w:szCs w:val="18"/>
                <w:b w:val="1"/>
                <w:bCs w:val="1"/>
                <w:color w:val="auto"/>
              </w:rPr>
              <w:t>ASSETS</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7320" w:type="dxa"/>
            <w:vAlign w:val="bottom"/>
          </w:tcPr>
          <w:p>
            <w:pPr>
              <w:ind w:left="140"/>
              <w:spacing w:after="0"/>
              <w:rPr>
                <w:sz w:val="20"/>
                <w:szCs w:val="20"/>
                <w:color w:val="auto"/>
              </w:rPr>
            </w:pPr>
            <w:r>
              <w:rPr>
                <w:rFonts w:ascii="Arial" w:cs="Arial" w:eastAsia="Arial" w:hAnsi="Arial"/>
                <w:sz w:val="18"/>
                <w:szCs w:val="18"/>
                <w:color w:val="auto"/>
              </w:rPr>
              <w:t>Cash and due from banks</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62,564</w:t>
            </w:r>
          </w:p>
        </w:tc>
        <w:tc>
          <w:tcPr>
            <w:tcW w:w="360" w:type="dxa"/>
            <w:vAlign w:val="bottom"/>
            <w:gridSpan w:val="2"/>
          </w:tcPr>
          <w:p>
            <w:pPr>
              <w:jc w:val="right"/>
              <w:ind w:right="82"/>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66,536</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50,596</w:t>
            </w:r>
          </w:p>
        </w:tc>
        <w:tc>
          <w:tcPr>
            <w:tcW w:w="0" w:type="dxa"/>
            <w:vAlign w:val="bottom"/>
          </w:tcPr>
          <w:p>
            <w:pPr>
              <w:spacing w:after="0"/>
              <w:rPr>
                <w:sz w:val="1"/>
                <w:szCs w:val="1"/>
                <w:color w:val="auto"/>
              </w:rPr>
            </w:pPr>
          </w:p>
        </w:tc>
      </w:tr>
      <w:tr>
        <w:trPr>
          <w:trHeight w:val="214"/>
        </w:trPr>
        <w:tc>
          <w:tcPr>
            <w:tcW w:w="7320" w:type="dxa"/>
            <w:vAlign w:val="bottom"/>
          </w:tcPr>
          <w:p>
            <w:pPr>
              <w:ind w:left="140"/>
              <w:spacing w:after="0"/>
              <w:rPr>
                <w:sz w:val="20"/>
                <w:szCs w:val="20"/>
                <w:color w:val="auto"/>
              </w:rPr>
            </w:pPr>
            <w:r>
              <w:rPr>
                <w:rFonts w:ascii="Arial" w:cs="Arial" w:eastAsia="Arial" w:hAnsi="Arial"/>
                <w:sz w:val="18"/>
                <w:szCs w:val="18"/>
                <w:color w:val="auto"/>
              </w:rPr>
              <w:t>Interest-bearing deposits in banks</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141,016</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124,613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133,857</w:t>
            </w:r>
          </w:p>
        </w:tc>
        <w:tc>
          <w:tcPr>
            <w:tcW w:w="0" w:type="dxa"/>
            <w:vAlign w:val="bottom"/>
          </w:tcPr>
          <w:p>
            <w:pPr>
              <w:spacing w:after="0"/>
              <w:rPr>
                <w:sz w:val="1"/>
                <w:szCs w:val="1"/>
                <w:color w:val="auto"/>
              </w:rPr>
            </w:pPr>
          </w:p>
        </w:tc>
      </w:tr>
      <w:tr>
        <w:trPr>
          <w:trHeight w:val="235"/>
        </w:trPr>
        <w:tc>
          <w:tcPr>
            <w:tcW w:w="7320" w:type="dxa"/>
            <w:vAlign w:val="bottom"/>
          </w:tcPr>
          <w:p>
            <w:pPr>
              <w:ind w:left="140"/>
              <w:spacing w:after="0"/>
              <w:rPr>
                <w:sz w:val="20"/>
                <w:szCs w:val="20"/>
                <w:color w:val="auto"/>
              </w:rPr>
            </w:pPr>
            <w:r>
              <w:rPr>
                <w:rFonts w:ascii="Arial" w:cs="Arial" w:eastAsia="Arial" w:hAnsi="Arial"/>
                <w:sz w:val="18"/>
                <w:szCs w:val="18"/>
                <w:color w:val="auto"/>
              </w:rPr>
              <w:t>Short-term investments</w:t>
            </w: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57,000</w:t>
            </w: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60,000</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120,000</w:t>
            </w:r>
          </w:p>
        </w:tc>
        <w:tc>
          <w:tcPr>
            <w:tcW w:w="0" w:type="dxa"/>
            <w:vAlign w:val="bottom"/>
          </w:tcPr>
          <w:p>
            <w:pPr>
              <w:spacing w:after="0"/>
              <w:rPr>
                <w:sz w:val="1"/>
                <w:szCs w:val="1"/>
                <w:color w:val="auto"/>
              </w:rPr>
            </w:pPr>
          </w:p>
        </w:tc>
      </w:tr>
      <w:tr>
        <w:trPr>
          <w:trHeight w:val="200"/>
        </w:trPr>
        <w:tc>
          <w:tcPr>
            <w:tcW w:w="7320" w:type="dxa"/>
            <w:vAlign w:val="bottom"/>
          </w:tcPr>
          <w:p>
            <w:pPr>
              <w:ind w:left="320"/>
              <w:spacing w:after="0" w:line="200" w:lineRule="exact"/>
              <w:rPr>
                <w:sz w:val="20"/>
                <w:szCs w:val="20"/>
                <w:color w:val="auto"/>
              </w:rPr>
            </w:pPr>
            <w:r>
              <w:rPr>
                <w:rFonts w:ascii="Arial" w:cs="Arial" w:eastAsia="Arial" w:hAnsi="Arial"/>
                <w:sz w:val="18"/>
                <w:szCs w:val="18"/>
                <w:color w:val="auto"/>
              </w:rPr>
              <w:t>Cash and cash equivalents</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jc w:val="right"/>
              <w:ind w:right="31"/>
              <w:spacing w:after="0" w:line="200" w:lineRule="exact"/>
              <w:rPr>
                <w:sz w:val="20"/>
                <w:szCs w:val="20"/>
                <w:color w:val="auto"/>
              </w:rPr>
            </w:pPr>
            <w:r>
              <w:rPr>
                <w:rFonts w:ascii="Arial" w:cs="Arial" w:eastAsia="Arial" w:hAnsi="Arial"/>
                <w:sz w:val="18"/>
                <w:szCs w:val="18"/>
                <w:color w:val="auto"/>
              </w:rPr>
              <w:t>260,580</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ind w:right="11"/>
              <w:spacing w:after="0" w:line="200" w:lineRule="exact"/>
              <w:rPr>
                <w:sz w:val="20"/>
                <w:szCs w:val="20"/>
                <w:color w:val="auto"/>
              </w:rPr>
            </w:pPr>
            <w:r>
              <w:rPr>
                <w:rFonts w:ascii="Arial" w:cs="Arial" w:eastAsia="Arial" w:hAnsi="Arial"/>
                <w:sz w:val="18"/>
                <w:szCs w:val="18"/>
                <w:color w:val="auto"/>
              </w:rPr>
              <w:t>251,149</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jc w:val="right"/>
              <w:ind w:right="11"/>
              <w:spacing w:after="0" w:line="200" w:lineRule="exact"/>
              <w:rPr>
                <w:sz w:val="20"/>
                <w:szCs w:val="20"/>
                <w:color w:val="auto"/>
              </w:rPr>
            </w:pPr>
            <w:r>
              <w:rPr>
                <w:rFonts w:ascii="Arial" w:cs="Arial" w:eastAsia="Arial" w:hAnsi="Arial"/>
                <w:sz w:val="18"/>
                <w:szCs w:val="18"/>
                <w:color w:val="auto"/>
              </w:rPr>
              <w:t>304,453</w:t>
            </w:r>
          </w:p>
        </w:tc>
        <w:tc>
          <w:tcPr>
            <w:tcW w:w="0" w:type="dxa"/>
            <w:vAlign w:val="bottom"/>
          </w:tcPr>
          <w:p>
            <w:pPr>
              <w:spacing w:after="0"/>
              <w:rPr>
                <w:sz w:val="1"/>
                <w:szCs w:val="1"/>
                <w:color w:val="auto"/>
              </w:rPr>
            </w:pPr>
          </w:p>
        </w:tc>
      </w:tr>
      <w:tr>
        <w:trPr>
          <w:trHeight w:val="214"/>
        </w:trPr>
        <w:tc>
          <w:tcPr>
            <w:tcW w:w="7320" w:type="dxa"/>
            <w:vAlign w:val="bottom"/>
          </w:tcPr>
          <w:p>
            <w:pPr>
              <w:ind w:left="140"/>
              <w:spacing w:after="0"/>
              <w:rPr>
                <w:sz w:val="20"/>
                <w:szCs w:val="20"/>
                <w:color w:val="auto"/>
              </w:rPr>
            </w:pPr>
            <w:r>
              <w:rPr>
                <w:rFonts w:ascii="Arial" w:cs="Arial" w:eastAsia="Arial" w:hAnsi="Arial"/>
                <w:sz w:val="18"/>
                <w:szCs w:val="18"/>
                <w:color w:val="auto"/>
              </w:rPr>
              <w:t>Securities available-for-sale</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1,937,264</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1,834,593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1,701,583</w:t>
            </w:r>
          </w:p>
        </w:tc>
        <w:tc>
          <w:tcPr>
            <w:tcW w:w="0" w:type="dxa"/>
            <w:vAlign w:val="bottom"/>
          </w:tcPr>
          <w:p>
            <w:pPr>
              <w:spacing w:after="0"/>
              <w:rPr>
                <w:sz w:val="1"/>
                <w:szCs w:val="1"/>
                <w:color w:val="auto"/>
              </w:rPr>
            </w:pPr>
          </w:p>
        </w:tc>
      </w:tr>
      <w:tr>
        <w:trPr>
          <w:trHeight w:val="214"/>
        </w:trPr>
        <w:tc>
          <w:tcPr>
            <w:tcW w:w="7320" w:type="dxa"/>
            <w:vAlign w:val="bottom"/>
          </w:tcPr>
          <w:p>
            <w:pPr>
              <w:ind w:left="140"/>
              <w:spacing w:after="0"/>
              <w:rPr>
                <w:sz w:val="20"/>
                <w:szCs w:val="20"/>
                <w:color w:val="auto"/>
              </w:rPr>
            </w:pPr>
            <w:r>
              <w:rPr>
                <w:rFonts w:ascii="Arial" w:cs="Arial" w:eastAsia="Arial" w:hAnsi="Arial"/>
                <w:sz w:val="18"/>
                <w:szCs w:val="18"/>
                <w:color w:val="auto"/>
              </w:rPr>
              <w:t>Securities held-to-maturity (fair value $226,695, $261,131 and $299,791)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214,947</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244,184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282,750</w:t>
            </w:r>
          </w:p>
        </w:tc>
        <w:tc>
          <w:tcPr>
            <w:tcW w:w="0" w:type="dxa"/>
            <w:vAlign w:val="bottom"/>
          </w:tcPr>
          <w:p>
            <w:pPr>
              <w:spacing w:after="0"/>
              <w:rPr>
                <w:sz w:val="1"/>
                <w:szCs w:val="1"/>
                <w:color w:val="auto"/>
              </w:rPr>
            </w:pPr>
          </w:p>
        </w:tc>
      </w:tr>
      <w:tr>
        <w:trPr>
          <w:trHeight w:val="214"/>
        </w:trPr>
        <w:tc>
          <w:tcPr>
            <w:tcW w:w="7320" w:type="dxa"/>
            <w:vAlign w:val="bottom"/>
          </w:tcPr>
          <w:p>
            <w:pPr>
              <w:ind w:left="140"/>
              <w:spacing w:after="0"/>
              <w:rPr>
                <w:sz w:val="20"/>
                <w:szCs w:val="20"/>
                <w:color w:val="auto"/>
              </w:rPr>
            </w:pPr>
            <w:r>
              <w:rPr>
                <w:rFonts w:ascii="Arial" w:cs="Arial" w:eastAsia="Arial" w:hAnsi="Arial"/>
                <w:sz w:val="18"/>
                <w:szCs w:val="18"/>
                <w:color w:val="auto"/>
              </w:rPr>
              <w:t>Mortgage loans held for sale</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19,150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28,821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18,645</w:t>
            </w:r>
          </w:p>
        </w:tc>
        <w:tc>
          <w:tcPr>
            <w:tcW w:w="0" w:type="dxa"/>
            <w:vAlign w:val="bottom"/>
          </w:tcPr>
          <w:p>
            <w:pPr>
              <w:spacing w:after="0"/>
              <w:rPr>
                <w:sz w:val="1"/>
                <w:szCs w:val="1"/>
                <w:color w:val="auto"/>
              </w:rPr>
            </w:pPr>
          </w:p>
        </w:tc>
      </w:tr>
      <w:tr>
        <w:trPr>
          <w:trHeight w:val="214"/>
        </w:trPr>
        <w:tc>
          <w:tcPr>
            <w:tcW w:w="7320" w:type="dxa"/>
            <w:vAlign w:val="bottom"/>
          </w:tcPr>
          <w:p>
            <w:pPr>
              <w:ind w:left="140"/>
              <w:spacing w:after="0"/>
              <w:rPr>
                <w:sz w:val="20"/>
                <w:szCs w:val="20"/>
                <w:color w:val="auto"/>
              </w:rPr>
            </w:pPr>
            <w:r>
              <w:rPr>
                <w:rFonts w:ascii="Arial" w:cs="Arial" w:eastAsia="Arial" w:hAnsi="Arial"/>
                <w:sz w:val="18"/>
                <w:szCs w:val="18"/>
                <w:color w:val="auto"/>
              </w:rPr>
              <w:t>Loans, net of unearned income</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4,189,368</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4,175,008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4,119,235</w:t>
            </w:r>
          </w:p>
        </w:tc>
        <w:tc>
          <w:tcPr>
            <w:tcW w:w="0" w:type="dxa"/>
            <w:vAlign w:val="bottom"/>
          </w:tcPr>
          <w:p>
            <w:pPr>
              <w:spacing w:after="0"/>
              <w:rPr>
                <w:sz w:val="1"/>
                <w:szCs w:val="1"/>
                <w:color w:val="auto"/>
              </w:rPr>
            </w:pPr>
          </w:p>
        </w:tc>
      </w:tr>
      <w:tr>
        <w:trPr>
          <w:trHeight w:val="235"/>
        </w:trPr>
        <w:tc>
          <w:tcPr>
            <w:tcW w:w="7320" w:type="dxa"/>
            <w:vAlign w:val="bottom"/>
          </w:tcPr>
          <w:p>
            <w:pPr>
              <w:ind w:left="360"/>
              <w:spacing w:after="0"/>
              <w:rPr>
                <w:sz w:val="20"/>
                <w:szCs w:val="20"/>
                <w:color w:val="auto"/>
              </w:rPr>
            </w:pPr>
            <w:r>
              <w:rPr>
                <w:rFonts w:ascii="Arial" w:cs="Arial" w:eastAsia="Arial" w:hAnsi="Arial"/>
                <w:sz w:val="18"/>
                <w:szCs w:val="18"/>
                <w:color w:val="auto"/>
              </w:rPr>
              <w:t>Less allowance for loan losses</w:t>
            </w: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(81,845)</w:t>
            </w: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(107,137)</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(112,705)</w:t>
            </w:r>
          </w:p>
        </w:tc>
        <w:tc>
          <w:tcPr>
            <w:tcW w:w="0" w:type="dxa"/>
            <w:vAlign w:val="bottom"/>
          </w:tcPr>
          <w:p>
            <w:pPr>
              <w:spacing w:after="0"/>
              <w:rPr>
                <w:sz w:val="1"/>
                <w:szCs w:val="1"/>
                <w:color w:val="auto"/>
              </w:rPr>
            </w:pPr>
          </w:p>
        </w:tc>
      </w:tr>
      <w:tr>
        <w:trPr>
          <w:trHeight w:val="200"/>
        </w:trPr>
        <w:tc>
          <w:tcPr>
            <w:tcW w:w="7320" w:type="dxa"/>
            <w:vAlign w:val="bottom"/>
          </w:tcPr>
          <w:p>
            <w:pPr>
              <w:ind w:left="680"/>
              <w:spacing w:after="0" w:line="200" w:lineRule="exact"/>
              <w:rPr>
                <w:sz w:val="20"/>
                <w:szCs w:val="20"/>
                <w:color w:val="auto"/>
              </w:rPr>
            </w:pPr>
            <w:r>
              <w:rPr>
                <w:rFonts w:ascii="Arial" w:cs="Arial" w:eastAsia="Arial" w:hAnsi="Arial"/>
                <w:sz w:val="18"/>
                <w:szCs w:val="18"/>
                <w:color w:val="auto"/>
              </w:rPr>
              <w:t>Loans, net</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jc w:val="right"/>
              <w:ind w:right="31"/>
              <w:spacing w:after="0" w:line="200" w:lineRule="exact"/>
              <w:rPr>
                <w:sz w:val="20"/>
                <w:szCs w:val="20"/>
                <w:color w:val="auto"/>
              </w:rPr>
            </w:pPr>
            <w:r>
              <w:rPr>
                <w:rFonts w:ascii="Arial" w:cs="Arial" w:eastAsia="Arial" w:hAnsi="Arial"/>
                <w:sz w:val="18"/>
                <w:szCs w:val="18"/>
                <w:color w:val="auto"/>
              </w:rPr>
              <w:t>4,107,523</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ind w:right="11"/>
              <w:spacing w:after="0" w:line="200" w:lineRule="exact"/>
              <w:rPr>
                <w:sz w:val="20"/>
                <w:szCs w:val="20"/>
                <w:color w:val="auto"/>
              </w:rPr>
            </w:pPr>
            <w:r>
              <w:rPr>
                <w:rFonts w:ascii="Arial" w:cs="Arial" w:eastAsia="Arial" w:hAnsi="Arial"/>
                <w:sz w:val="18"/>
                <w:szCs w:val="18"/>
                <w:color w:val="auto"/>
              </w:rPr>
              <w:t>4,067,871</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jc w:val="right"/>
              <w:ind w:right="11"/>
              <w:spacing w:after="0" w:line="200" w:lineRule="exact"/>
              <w:rPr>
                <w:sz w:val="20"/>
                <w:szCs w:val="20"/>
                <w:color w:val="auto"/>
              </w:rPr>
            </w:pPr>
            <w:r>
              <w:rPr>
                <w:rFonts w:ascii="Arial" w:cs="Arial" w:eastAsia="Arial" w:hAnsi="Arial"/>
                <w:sz w:val="18"/>
                <w:szCs w:val="18"/>
                <w:color w:val="auto"/>
              </w:rPr>
              <w:t>4,006,530</w:t>
            </w:r>
          </w:p>
        </w:tc>
        <w:tc>
          <w:tcPr>
            <w:tcW w:w="0" w:type="dxa"/>
            <w:vAlign w:val="bottom"/>
          </w:tcPr>
          <w:p>
            <w:pPr>
              <w:spacing w:after="0"/>
              <w:rPr>
                <w:sz w:val="1"/>
                <w:szCs w:val="1"/>
                <w:color w:val="auto"/>
              </w:rPr>
            </w:pPr>
          </w:p>
        </w:tc>
      </w:tr>
      <w:tr>
        <w:trPr>
          <w:trHeight w:val="214"/>
        </w:trPr>
        <w:tc>
          <w:tcPr>
            <w:tcW w:w="7320" w:type="dxa"/>
            <w:vAlign w:val="bottom"/>
          </w:tcPr>
          <w:p>
            <w:pPr>
              <w:ind w:left="140"/>
              <w:spacing w:after="0"/>
              <w:rPr>
                <w:sz w:val="20"/>
                <w:szCs w:val="20"/>
                <w:color w:val="auto"/>
              </w:rPr>
            </w:pPr>
            <w:r>
              <w:rPr>
                <w:rFonts w:ascii="Arial" w:cs="Arial" w:eastAsia="Arial" w:hAnsi="Arial"/>
                <w:sz w:val="18"/>
                <w:szCs w:val="18"/>
                <w:color w:val="auto"/>
              </w:rPr>
              <w:t>Assets covered by loss sharing agreements with the FDIC</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35,675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47,467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65,914</w:t>
            </w:r>
          </w:p>
        </w:tc>
        <w:tc>
          <w:tcPr>
            <w:tcW w:w="0" w:type="dxa"/>
            <w:vAlign w:val="bottom"/>
          </w:tcPr>
          <w:p>
            <w:pPr>
              <w:spacing w:after="0"/>
              <w:rPr>
                <w:sz w:val="1"/>
                <w:szCs w:val="1"/>
                <w:color w:val="auto"/>
              </w:rPr>
            </w:pPr>
          </w:p>
        </w:tc>
      </w:tr>
      <w:tr>
        <w:trPr>
          <w:trHeight w:val="214"/>
        </w:trPr>
        <w:tc>
          <w:tcPr>
            <w:tcW w:w="7320" w:type="dxa"/>
            <w:vAlign w:val="bottom"/>
          </w:tcPr>
          <w:p>
            <w:pPr>
              <w:ind w:left="140"/>
              <w:spacing w:after="0"/>
              <w:rPr>
                <w:sz w:val="20"/>
                <w:szCs w:val="20"/>
                <w:color w:val="auto"/>
              </w:rPr>
            </w:pPr>
            <w:r>
              <w:rPr>
                <w:rFonts w:ascii="Arial" w:cs="Arial" w:eastAsia="Arial" w:hAnsi="Arial"/>
                <w:sz w:val="18"/>
                <w:szCs w:val="18"/>
                <w:color w:val="auto"/>
              </w:rPr>
              <w:t>Premises and equipment, net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167,197</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168,920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172,200</w:t>
            </w:r>
          </w:p>
        </w:tc>
        <w:tc>
          <w:tcPr>
            <w:tcW w:w="0" w:type="dxa"/>
            <w:vAlign w:val="bottom"/>
          </w:tcPr>
          <w:p>
            <w:pPr>
              <w:spacing w:after="0"/>
              <w:rPr>
                <w:sz w:val="1"/>
                <w:szCs w:val="1"/>
                <w:color w:val="auto"/>
              </w:rPr>
            </w:pPr>
          </w:p>
        </w:tc>
      </w:tr>
      <w:tr>
        <w:trPr>
          <w:trHeight w:val="214"/>
        </w:trPr>
        <w:tc>
          <w:tcPr>
            <w:tcW w:w="7320" w:type="dxa"/>
            <w:vAlign w:val="bottom"/>
          </w:tcPr>
          <w:p>
            <w:pPr>
              <w:ind w:left="140"/>
              <w:spacing w:after="0"/>
              <w:rPr>
                <w:sz w:val="20"/>
                <w:szCs w:val="20"/>
                <w:color w:val="auto"/>
              </w:rPr>
            </w:pPr>
            <w:r>
              <w:rPr>
                <w:rFonts w:ascii="Arial" w:cs="Arial" w:eastAsia="Arial" w:hAnsi="Arial"/>
                <w:sz w:val="18"/>
                <w:szCs w:val="18"/>
                <w:color w:val="auto"/>
              </w:rPr>
              <w:t>Bank owned life insurance</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82,276</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81,867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81,265</w:t>
            </w:r>
          </w:p>
        </w:tc>
        <w:tc>
          <w:tcPr>
            <w:tcW w:w="0" w:type="dxa"/>
            <w:vAlign w:val="bottom"/>
          </w:tcPr>
          <w:p>
            <w:pPr>
              <w:spacing w:after="0"/>
              <w:rPr>
                <w:sz w:val="1"/>
                <w:szCs w:val="1"/>
                <w:color w:val="auto"/>
              </w:rPr>
            </w:pPr>
          </w:p>
        </w:tc>
      </w:tr>
      <w:tr>
        <w:trPr>
          <w:trHeight w:val="214"/>
        </w:trPr>
        <w:tc>
          <w:tcPr>
            <w:tcW w:w="7320" w:type="dxa"/>
            <w:vAlign w:val="bottom"/>
          </w:tcPr>
          <w:p>
            <w:pPr>
              <w:ind w:left="140"/>
              <w:spacing w:after="0"/>
              <w:rPr>
                <w:sz w:val="20"/>
                <w:szCs w:val="20"/>
                <w:color w:val="auto"/>
              </w:rPr>
            </w:pPr>
            <w:r>
              <w:rPr>
                <w:rFonts w:ascii="Arial" w:cs="Arial" w:eastAsia="Arial" w:hAnsi="Arial"/>
                <w:sz w:val="18"/>
                <w:szCs w:val="18"/>
                <w:color w:val="auto"/>
              </w:rPr>
              <w:t>Accrued interest receivable</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19,279</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18,659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20,151</w:t>
            </w:r>
          </w:p>
        </w:tc>
        <w:tc>
          <w:tcPr>
            <w:tcW w:w="0" w:type="dxa"/>
            <w:vAlign w:val="bottom"/>
          </w:tcPr>
          <w:p>
            <w:pPr>
              <w:spacing w:after="0"/>
              <w:rPr>
                <w:sz w:val="1"/>
                <w:szCs w:val="1"/>
                <w:color w:val="auto"/>
              </w:rPr>
            </w:pPr>
          </w:p>
        </w:tc>
      </w:tr>
      <w:tr>
        <w:trPr>
          <w:trHeight w:val="214"/>
        </w:trPr>
        <w:tc>
          <w:tcPr>
            <w:tcW w:w="7320" w:type="dxa"/>
            <w:vAlign w:val="bottom"/>
          </w:tcPr>
          <w:p>
            <w:pPr>
              <w:ind w:left="140"/>
              <w:spacing w:after="0"/>
              <w:rPr>
                <w:sz w:val="20"/>
                <w:szCs w:val="20"/>
                <w:color w:val="auto"/>
              </w:rPr>
            </w:pPr>
            <w:r>
              <w:rPr>
                <w:rFonts w:ascii="Arial" w:cs="Arial" w:eastAsia="Arial" w:hAnsi="Arial"/>
                <w:sz w:val="18"/>
                <w:szCs w:val="18"/>
                <w:color w:val="auto"/>
              </w:rPr>
              <w:t>Goodwill and other intangible assets</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4,315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5,510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6,965</w:t>
            </w:r>
          </w:p>
        </w:tc>
        <w:tc>
          <w:tcPr>
            <w:tcW w:w="0" w:type="dxa"/>
            <w:vAlign w:val="bottom"/>
          </w:tcPr>
          <w:p>
            <w:pPr>
              <w:spacing w:after="0"/>
              <w:rPr>
                <w:sz w:val="1"/>
                <w:szCs w:val="1"/>
                <w:color w:val="auto"/>
              </w:rPr>
            </w:pPr>
          </w:p>
        </w:tc>
      </w:tr>
      <w:tr>
        <w:trPr>
          <w:trHeight w:val="214"/>
        </w:trPr>
        <w:tc>
          <w:tcPr>
            <w:tcW w:w="7320" w:type="dxa"/>
            <w:vAlign w:val="bottom"/>
          </w:tcPr>
          <w:p>
            <w:pPr>
              <w:ind w:left="140"/>
              <w:spacing w:after="0"/>
              <w:rPr>
                <w:sz w:val="20"/>
                <w:szCs w:val="20"/>
                <w:color w:val="auto"/>
              </w:rPr>
            </w:pPr>
            <w:r>
              <w:rPr>
                <w:rFonts w:ascii="Arial" w:cs="Arial" w:eastAsia="Arial" w:hAnsi="Arial"/>
                <w:sz w:val="18"/>
                <w:szCs w:val="18"/>
                <w:color w:val="auto"/>
              </w:rPr>
              <w:t>Foreclosed property</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3,936</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18,264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30,421</w:t>
            </w:r>
          </w:p>
        </w:tc>
        <w:tc>
          <w:tcPr>
            <w:tcW w:w="0" w:type="dxa"/>
            <w:vAlign w:val="bottom"/>
          </w:tcPr>
          <w:p>
            <w:pPr>
              <w:spacing w:after="0"/>
              <w:rPr>
                <w:sz w:val="1"/>
                <w:szCs w:val="1"/>
                <w:color w:val="auto"/>
              </w:rPr>
            </w:pPr>
          </w:p>
        </w:tc>
      </w:tr>
      <w:tr>
        <w:trPr>
          <w:trHeight w:val="214"/>
        </w:trPr>
        <w:tc>
          <w:tcPr>
            <w:tcW w:w="7320" w:type="dxa"/>
            <w:vAlign w:val="bottom"/>
          </w:tcPr>
          <w:p>
            <w:pPr>
              <w:ind w:left="140"/>
              <w:spacing w:after="0"/>
              <w:rPr>
                <w:sz w:val="20"/>
                <w:szCs w:val="20"/>
                <w:color w:val="auto"/>
              </w:rPr>
            </w:pPr>
            <w:r>
              <w:rPr>
                <w:rFonts w:ascii="Arial" w:cs="Arial" w:eastAsia="Arial" w:hAnsi="Arial"/>
                <w:sz w:val="18"/>
                <w:szCs w:val="18"/>
                <w:color w:val="auto"/>
              </w:rPr>
              <w:t>Net deferred tax asset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272,287</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4"/>
        </w:trPr>
        <w:tc>
          <w:tcPr>
            <w:tcW w:w="7320" w:type="dxa"/>
            <w:vAlign w:val="bottom"/>
          </w:tcPr>
          <w:p>
            <w:pPr>
              <w:ind w:left="140"/>
              <w:spacing w:after="0"/>
              <w:rPr>
                <w:sz w:val="20"/>
                <w:szCs w:val="20"/>
                <w:color w:val="auto"/>
              </w:rPr>
            </w:pPr>
            <w:r>
              <w:rPr>
                <w:rFonts w:ascii="Arial" w:cs="Arial" w:eastAsia="Arial" w:hAnsi="Arial"/>
                <w:sz w:val="18"/>
                <w:szCs w:val="18"/>
                <w:color w:val="auto"/>
              </w:rPr>
              <w:t>Unsettled securities sales</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5,763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5"/>
        </w:trPr>
        <w:tc>
          <w:tcPr>
            <w:tcW w:w="7320" w:type="dxa"/>
            <w:vAlign w:val="bottom"/>
          </w:tcPr>
          <w:p>
            <w:pPr>
              <w:ind w:left="140"/>
              <w:spacing w:after="0"/>
              <w:rPr>
                <w:sz w:val="20"/>
                <w:szCs w:val="20"/>
                <w:color w:val="auto"/>
              </w:rPr>
            </w:pPr>
            <w:r>
              <w:rPr>
                <w:rFonts w:ascii="Arial" w:cs="Arial" w:eastAsia="Arial" w:hAnsi="Arial"/>
                <w:sz w:val="18"/>
                <w:szCs w:val="18"/>
                <w:color w:val="auto"/>
              </w:rPr>
              <w:t>Other assets</w:t>
            </w: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38,206</w:t>
            </w: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29,191</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46,229</w:t>
            </w:r>
          </w:p>
        </w:tc>
        <w:tc>
          <w:tcPr>
            <w:tcW w:w="0" w:type="dxa"/>
            <w:vAlign w:val="bottom"/>
          </w:tcPr>
          <w:p>
            <w:pPr>
              <w:spacing w:after="0"/>
              <w:rPr>
                <w:sz w:val="1"/>
                <w:szCs w:val="1"/>
                <w:color w:val="auto"/>
              </w:rPr>
            </w:pPr>
          </w:p>
        </w:tc>
      </w:tr>
      <w:tr>
        <w:trPr>
          <w:trHeight w:val="214"/>
        </w:trPr>
        <w:tc>
          <w:tcPr>
            <w:tcW w:w="7320" w:type="dxa"/>
            <w:vAlign w:val="bottom"/>
          </w:tcPr>
          <w:p>
            <w:pPr>
              <w:ind w:left="320"/>
              <w:spacing w:after="0"/>
              <w:rPr>
                <w:sz w:val="20"/>
                <w:szCs w:val="20"/>
                <w:color w:val="auto"/>
              </w:rPr>
            </w:pPr>
            <w:r>
              <w:rPr>
                <w:rFonts w:ascii="Arial" w:cs="Arial" w:eastAsia="Arial" w:hAnsi="Arial"/>
                <w:sz w:val="18"/>
                <w:szCs w:val="18"/>
                <w:b w:val="1"/>
                <w:bCs w:val="1"/>
                <w:color w:val="auto"/>
              </w:rPr>
              <w:t>Total assets</w:t>
            </w:r>
          </w:p>
        </w:tc>
        <w:tc>
          <w:tcPr>
            <w:tcW w:w="12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7,162,635</w:t>
            </w:r>
          </w:p>
        </w:tc>
        <w:tc>
          <w:tcPr>
            <w:tcW w:w="120" w:type="dxa"/>
            <w:vAlign w:val="bottom"/>
          </w:tcPr>
          <w:p>
            <w:pPr>
              <w:spacing w:after="0"/>
              <w:rPr>
                <w:sz w:val="18"/>
                <w:szCs w:val="18"/>
                <w:color w:val="auto"/>
              </w:rPr>
            </w:pPr>
          </w:p>
        </w:tc>
        <w:tc>
          <w:tcPr>
            <w:tcW w:w="240" w:type="dxa"/>
            <w:vAlign w:val="bottom"/>
            <w:tcBorders>
              <w:bottom w:val="single" w:sz="8" w:color="auto"/>
            </w:tcBorders>
          </w:tcPr>
          <w:p>
            <w:pPr>
              <w:jc w:val="right"/>
              <w:ind w:right="82"/>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6,802,259</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6,737,106</w:t>
            </w:r>
          </w:p>
        </w:tc>
        <w:tc>
          <w:tcPr>
            <w:tcW w:w="0" w:type="dxa"/>
            <w:vAlign w:val="bottom"/>
          </w:tcPr>
          <w:p>
            <w:pPr>
              <w:spacing w:after="0"/>
              <w:rPr>
                <w:sz w:val="1"/>
                <w:szCs w:val="1"/>
                <w:color w:val="auto"/>
              </w:rPr>
            </w:pPr>
          </w:p>
        </w:tc>
      </w:tr>
      <w:tr>
        <w:trPr>
          <w:trHeight w:val="20"/>
        </w:trPr>
        <w:tc>
          <w:tcPr>
            <w:tcW w:w="7320" w:type="dxa"/>
            <w:vAlign w:val="bottom"/>
            <w:vMerge w:val="restart"/>
          </w:tcPr>
          <w:p>
            <w:pPr>
              <w:ind w:left="60"/>
              <w:spacing w:after="0"/>
              <w:rPr>
                <w:sz w:val="20"/>
                <w:szCs w:val="20"/>
                <w:color w:val="auto"/>
              </w:rPr>
            </w:pPr>
            <w:r>
              <w:rPr>
                <w:rFonts w:ascii="Arial" w:cs="Arial" w:eastAsia="Arial" w:hAnsi="Arial"/>
                <w:sz w:val="18"/>
                <w:szCs w:val="18"/>
                <w:b w:val="1"/>
                <w:bCs w:val="1"/>
                <w:color w:val="auto"/>
              </w:rPr>
              <w:t>LIABILITIES AND SHAREHOLDERS’ EQUITY</w:t>
            </w: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3"/>
        </w:trPr>
        <w:tc>
          <w:tcPr>
            <w:tcW w:w="73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7320" w:type="dxa"/>
            <w:vAlign w:val="bottom"/>
          </w:tcPr>
          <w:p>
            <w:pPr>
              <w:ind w:left="60"/>
              <w:spacing w:after="0"/>
              <w:rPr>
                <w:sz w:val="20"/>
                <w:szCs w:val="20"/>
                <w:color w:val="auto"/>
              </w:rPr>
            </w:pPr>
            <w:r>
              <w:rPr>
                <w:rFonts w:ascii="Arial" w:cs="Arial" w:eastAsia="Arial" w:hAnsi="Arial"/>
                <w:sz w:val="18"/>
                <w:szCs w:val="18"/>
                <w:color w:val="auto"/>
              </w:rPr>
              <w:t>Liabilities:</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7320" w:type="dxa"/>
            <w:vAlign w:val="bottom"/>
          </w:tcPr>
          <w:p>
            <w:pPr>
              <w:ind w:left="140"/>
              <w:spacing w:after="0"/>
              <w:rPr>
                <w:sz w:val="20"/>
                <w:szCs w:val="20"/>
                <w:color w:val="auto"/>
              </w:rPr>
            </w:pPr>
            <w:r>
              <w:rPr>
                <w:rFonts w:ascii="Arial" w:cs="Arial" w:eastAsia="Arial" w:hAnsi="Arial"/>
                <w:sz w:val="18"/>
                <w:szCs w:val="18"/>
                <w:color w:val="auto"/>
              </w:rPr>
              <w:t>Deposits:</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7320" w:type="dxa"/>
            <w:vAlign w:val="bottom"/>
          </w:tcPr>
          <w:p>
            <w:pPr>
              <w:ind w:left="360"/>
              <w:spacing w:after="0"/>
              <w:rPr>
                <w:sz w:val="20"/>
                <w:szCs w:val="20"/>
                <w:color w:val="auto"/>
              </w:rPr>
            </w:pPr>
            <w:r>
              <w:rPr>
                <w:rFonts w:ascii="Arial" w:cs="Arial" w:eastAsia="Arial" w:hAnsi="Arial"/>
                <w:sz w:val="18"/>
                <w:szCs w:val="18"/>
                <w:color w:val="auto"/>
              </w:rPr>
              <w:t>Demand</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1,349,804</w:t>
            </w:r>
          </w:p>
        </w:tc>
        <w:tc>
          <w:tcPr>
            <w:tcW w:w="360" w:type="dxa"/>
            <w:vAlign w:val="bottom"/>
            <w:gridSpan w:val="2"/>
          </w:tcPr>
          <w:p>
            <w:pPr>
              <w:jc w:val="right"/>
              <w:ind w:right="82"/>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1,252,605</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1,150,444</w:t>
            </w:r>
          </w:p>
        </w:tc>
        <w:tc>
          <w:tcPr>
            <w:tcW w:w="0" w:type="dxa"/>
            <w:vAlign w:val="bottom"/>
          </w:tcPr>
          <w:p>
            <w:pPr>
              <w:spacing w:after="0"/>
              <w:rPr>
                <w:sz w:val="1"/>
                <w:szCs w:val="1"/>
                <w:color w:val="auto"/>
              </w:rPr>
            </w:pPr>
          </w:p>
        </w:tc>
      </w:tr>
      <w:tr>
        <w:trPr>
          <w:trHeight w:val="214"/>
        </w:trPr>
        <w:tc>
          <w:tcPr>
            <w:tcW w:w="7320" w:type="dxa"/>
            <w:vAlign w:val="bottom"/>
          </w:tcPr>
          <w:p>
            <w:pPr>
              <w:ind w:left="360"/>
              <w:spacing w:after="0"/>
              <w:rPr>
                <w:sz w:val="20"/>
                <w:szCs w:val="20"/>
                <w:color w:val="auto"/>
              </w:rPr>
            </w:pPr>
            <w:r>
              <w:rPr>
                <w:rFonts w:ascii="Arial" w:cs="Arial" w:eastAsia="Arial" w:hAnsi="Arial"/>
                <w:sz w:val="18"/>
                <w:szCs w:val="18"/>
                <w:color w:val="auto"/>
              </w:rPr>
              <w:t>NOW</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1,225,664</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1,316,453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1,196,507</w:t>
            </w:r>
          </w:p>
        </w:tc>
        <w:tc>
          <w:tcPr>
            <w:tcW w:w="0" w:type="dxa"/>
            <w:vAlign w:val="bottom"/>
          </w:tcPr>
          <w:p>
            <w:pPr>
              <w:spacing w:after="0"/>
              <w:rPr>
                <w:sz w:val="1"/>
                <w:szCs w:val="1"/>
                <w:color w:val="auto"/>
              </w:rPr>
            </w:pPr>
          </w:p>
        </w:tc>
      </w:tr>
      <w:tr>
        <w:trPr>
          <w:trHeight w:val="214"/>
        </w:trPr>
        <w:tc>
          <w:tcPr>
            <w:tcW w:w="7320" w:type="dxa"/>
            <w:vAlign w:val="bottom"/>
          </w:tcPr>
          <w:p>
            <w:pPr>
              <w:ind w:left="360"/>
              <w:spacing w:after="0"/>
              <w:rPr>
                <w:sz w:val="20"/>
                <w:szCs w:val="20"/>
                <w:color w:val="auto"/>
              </w:rPr>
            </w:pPr>
            <w:r>
              <w:rPr>
                <w:rFonts w:ascii="Arial" w:cs="Arial" w:eastAsia="Arial" w:hAnsi="Arial"/>
                <w:sz w:val="18"/>
                <w:szCs w:val="18"/>
                <w:color w:val="auto"/>
              </w:rPr>
              <w:t>Money market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1,167,889</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1,149,912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1,117,139</w:t>
            </w:r>
          </w:p>
        </w:tc>
        <w:tc>
          <w:tcPr>
            <w:tcW w:w="0" w:type="dxa"/>
            <w:vAlign w:val="bottom"/>
          </w:tcPr>
          <w:p>
            <w:pPr>
              <w:spacing w:after="0"/>
              <w:rPr>
                <w:sz w:val="1"/>
                <w:szCs w:val="1"/>
                <w:color w:val="auto"/>
              </w:rPr>
            </w:pPr>
          </w:p>
        </w:tc>
      </w:tr>
      <w:tr>
        <w:trPr>
          <w:trHeight w:val="214"/>
        </w:trPr>
        <w:tc>
          <w:tcPr>
            <w:tcW w:w="7320" w:type="dxa"/>
            <w:vAlign w:val="bottom"/>
          </w:tcPr>
          <w:p>
            <w:pPr>
              <w:ind w:left="360"/>
              <w:spacing w:after="0"/>
              <w:rPr>
                <w:sz w:val="20"/>
                <w:szCs w:val="20"/>
                <w:color w:val="auto"/>
              </w:rPr>
            </w:pPr>
            <w:r>
              <w:rPr>
                <w:rFonts w:ascii="Arial" w:cs="Arial" w:eastAsia="Arial" w:hAnsi="Arial"/>
                <w:sz w:val="18"/>
                <w:szCs w:val="18"/>
                <w:color w:val="auto"/>
              </w:rPr>
              <w:t>Savings</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247,821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227,308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219,077</w:t>
            </w:r>
          </w:p>
        </w:tc>
        <w:tc>
          <w:tcPr>
            <w:tcW w:w="0" w:type="dxa"/>
            <w:vAlign w:val="bottom"/>
          </w:tcPr>
          <w:p>
            <w:pPr>
              <w:spacing w:after="0"/>
              <w:rPr>
                <w:sz w:val="1"/>
                <w:szCs w:val="1"/>
                <w:color w:val="auto"/>
              </w:rPr>
            </w:pPr>
          </w:p>
        </w:tc>
      </w:tr>
      <w:tr>
        <w:trPr>
          <w:trHeight w:val="214"/>
        </w:trPr>
        <w:tc>
          <w:tcPr>
            <w:tcW w:w="7320" w:type="dxa"/>
            <w:vAlign w:val="bottom"/>
          </w:tcPr>
          <w:p>
            <w:pPr>
              <w:ind w:left="360"/>
              <w:spacing w:after="0"/>
              <w:rPr>
                <w:sz w:val="20"/>
                <w:szCs w:val="20"/>
                <w:color w:val="auto"/>
              </w:rPr>
            </w:pPr>
            <w:r>
              <w:rPr>
                <w:rFonts w:ascii="Arial" w:cs="Arial" w:eastAsia="Arial" w:hAnsi="Arial"/>
                <w:sz w:val="18"/>
                <w:szCs w:val="18"/>
                <w:color w:val="auto"/>
              </w:rPr>
              <w:t>Time:</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7320" w:type="dxa"/>
            <w:vAlign w:val="bottom"/>
          </w:tcPr>
          <w:p>
            <w:pPr>
              <w:ind w:left="580"/>
              <w:spacing w:after="0"/>
              <w:rPr>
                <w:sz w:val="20"/>
                <w:szCs w:val="20"/>
                <w:color w:val="auto"/>
              </w:rPr>
            </w:pPr>
            <w:r>
              <w:rPr>
                <w:rFonts w:ascii="Arial" w:cs="Arial" w:eastAsia="Arial" w:hAnsi="Arial"/>
                <w:sz w:val="18"/>
                <w:szCs w:val="18"/>
                <w:color w:val="auto"/>
              </w:rPr>
              <w:t>Less than $100,000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982,009</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1,055,271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1,164,451</w:t>
            </w:r>
          </w:p>
        </w:tc>
        <w:tc>
          <w:tcPr>
            <w:tcW w:w="0" w:type="dxa"/>
            <w:vAlign w:val="bottom"/>
          </w:tcPr>
          <w:p>
            <w:pPr>
              <w:spacing w:after="0"/>
              <w:rPr>
                <w:sz w:val="1"/>
                <w:szCs w:val="1"/>
                <w:color w:val="auto"/>
              </w:rPr>
            </w:pPr>
          </w:p>
        </w:tc>
      </w:tr>
      <w:tr>
        <w:trPr>
          <w:trHeight w:val="214"/>
        </w:trPr>
        <w:tc>
          <w:tcPr>
            <w:tcW w:w="7320" w:type="dxa"/>
            <w:vAlign w:val="bottom"/>
          </w:tcPr>
          <w:p>
            <w:pPr>
              <w:ind w:left="580"/>
              <w:spacing w:after="0"/>
              <w:rPr>
                <w:sz w:val="20"/>
                <w:szCs w:val="20"/>
                <w:color w:val="auto"/>
              </w:rPr>
            </w:pPr>
            <w:r>
              <w:rPr>
                <w:rFonts w:ascii="Arial" w:cs="Arial" w:eastAsia="Arial" w:hAnsi="Arial"/>
                <w:sz w:val="18"/>
                <w:szCs w:val="18"/>
                <w:color w:val="auto"/>
              </w:rPr>
              <w:t>Greater than $100,000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664,112</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705,558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764,343</w:t>
            </w:r>
          </w:p>
        </w:tc>
        <w:tc>
          <w:tcPr>
            <w:tcW w:w="0" w:type="dxa"/>
            <w:vAlign w:val="bottom"/>
          </w:tcPr>
          <w:p>
            <w:pPr>
              <w:spacing w:after="0"/>
              <w:rPr>
                <w:sz w:val="1"/>
                <w:szCs w:val="1"/>
                <w:color w:val="auto"/>
              </w:rPr>
            </w:pPr>
          </w:p>
        </w:tc>
      </w:tr>
      <w:tr>
        <w:trPr>
          <w:trHeight w:val="235"/>
        </w:trPr>
        <w:tc>
          <w:tcPr>
            <w:tcW w:w="7320" w:type="dxa"/>
            <w:vAlign w:val="bottom"/>
          </w:tcPr>
          <w:p>
            <w:pPr>
              <w:ind w:left="360"/>
              <w:spacing w:after="0"/>
              <w:rPr>
                <w:sz w:val="20"/>
                <w:szCs w:val="20"/>
                <w:color w:val="auto"/>
              </w:rPr>
            </w:pPr>
            <w:r>
              <w:rPr>
                <w:rFonts w:ascii="Arial" w:cs="Arial" w:eastAsia="Arial" w:hAnsi="Arial"/>
                <w:sz w:val="18"/>
                <w:szCs w:val="18"/>
                <w:color w:val="auto"/>
              </w:rPr>
              <w:t>Brokered</w:t>
            </w: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374,530</w:t>
            </w: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245,033</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210,506</w:t>
            </w:r>
          </w:p>
        </w:tc>
        <w:tc>
          <w:tcPr>
            <w:tcW w:w="0" w:type="dxa"/>
            <w:vAlign w:val="bottom"/>
          </w:tcPr>
          <w:p>
            <w:pPr>
              <w:spacing w:after="0"/>
              <w:rPr>
                <w:sz w:val="1"/>
                <w:szCs w:val="1"/>
                <w:color w:val="auto"/>
              </w:rPr>
            </w:pPr>
          </w:p>
        </w:tc>
      </w:tr>
      <w:tr>
        <w:trPr>
          <w:trHeight w:val="200"/>
        </w:trPr>
        <w:tc>
          <w:tcPr>
            <w:tcW w:w="7320" w:type="dxa"/>
            <w:vAlign w:val="bottom"/>
          </w:tcPr>
          <w:p>
            <w:pPr>
              <w:ind w:left="980"/>
              <w:spacing w:after="0" w:line="200" w:lineRule="exact"/>
              <w:rPr>
                <w:sz w:val="20"/>
                <w:szCs w:val="20"/>
                <w:color w:val="auto"/>
              </w:rPr>
            </w:pPr>
            <w:r>
              <w:rPr>
                <w:rFonts w:ascii="Arial" w:cs="Arial" w:eastAsia="Arial" w:hAnsi="Arial"/>
                <w:sz w:val="18"/>
                <w:szCs w:val="18"/>
                <w:color w:val="auto"/>
              </w:rPr>
              <w:t>Total deposits</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jc w:val="right"/>
              <w:ind w:right="31"/>
              <w:spacing w:after="0" w:line="200" w:lineRule="exact"/>
              <w:rPr>
                <w:sz w:val="20"/>
                <w:szCs w:val="20"/>
                <w:color w:val="auto"/>
              </w:rPr>
            </w:pPr>
            <w:r>
              <w:rPr>
                <w:rFonts w:ascii="Arial" w:cs="Arial" w:eastAsia="Arial" w:hAnsi="Arial"/>
                <w:sz w:val="18"/>
                <w:szCs w:val="18"/>
                <w:color w:val="auto"/>
              </w:rPr>
              <w:t>6,011,829</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ind w:right="11"/>
              <w:spacing w:after="0" w:line="200" w:lineRule="exact"/>
              <w:rPr>
                <w:sz w:val="20"/>
                <w:szCs w:val="20"/>
                <w:color w:val="auto"/>
              </w:rPr>
            </w:pPr>
            <w:r>
              <w:rPr>
                <w:rFonts w:ascii="Arial" w:cs="Arial" w:eastAsia="Arial" w:hAnsi="Arial"/>
                <w:sz w:val="18"/>
                <w:szCs w:val="18"/>
                <w:color w:val="auto"/>
              </w:rPr>
              <w:t>5,952,140</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jc w:val="right"/>
              <w:ind w:right="11"/>
              <w:spacing w:after="0" w:line="200" w:lineRule="exact"/>
              <w:rPr>
                <w:sz w:val="20"/>
                <w:szCs w:val="20"/>
                <w:color w:val="auto"/>
              </w:rPr>
            </w:pPr>
            <w:r>
              <w:rPr>
                <w:rFonts w:ascii="Arial" w:cs="Arial" w:eastAsia="Arial" w:hAnsi="Arial"/>
                <w:sz w:val="18"/>
                <w:szCs w:val="18"/>
                <w:color w:val="auto"/>
              </w:rPr>
              <w:t>5,822,467</w:t>
            </w:r>
          </w:p>
        </w:tc>
        <w:tc>
          <w:tcPr>
            <w:tcW w:w="0" w:type="dxa"/>
            <w:vAlign w:val="bottom"/>
          </w:tcPr>
          <w:p>
            <w:pPr>
              <w:spacing w:after="0"/>
              <w:rPr>
                <w:sz w:val="1"/>
                <w:szCs w:val="1"/>
                <w:color w:val="auto"/>
              </w:rPr>
            </w:pPr>
          </w:p>
        </w:tc>
      </w:tr>
      <w:tr>
        <w:trPr>
          <w:trHeight w:val="214"/>
        </w:trPr>
        <w:tc>
          <w:tcPr>
            <w:tcW w:w="7320" w:type="dxa"/>
            <w:vAlign w:val="bottom"/>
          </w:tcPr>
          <w:p>
            <w:pPr>
              <w:ind w:left="180"/>
              <w:spacing w:after="0"/>
              <w:rPr>
                <w:sz w:val="20"/>
                <w:szCs w:val="20"/>
                <w:color w:val="auto"/>
              </w:rPr>
            </w:pPr>
            <w:r>
              <w:rPr>
                <w:rFonts w:ascii="Arial" w:cs="Arial" w:eastAsia="Arial" w:hAnsi="Arial"/>
                <w:sz w:val="18"/>
                <w:szCs w:val="18"/>
                <w:color w:val="auto"/>
              </w:rPr>
              <w:t>Short-term borrowings</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54,163</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52,574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53,656</w:t>
            </w:r>
          </w:p>
        </w:tc>
        <w:tc>
          <w:tcPr>
            <w:tcW w:w="0" w:type="dxa"/>
            <w:vAlign w:val="bottom"/>
          </w:tcPr>
          <w:p>
            <w:pPr>
              <w:spacing w:after="0"/>
              <w:rPr>
                <w:sz w:val="1"/>
                <w:szCs w:val="1"/>
                <w:color w:val="auto"/>
              </w:rPr>
            </w:pPr>
          </w:p>
        </w:tc>
      </w:tr>
      <w:tr>
        <w:trPr>
          <w:trHeight w:val="214"/>
        </w:trPr>
        <w:tc>
          <w:tcPr>
            <w:tcW w:w="7320" w:type="dxa"/>
            <w:vAlign w:val="bottom"/>
          </w:tcPr>
          <w:p>
            <w:pPr>
              <w:ind w:left="180"/>
              <w:spacing w:after="0"/>
              <w:rPr>
                <w:sz w:val="20"/>
                <w:szCs w:val="20"/>
                <w:color w:val="auto"/>
              </w:rPr>
            </w:pPr>
            <w:r>
              <w:rPr>
                <w:rFonts w:ascii="Arial" w:cs="Arial" w:eastAsia="Arial" w:hAnsi="Arial"/>
                <w:sz w:val="18"/>
                <w:szCs w:val="18"/>
                <w:color w:val="auto"/>
              </w:rPr>
              <w:t>Federal Home Loan Bank advances</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70,125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40,125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125,125</w:t>
            </w:r>
          </w:p>
        </w:tc>
        <w:tc>
          <w:tcPr>
            <w:tcW w:w="0" w:type="dxa"/>
            <w:vAlign w:val="bottom"/>
          </w:tcPr>
          <w:p>
            <w:pPr>
              <w:spacing w:after="0"/>
              <w:rPr>
                <w:sz w:val="1"/>
                <w:szCs w:val="1"/>
                <w:color w:val="auto"/>
              </w:rPr>
            </w:pPr>
          </w:p>
        </w:tc>
      </w:tr>
      <w:tr>
        <w:trPr>
          <w:trHeight w:val="214"/>
        </w:trPr>
        <w:tc>
          <w:tcPr>
            <w:tcW w:w="7320" w:type="dxa"/>
            <w:vAlign w:val="bottom"/>
          </w:tcPr>
          <w:p>
            <w:pPr>
              <w:ind w:left="180"/>
              <w:spacing w:after="0"/>
              <w:rPr>
                <w:sz w:val="20"/>
                <w:szCs w:val="20"/>
                <w:color w:val="auto"/>
              </w:rPr>
            </w:pPr>
            <w:r>
              <w:rPr>
                <w:rFonts w:ascii="Arial" w:cs="Arial" w:eastAsia="Arial" w:hAnsi="Arial"/>
                <w:sz w:val="18"/>
                <w:szCs w:val="18"/>
                <w:color w:val="auto"/>
              </w:rPr>
              <w:t>Long-term debt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124,845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124,805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120,265</w:t>
            </w:r>
          </w:p>
        </w:tc>
        <w:tc>
          <w:tcPr>
            <w:tcW w:w="0" w:type="dxa"/>
            <w:vAlign w:val="bottom"/>
          </w:tcPr>
          <w:p>
            <w:pPr>
              <w:spacing w:after="0"/>
              <w:rPr>
                <w:sz w:val="1"/>
                <w:szCs w:val="1"/>
                <w:color w:val="auto"/>
              </w:rPr>
            </w:pPr>
          </w:p>
        </w:tc>
      </w:tr>
      <w:tr>
        <w:trPr>
          <w:trHeight w:val="235"/>
        </w:trPr>
        <w:tc>
          <w:tcPr>
            <w:tcW w:w="7320" w:type="dxa"/>
            <w:vAlign w:val="bottom"/>
          </w:tcPr>
          <w:p>
            <w:pPr>
              <w:ind w:left="180"/>
              <w:spacing w:after="0"/>
              <w:rPr>
                <w:sz w:val="20"/>
                <w:szCs w:val="20"/>
                <w:color w:val="auto"/>
              </w:rPr>
            </w:pPr>
            <w:r>
              <w:rPr>
                <w:rFonts w:ascii="Arial" w:cs="Arial" w:eastAsia="Arial" w:hAnsi="Arial"/>
                <w:sz w:val="18"/>
                <w:szCs w:val="18"/>
                <w:color w:val="auto"/>
              </w:rPr>
              <w:t>Accrued expenses and other liabilities</w:t>
            </w: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72,370</w:t>
            </w: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51,210</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39,598</w:t>
            </w:r>
          </w:p>
        </w:tc>
        <w:tc>
          <w:tcPr>
            <w:tcW w:w="0" w:type="dxa"/>
            <w:vAlign w:val="bottom"/>
          </w:tcPr>
          <w:p>
            <w:pPr>
              <w:spacing w:after="0"/>
              <w:rPr>
                <w:sz w:val="1"/>
                <w:szCs w:val="1"/>
                <w:color w:val="auto"/>
              </w:rPr>
            </w:pPr>
          </w:p>
        </w:tc>
      </w:tr>
      <w:tr>
        <w:trPr>
          <w:trHeight w:val="221"/>
        </w:trPr>
        <w:tc>
          <w:tcPr>
            <w:tcW w:w="7320" w:type="dxa"/>
            <w:vAlign w:val="bottom"/>
          </w:tcPr>
          <w:p>
            <w:pPr>
              <w:ind w:left="400"/>
              <w:spacing w:after="0"/>
              <w:rPr>
                <w:sz w:val="20"/>
                <w:szCs w:val="20"/>
                <w:color w:val="auto"/>
              </w:rPr>
            </w:pPr>
            <w:r>
              <w:rPr>
                <w:rFonts w:ascii="Arial" w:cs="Arial" w:eastAsia="Arial" w:hAnsi="Arial"/>
                <w:sz w:val="18"/>
                <w:szCs w:val="18"/>
                <w:b w:val="1"/>
                <w:bCs w:val="1"/>
                <w:color w:val="auto"/>
              </w:rPr>
              <w:t>Total liabilities</w:t>
            </w: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6,333,332</w:t>
            </w: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6,220,854</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6,161,111</w:t>
            </w:r>
          </w:p>
        </w:tc>
        <w:tc>
          <w:tcPr>
            <w:tcW w:w="0" w:type="dxa"/>
            <w:vAlign w:val="bottom"/>
          </w:tcPr>
          <w:p>
            <w:pPr>
              <w:spacing w:after="0"/>
              <w:rPr>
                <w:sz w:val="1"/>
                <w:szCs w:val="1"/>
                <w:color w:val="auto"/>
              </w:rPr>
            </w:pPr>
          </w:p>
        </w:tc>
      </w:tr>
      <w:tr>
        <w:trPr>
          <w:trHeight w:val="427"/>
        </w:trPr>
        <w:tc>
          <w:tcPr>
            <w:tcW w:w="7320" w:type="dxa"/>
            <w:vAlign w:val="bottom"/>
          </w:tcPr>
          <w:p>
            <w:pPr>
              <w:ind w:left="60"/>
              <w:spacing w:after="0"/>
              <w:rPr>
                <w:sz w:val="20"/>
                <w:szCs w:val="20"/>
                <w:color w:val="auto"/>
              </w:rPr>
            </w:pPr>
            <w:r>
              <w:rPr>
                <w:rFonts w:ascii="Arial" w:cs="Arial" w:eastAsia="Arial" w:hAnsi="Arial"/>
                <w:sz w:val="18"/>
                <w:szCs w:val="18"/>
                <w:color w:val="auto"/>
              </w:rPr>
              <w:t>Commitments and contingencies</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6"/>
        </w:trPr>
        <w:tc>
          <w:tcPr>
            <w:tcW w:w="7320" w:type="dxa"/>
            <w:vAlign w:val="bottom"/>
          </w:tcPr>
          <w:p>
            <w:pPr>
              <w:ind w:left="60"/>
              <w:spacing w:after="0"/>
              <w:rPr>
                <w:sz w:val="20"/>
                <w:szCs w:val="20"/>
                <w:color w:val="auto"/>
              </w:rPr>
            </w:pPr>
            <w:r>
              <w:rPr>
                <w:rFonts w:ascii="Arial" w:cs="Arial" w:eastAsia="Arial" w:hAnsi="Arial"/>
                <w:sz w:val="18"/>
                <w:szCs w:val="18"/>
                <w:color w:val="auto"/>
              </w:rPr>
              <w:t>Shareholders’ equity:</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7320" w:type="dxa"/>
            <w:vAlign w:val="bottom"/>
          </w:tcPr>
          <w:p>
            <w:pPr>
              <w:ind w:left="240"/>
              <w:spacing w:after="0"/>
              <w:rPr>
                <w:sz w:val="20"/>
                <w:szCs w:val="20"/>
                <w:color w:val="auto"/>
              </w:rPr>
            </w:pPr>
            <w:r>
              <w:rPr>
                <w:rFonts w:ascii="Arial" w:cs="Arial" w:eastAsia="Arial" w:hAnsi="Arial"/>
                <w:sz w:val="18"/>
                <w:szCs w:val="18"/>
                <w:color w:val="auto"/>
              </w:rPr>
              <w:t>Preferred stock, $1 par value; 10,000,000 shares authorized;</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7320" w:type="dxa"/>
            <w:vAlign w:val="bottom"/>
          </w:tcPr>
          <w:p>
            <w:pPr>
              <w:ind w:left="460"/>
              <w:spacing w:after="0"/>
              <w:rPr>
                <w:sz w:val="20"/>
                <w:szCs w:val="20"/>
                <w:color w:val="auto"/>
              </w:rPr>
            </w:pPr>
            <w:r>
              <w:rPr>
                <w:rFonts w:ascii="Arial" w:cs="Arial" w:eastAsia="Arial" w:hAnsi="Arial"/>
                <w:sz w:val="18"/>
                <w:szCs w:val="18"/>
                <w:color w:val="auto"/>
              </w:rPr>
              <w:t>Series A; $10 stated value; 21,700 shares issued and outstanding</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217</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217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217</w:t>
            </w:r>
          </w:p>
        </w:tc>
        <w:tc>
          <w:tcPr>
            <w:tcW w:w="0" w:type="dxa"/>
            <w:vAlign w:val="bottom"/>
          </w:tcPr>
          <w:p>
            <w:pPr>
              <w:spacing w:after="0"/>
              <w:rPr>
                <w:sz w:val="1"/>
                <w:szCs w:val="1"/>
                <w:color w:val="auto"/>
              </w:rPr>
            </w:pPr>
          </w:p>
        </w:tc>
      </w:tr>
      <w:tr>
        <w:trPr>
          <w:trHeight w:val="214"/>
        </w:trPr>
        <w:tc>
          <w:tcPr>
            <w:tcW w:w="7320" w:type="dxa"/>
            <w:vAlign w:val="bottom"/>
          </w:tcPr>
          <w:p>
            <w:pPr>
              <w:ind w:left="460"/>
              <w:spacing w:after="0"/>
              <w:rPr>
                <w:sz w:val="20"/>
                <w:szCs w:val="20"/>
                <w:color w:val="auto"/>
              </w:rPr>
            </w:pPr>
            <w:r>
              <w:rPr>
                <w:rFonts w:ascii="Arial" w:cs="Arial" w:eastAsia="Arial" w:hAnsi="Arial"/>
                <w:sz w:val="18"/>
                <w:szCs w:val="18"/>
                <w:color w:val="auto"/>
              </w:rPr>
              <w:t>Series B; $1,000 stated value; 180,000 shares issued and outstanding</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179,323</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178,557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177,814</w:t>
            </w:r>
          </w:p>
        </w:tc>
        <w:tc>
          <w:tcPr>
            <w:tcW w:w="0" w:type="dxa"/>
            <w:vAlign w:val="bottom"/>
          </w:tcPr>
          <w:p>
            <w:pPr>
              <w:spacing w:after="0"/>
              <w:rPr>
                <w:sz w:val="1"/>
                <w:szCs w:val="1"/>
                <w:color w:val="auto"/>
              </w:rPr>
            </w:pPr>
          </w:p>
        </w:tc>
      </w:tr>
      <w:tr>
        <w:trPr>
          <w:trHeight w:val="214"/>
        </w:trPr>
        <w:tc>
          <w:tcPr>
            <w:tcW w:w="7320" w:type="dxa"/>
            <w:vAlign w:val="bottom"/>
          </w:tcPr>
          <w:p>
            <w:pPr>
              <w:ind w:left="460"/>
              <w:spacing w:after="0"/>
              <w:rPr>
                <w:sz w:val="20"/>
                <w:szCs w:val="20"/>
                <w:color w:val="auto"/>
              </w:rPr>
            </w:pPr>
            <w:r>
              <w:rPr>
                <w:rFonts w:ascii="Arial" w:cs="Arial" w:eastAsia="Arial" w:hAnsi="Arial"/>
                <w:sz w:val="18"/>
                <w:szCs w:val="18"/>
                <w:color w:val="auto"/>
              </w:rPr>
              <w:t>Series D; $1,000 stated value; 16,613 shares issued and outstanding</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16,613</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16,613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16,613</w:t>
            </w:r>
          </w:p>
        </w:tc>
        <w:tc>
          <w:tcPr>
            <w:tcW w:w="0" w:type="dxa"/>
            <w:vAlign w:val="bottom"/>
          </w:tcPr>
          <w:p>
            <w:pPr>
              <w:spacing w:after="0"/>
              <w:rPr>
                <w:sz w:val="1"/>
                <w:szCs w:val="1"/>
                <w:color w:val="auto"/>
              </w:rPr>
            </w:pPr>
          </w:p>
        </w:tc>
      </w:tr>
      <w:tr>
        <w:trPr>
          <w:trHeight w:val="214"/>
        </w:trPr>
        <w:tc>
          <w:tcPr>
            <w:tcW w:w="7320" w:type="dxa"/>
            <w:vAlign w:val="bottom"/>
          </w:tcPr>
          <w:p>
            <w:pPr>
              <w:ind w:left="240"/>
              <w:spacing w:after="0"/>
              <w:rPr>
                <w:sz w:val="20"/>
                <w:szCs w:val="20"/>
                <w:color w:val="auto"/>
              </w:rPr>
            </w:pPr>
            <w:r>
              <w:rPr>
                <w:rFonts w:ascii="Arial" w:cs="Arial" w:eastAsia="Arial" w:hAnsi="Arial"/>
                <w:sz w:val="18"/>
                <w:szCs w:val="18"/>
                <w:color w:val="auto"/>
              </w:rPr>
              <w:t>Common stock, $1 par value; 100,000,000 shares authorized;</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7320" w:type="dxa"/>
            <w:vAlign w:val="bottom"/>
          </w:tcPr>
          <w:p>
            <w:pPr>
              <w:ind w:left="400"/>
              <w:spacing w:after="0"/>
              <w:rPr>
                <w:sz w:val="20"/>
                <w:szCs w:val="20"/>
                <w:color w:val="auto"/>
              </w:rPr>
            </w:pPr>
            <w:r>
              <w:rPr>
                <w:rFonts w:ascii="Arial" w:cs="Arial" w:eastAsia="Arial" w:hAnsi="Arial"/>
                <w:sz w:val="18"/>
                <w:szCs w:val="18"/>
                <w:color w:val="auto"/>
              </w:rPr>
              <w:t>43,356,492, 42,423,870 and 41,726,509 shares issued and outstanding</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43,356</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42,424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41,727</w:t>
            </w:r>
          </w:p>
        </w:tc>
        <w:tc>
          <w:tcPr>
            <w:tcW w:w="0" w:type="dxa"/>
            <w:vAlign w:val="bottom"/>
          </w:tcPr>
          <w:p>
            <w:pPr>
              <w:spacing w:after="0"/>
              <w:rPr>
                <w:sz w:val="1"/>
                <w:szCs w:val="1"/>
                <w:color w:val="auto"/>
              </w:rPr>
            </w:pPr>
          </w:p>
        </w:tc>
      </w:tr>
      <w:tr>
        <w:trPr>
          <w:trHeight w:val="214"/>
        </w:trPr>
        <w:tc>
          <w:tcPr>
            <w:tcW w:w="7320" w:type="dxa"/>
            <w:vAlign w:val="bottom"/>
          </w:tcPr>
          <w:p>
            <w:pPr>
              <w:ind w:left="240"/>
              <w:spacing w:after="0"/>
              <w:rPr>
                <w:sz w:val="20"/>
                <w:szCs w:val="20"/>
                <w:color w:val="auto"/>
              </w:rPr>
            </w:pPr>
            <w:r>
              <w:rPr>
                <w:rFonts w:ascii="Arial" w:cs="Arial" w:eastAsia="Arial" w:hAnsi="Arial"/>
                <w:sz w:val="18"/>
                <w:szCs w:val="18"/>
                <w:color w:val="auto"/>
              </w:rPr>
              <w:t>Common stock, non-voting, $1 par value; 30,000,000 shares authorized;</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7320" w:type="dxa"/>
            <w:vAlign w:val="bottom"/>
          </w:tcPr>
          <w:p>
            <w:pPr>
              <w:ind w:left="320"/>
              <w:spacing w:after="0"/>
              <w:rPr>
                <w:sz w:val="20"/>
                <w:szCs w:val="20"/>
                <w:color w:val="auto"/>
              </w:rPr>
            </w:pPr>
            <w:r>
              <w:rPr>
                <w:rFonts w:ascii="Arial" w:cs="Arial" w:eastAsia="Arial" w:hAnsi="Arial"/>
                <w:sz w:val="18"/>
                <w:szCs w:val="18"/>
                <w:color w:val="auto"/>
              </w:rPr>
              <w:t>14,474,810, 15,316,794 and 15,914,209 shares issued and outstanding</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14,475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15,317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15,914</w:t>
            </w:r>
          </w:p>
        </w:tc>
        <w:tc>
          <w:tcPr>
            <w:tcW w:w="0" w:type="dxa"/>
            <w:vAlign w:val="bottom"/>
          </w:tcPr>
          <w:p>
            <w:pPr>
              <w:spacing w:after="0"/>
              <w:rPr>
                <w:sz w:val="1"/>
                <w:szCs w:val="1"/>
                <w:color w:val="auto"/>
              </w:rPr>
            </w:pPr>
          </w:p>
        </w:tc>
      </w:tr>
      <w:tr>
        <w:trPr>
          <w:trHeight w:val="214"/>
        </w:trPr>
        <w:tc>
          <w:tcPr>
            <w:tcW w:w="7320" w:type="dxa"/>
            <w:vAlign w:val="bottom"/>
          </w:tcPr>
          <w:p>
            <w:pPr>
              <w:ind w:left="240"/>
              <w:spacing w:after="0"/>
              <w:rPr>
                <w:sz w:val="20"/>
                <w:szCs w:val="20"/>
                <w:color w:val="auto"/>
              </w:rPr>
            </w:pPr>
            <w:r>
              <w:rPr>
                <w:rFonts w:ascii="Arial" w:cs="Arial" w:eastAsia="Arial" w:hAnsi="Arial"/>
                <w:sz w:val="18"/>
                <w:szCs w:val="18"/>
                <w:color w:val="auto"/>
              </w:rPr>
              <w:t>Common stock issuable; 271,215, 133,238 and 94,657 shares</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4,705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3,119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2,893</w:t>
            </w:r>
          </w:p>
        </w:tc>
        <w:tc>
          <w:tcPr>
            <w:tcW w:w="0" w:type="dxa"/>
            <w:vAlign w:val="bottom"/>
          </w:tcPr>
          <w:p>
            <w:pPr>
              <w:spacing w:after="0"/>
              <w:rPr>
                <w:sz w:val="1"/>
                <w:szCs w:val="1"/>
                <w:color w:val="auto"/>
              </w:rPr>
            </w:pPr>
          </w:p>
        </w:tc>
      </w:tr>
      <w:tr>
        <w:trPr>
          <w:trHeight w:val="214"/>
        </w:trPr>
        <w:tc>
          <w:tcPr>
            <w:tcW w:w="7320" w:type="dxa"/>
            <w:vAlign w:val="bottom"/>
          </w:tcPr>
          <w:p>
            <w:pPr>
              <w:ind w:left="240"/>
              <w:spacing w:after="0"/>
              <w:rPr>
                <w:sz w:val="20"/>
                <w:szCs w:val="20"/>
                <w:color w:val="auto"/>
              </w:rPr>
            </w:pPr>
            <w:r>
              <w:rPr>
                <w:rFonts w:ascii="Arial" w:cs="Arial" w:eastAsia="Arial" w:hAnsi="Arial"/>
                <w:sz w:val="18"/>
                <w:szCs w:val="18"/>
                <w:color w:val="auto"/>
              </w:rPr>
              <w:t>Capital surplus</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1,057,931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1,057,951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1,056,819</w:t>
            </w:r>
          </w:p>
        </w:tc>
        <w:tc>
          <w:tcPr>
            <w:tcW w:w="0" w:type="dxa"/>
            <w:vAlign w:val="bottom"/>
          </w:tcPr>
          <w:p>
            <w:pPr>
              <w:spacing w:after="0"/>
              <w:rPr>
                <w:sz w:val="1"/>
                <w:szCs w:val="1"/>
                <w:color w:val="auto"/>
              </w:rPr>
            </w:pPr>
          </w:p>
        </w:tc>
      </w:tr>
      <w:tr>
        <w:trPr>
          <w:trHeight w:val="214"/>
        </w:trPr>
        <w:tc>
          <w:tcPr>
            <w:tcW w:w="7320" w:type="dxa"/>
            <w:vAlign w:val="bottom"/>
          </w:tcPr>
          <w:p>
            <w:pPr>
              <w:ind w:left="220"/>
              <w:spacing w:after="0"/>
              <w:rPr>
                <w:sz w:val="20"/>
                <w:szCs w:val="20"/>
                <w:color w:val="auto"/>
              </w:rPr>
            </w:pPr>
            <w:r>
              <w:rPr>
                <w:rFonts w:ascii="Arial" w:cs="Arial" w:eastAsia="Arial" w:hAnsi="Arial"/>
                <w:sz w:val="18"/>
                <w:szCs w:val="18"/>
                <w:color w:val="auto"/>
              </w:rPr>
              <w:t>Accumulated deficit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(473,531)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(709,153)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(718,896)</w:t>
            </w:r>
          </w:p>
        </w:tc>
        <w:tc>
          <w:tcPr>
            <w:tcW w:w="0" w:type="dxa"/>
            <w:vAlign w:val="bottom"/>
          </w:tcPr>
          <w:p>
            <w:pPr>
              <w:spacing w:after="0"/>
              <w:rPr>
                <w:sz w:val="1"/>
                <w:szCs w:val="1"/>
                <w:color w:val="auto"/>
              </w:rPr>
            </w:pPr>
          </w:p>
        </w:tc>
      </w:tr>
      <w:tr>
        <w:trPr>
          <w:trHeight w:val="235"/>
        </w:trPr>
        <w:tc>
          <w:tcPr>
            <w:tcW w:w="7320" w:type="dxa"/>
            <w:vAlign w:val="bottom"/>
          </w:tcPr>
          <w:p>
            <w:pPr>
              <w:ind w:left="220"/>
              <w:spacing w:after="0"/>
              <w:rPr>
                <w:sz w:val="20"/>
                <w:szCs w:val="20"/>
                <w:color w:val="auto"/>
              </w:rPr>
            </w:pPr>
            <w:r>
              <w:rPr>
                <w:rFonts w:ascii="Arial" w:cs="Arial" w:eastAsia="Arial" w:hAnsi="Arial"/>
                <w:sz w:val="18"/>
                <w:szCs w:val="18"/>
                <w:color w:val="auto"/>
              </w:rPr>
              <w:t>Accumulated other comprehensive loss</w:t>
            </w: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(13,786)</w:t>
            </w: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(23,640)</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(17,106)</w:t>
            </w:r>
          </w:p>
        </w:tc>
        <w:tc>
          <w:tcPr>
            <w:tcW w:w="0" w:type="dxa"/>
            <w:vAlign w:val="bottom"/>
          </w:tcPr>
          <w:p>
            <w:pPr>
              <w:spacing w:after="0"/>
              <w:rPr>
                <w:sz w:val="1"/>
                <w:szCs w:val="1"/>
                <w:color w:val="auto"/>
              </w:rPr>
            </w:pPr>
          </w:p>
        </w:tc>
      </w:tr>
      <w:tr>
        <w:trPr>
          <w:trHeight w:val="221"/>
        </w:trPr>
        <w:tc>
          <w:tcPr>
            <w:tcW w:w="7320" w:type="dxa"/>
            <w:vAlign w:val="bottom"/>
          </w:tcPr>
          <w:p>
            <w:pPr>
              <w:ind w:left="400"/>
              <w:spacing w:after="0"/>
              <w:rPr>
                <w:sz w:val="20"/>
                <w:szCs w:val="20"/>
                <w:color w:val="auto"/>
              </w:rPr>
            </w:pPr>
            <w:r>
              <w:rPr>
                <w:rFonts w:ascii="Arial" w:cs="Arial" w:eastAsia="Arial" w:hAnsi="Arial"/>
                <w:sz w:val="18"/>
                <w:szCs w:val="18"/>
                <w:b w:val="1"/>
                <w:bCs w:val="1"/>
                <w:color w:val="auto"/>
              </w:rPr>
              <w:t>Total shareholders’ equity</w:t>
            </w: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829,303</w:t>
            </w: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581,405</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575,995</w:t>
            </w:r>
          </w:p>
        </w:tc>
        <w:tc>
          <w:tcPr>
            <w:tcW w:w="0" w:type="dxa"/>
            <w:vAlign w:val="bottom"/>
          </w:tcPr>
          <w:p>
            <w:pPr>
              <w:spacing w:after="0"/>
              <w:rPr>
                <w:sz w:val="1"/>
                <w:szCs w:val="1"/>
                <w:color w:val="auto"/>
              </w:rPr>
            </w:pPr>
          </w:p>
        </w:tc>
      </w:tr>
      <w:tr>
        <w:trPr>
          <w:trHeight w:val="214"/>
        </w:trPr>
        <w:tc>
          <w:tcPr>
            <w:tcW w:w="7320" w:type="dxa"/>
            <w:vAlign w:val="bottom"/>
          </w:tcPr>
          <w:p>
            <w:pPr>
              <w:ind w:left="400"/>
              <w:spacing w:after="0"/>
              <w:rPr>
                <w:sz w:val="20"/>
                <w:szCs w:val="20"/>
                <w:color w:val="auto"/>
              </w:rPr>
            </w:pPr>
            <w:r>
              <w:rPr>
                <w:rFonts w:ascii="Arial" w:cs="Arial" w:eastAsia="Arial" w:hAnsi="Arial"/>
                <w:sz w:val="18"/>
                <w:szCs w:val="18"/>
                <w:b w:val="1"/>
                <w:bCs w:val="1"/>
                <w:color w:val="auto"/>
              </w:rPr>
              <w:t>Total liabilities and shareholders’ equity</w:t>
            </w:r>
          </w:p>
        </w:tc>
        <w:tc>
          <w:tcPr>
            <w:tcW w:w="12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7,162,635</w:t>
            </w:r>
          </w:p>
        </w:tc>
        <w:tc>
          <w:tcPr>
            <w:tcW w:w="120" w:type="dxa"/>
            <w:vAlign w:val="bottom"/>
          </w:tcPr>
          <w:p>
            <w:pPr>
              <w:spacing w:after="0"/>
              <w:rPr>
                <w:sz w:val="18"/>
                <w:szCs w:val="18"/>
                <w:color w:val="auto"/>
              </w:rPr>
            </w:pPr>
          </w:p>
        </w:tc>
        <w:tc>
          <w:tcPr>
            <w:tcW w:w="240" w:type="dxa"/>
            <w:vAlign w:val="bottom"/>
            <w:tcBorders>
              <w:bottom w:val="single" w:sz="8" w:color="auto"/>
            </w:tcBorders>
          </w:tcPr>
          <w:p>
            <w:pPr>
              <w:jc w:val="right"/>
              <w:ind w:right="82"/>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6,802,259</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6,737,106</w:t>
            </w: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13970</wp:posOffset>
            </wp:positionV>
            <wp:extent cx="724789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7890" cy="8255"/>
                    </a:xfrm>
                    <a:prstGeom prst="rect">
                      <a:avLst/>
                    </a:prstGeom>
                    <a:noFill/>
                  </pic:spPr>
                </pic:pic>
              </a:graphicData>
            </a:graphic>
          </wp:anchor>
        </w:drawing>
      </w:r>
    </w:p>
    <w:p>
      <w:pPr>
        <w:sectPr>
          <w:pgSz w:w="11900" w:h="16838" w:orient="portrait"/>
          <w:cols w:equalWidth="0" w:num="1">
            <w:col w:w="11420"/>
          </w:cols>
          <w:pgMar w:left="240" w:top="912"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UNITED COMMUNITY BANKS, INC.</w:t>
      </w:r>
    </w:p>
    <w:p>
      <w:pPr>
        <w:spacing w:after="0" w:line="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Consolidated Statement of Changes in Shareholders’ Equity </w:t>
      </w:r>
      <w:r>
        <w:rPr>
          <w:rFonts w:ascii="Arial" w:cs="Arial" w:eastAsia="Arial" w:hAnsi="Arial"/>
          <w:sz w:val="18"/>
          <w:szCs w:val="18"/>
          <w:i w:val="1"/>
          <w:iCs w:val="1"/>
          <w:color w:val="auto"/>
        </w:rPr>
        <w:t>(Unaudited)</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Six Months Ended June 30,</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70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gridSpan w:val="2"/>
          </w:tcPr>
          <w:p>
            <w:pPr>
              <w:jc w:val="center"/>
              <w:ind w:right="11"/>
              <w:spacing w:after="0" w:line="204" w:lineRule="exact"/>
              <w:rPr>
                <w:sz w:val="20"/>
                <w:szCs w:val="20"/>
                <w:color w:val="auto"/>
              </w:rPr>
            </w:pPr>
            <w:r>
              <w:rPr>
                <w:rFonts w:ascii="Arial" w:cs="Arial" w:eastAsia="Arial" w:hAnsi="Arial"/>
                <w:sz w:val="18"/>
                <w:szCs w:val="18"/>
                <w:b w:val="1"/>
                <w:bCs w:val="1"/>
                <w:color w:val="auto"/>
                <w:w w:val="90"/>
              </w:rPr>
              <w:t>Accumulated</w:t>
            </w:r>
          </w:p>
        </w:tc>
        <w:tc>
          <w:tcPr>
            <w:tcW w:w="10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1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080" w:type="dxa"/>
            <w:vAlign w:val="bottom"/>
            <w:tcBorders>
              <w:bottom w:val="single" w:sz="8" w:color="auto"/>
            </w:tcBorders>
            <w:gridSpan w:val="5"/>
          </w:tcPr>
          <w:p>
            <w:pPr>
              <w:ind w:left="360"/>
              <w:spacing w:after="0"/>
              <w:rPr>
                <w:sz w:val="20"/>
                <w:szCs w:val="20"/>
                <w:color w:val="auto"/>
              </w:rPr>
            </w:pPr>
            <w:r>
              <w:rPr>
                <w:rFonts w:ascii="Arial" w:cs="Arial" w:eastAsia="Arial" w:hAnsi="Arial"/>
                <w:sz w:val="18"/>
                <w:szCs w:val="18"/>
                <w:b w:val="1"/>
                <w:bCs w:val="1"/>
                <w:color w:val="auto"/>
              </w:rPr>
              <w:t>Preferred Stock</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2"/>
          </w:tcPr>
          <w:p>
            <w:pPr>
              <w:spacing w:after="0"/>
              <w:rPr>
                <w:sz w:val="20"/>
                <w:szCs w:val="20"/>
                <w:color w:val="auto"/>
              </w:rPr>
            </w:pPr>
            <w:r>
              <w:rPr>
                <w:rFonts w:ascii="Arial" w:cs="Arial" w:eastAsia="Arial" w:hAnsi="Arial"/>
                <w:sz w:val="18"/>
                <w:szCs w:val="18"/>
                <w:b w:val="1"/>
                <w:bCs w:val="1"/>
                <w:color w:val="auto"/>
                <w:w w:val="98"/>
              </w:rPr>
              <w:t>Non-Voting</w:t>
            </w:r>
          </w:p>
        </w:tc>
        <w:tc>
          <w:tcPr>
            <w:tcW w:w="880" w:type="dxa"/>
            <w:vAlign w:val="bottom"/>
            <w:gridSpan w:val="3"/>
          </w:tcPr>
          <w:p>
            <w:pPr>
              <w:ind w:left="80"/>
              <w:spacing w:after="0"/>
              <w:rPr>
                <w:sz w:val="20"/>
                <w:szCs w:val="20"/>
                <w:color w:val="auto"/>
              </w:rPr>
            </w:pPr>
            <w:r>
              <w:rPr>
                <w:rFonts w:ascii="Arial" w:cs="Arial" w:eastAsia="Arial" w:hAnsi="Arial"/>
                <w:sz w:val="18"/>
                <w:szCs w:val="18"/>
                <w:b w:val="1"/>
                <w:bCs w:val="1"/>
                <w:color w:val="auto"/>
                <w:w w:val="99"/>
              </w:rPr>
              <w:t>Common</w:t>
            </w: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jc w:val="center"/>
              <w:ind w:right="231"/>
              <w:spacing w:after="0"/>
              <w:rPr>
                <w:sz w:val="20"/>
                <w:szCs w:val="20"/>
                <w:color w:val="auto"/>
              </w:rPr>
            </w:pPr>
            <w:r>
              <w:rPr>
                <w:rFonts w:ascii="Arial" w:cs="Arial" w:eastAsia="Arial" w:hAnsi="Arial"/>
                <w:sz w:val="18"/>
                <w:szCs w:val="18"/>
                <w:b w:val="1"/>
                <w:bCs w:val="1"/>
                <w:color w:val="auto"/>
                <w:w w:val="95"/>
              </w:rPr>
              <w:t>Other</w:t>
            </w: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0"/>
        </w:trPr>
        <w:tc>
          <w:tcPr>
            <w:tcW w:w="1700" w:type="dxa"/>
            <w:vAlign w:val="bottom"/>
          </w:tcPr>
          <w:p>
            <w:pPr>
              <w:spacing w:after="0" w:line="200" w:lineRule="exact"/>
              <w:rPr>
                <w:sz w:val="20"/>
                <w:szCs w:val="20"/>
                <w:color w:val="auto"/>
              </w:rPr>
            </w:pPr>
            <w:r>
              <w:rPr>
                <w:rFonts w:ascii="Arial" w:cs="Arial" w:eastAsia="Arial" w:hAnsi="Arial"/>
                <w:sz w:val="18"/>
                <w:szCs w:val="18"/>
                <w:i w:val="1"/>
                <w:iCs w:val="1"/>
                <w:color w:val="auto"/>
                <w:w w:val="98"/>
              </w:rPr>
              <w:t>(in thousands, except</w:t>
            </w:r>
          </w:p>
        </w:tc>
        <w:tc>
          <w:tcPr>
            <w:tcW w:w="80" w:type="dxa"/>
            <w:vAlign w:val="bottom"/>
          </w:tcPr>
          <w:p>
            <w:pPr>
              <w:spacing w:after="0"/>
              <w:rPr>
                <w:sz w:val="17"/>
                <w:szCs w:val="17"/>
                <w:color w:val="auto"/>
              </w:rPr>
            </w:pPr>
          </w:p>
        </w:tc>
        <w:tc>
          <w:tcPr>
            <w:tcW w:w="660" w:type="dxa"/>
            <w:vAlign w:val="bottom"/>
            <w:gridSpan w:val="2"/>
            <w:vMerge w:val="restart"/>
          </w:tcPr>
          <w:p>
            <w:pPr>
              <w:jc w:val="right"/>
              <w:ind w:right="51"/>
              <w:spacing w:after="0"/>
              <w:rPr>
                <w:sz w:val="20"/>
                <w:szCs w:val="20"/>
                <w:color w:val="auto"/>
              </w:rPr>
            </w:pPr>
            <w:r>
              <w:rPr>
                <w:rFonts w:ascii="Arial" w:cs="Arial" w:eastAsia="Arial" w:hAnsi="Arial"/>
                <w:sz w:val="18"/>
                <w:szCs w:val="18"/>
                <w:b w:val="1"/>
                <w:bCs w:val="1"/>
                <w:color w:val="auto"/>
                <w:w w:val="92"/>
              </w:rPr>
              <w:t>Series</w:t>
            </w:r>
          </w:p>
        </w:tc>
        <w:tc>
          <w:tcPr>
            <w:tcW w:w="80" w:type="dxa"/>
            <w:vAlign w:val="bottom"/>
          </w:tcPr>
          <w:p>
            <w:pPr>
              <w:spacing w:after="0"/>
              <w:rPr>
                <w:sz w:val="17"/>
                <w:szCs w:val="17"/>
                <w:color w:val="auto"/>
              </w:rPr>
            </w:pPr>
          </w:p>
        </w:tc>
        <w:tc>
          <w:tcPr>
            <w:tcW w:w="780" w:type="dxa"/>
            <w:vAlign w:val="bottom"/>
            <w:vMerge w:val="restart"/>
          </w:tcPr>
          <w:p>
            <w:pPr>
              <w:jc w:val="right"/>
              <w:ind w:right="111"/>
              <w:spacing w:after="0"/>
              <w:rPr>
                <w:sz w:val="20"/>
                <w:szCs w:val="20"/>
                <w:color w:val="auto"/>
              </w:rPr>
            </w:pPr>
            <w:r>
              <w:rPr>
                <w:rFonts w:ascii="Arial" w:cs="Arial" w:eastAsia="Arial" w:hAnsi="Arial"/>
                <w:sz w:val="18"/>
                <w:szCs w:val="18"/>
                <w:b w:val="1"/>
                <w:bCs w:val="1"/>
                <w:color w:val="auto"/>
              </w:rPr>
              <w:t>Series</w:t>
            </w:r>
          </w:p>
        </w:tc>
        <w:tc>
          <w:tcPr>
            <w:tcW w:w="80" w:type="dxa"/>
            <w:vAlign w:val="bottom"/>
          </w:tcPr>
          <w:p>
            <w:pPr>
              <w:spacing w:after="0"/>
              <w:rPr>
                <w:sz w:val="17"/>
                <w:szCs w:val="17"/>
                <w:color w:val="auto"/>
              </w:rPr>
            </w:pPr>
          </w:p>
        </w:tc>
        <w:tc>
          <w:tcPr>
            <w:tcW w:w="740" w:type="dxa"/>
            <w:vAlign w:val="bottom"/>
            <w:gridSpan w:val="2"/>
            <w:vMerge w:val="restart"/>
          </w:tcPr>
          <w:p>
            <w:pPr>
              <w:jc w:val="center"/>
              <w:ind w:right="80"/>
              <w:spacing w:after="0"/>
              <w:rPr>
                <w:sz w:val="20"/>
                <w:szCs w:val="20"/>
                <w:color w:val="auto"/>
              </w:rPr>
            </w:pPr>
            <w:r>
              <w:rPr>
                <w:rFonts w:ascii="Arial" w:cs="Arial" w:eastAsia="Arial" w:hAnsi="Arial"/>
                <w:sz w:val="18"/>
                <w:szCs w:val="18"/>
                <w:b w:val="1"/>
                <w:bCs w:val="1"/>
                <w:color w:val="auto"/>
                <w:w w:val="85"/>
              </w:rPr>
              <w:t>Series</w:t>
            </w:r>
          </w:p>
        </w:tc>
        <w:tc>
          <w:tcPr>
            <w:tcW w:w="880" w:type="dxa"/>
            <w:vAlign w:val="bottom"/>
            <w:gridSpan w:val="3"/>
            <w:vMerge w:val="restart"/>
          </w:tcPr>
          <w:p>
            <w:pPr>
              <w:ind w:left="100"/>
              <w:spacing w:after="0"/>
              <w:rPr>
                <w:sz w:val="20"/>
                <w:szCs w:val="20"/>
                <w:color w:val="auto"/>
              </w:rPr>
            </w:pPr>
            <w:r>
              <w:rPr>
                <w:rFonts w:ascii="Arial" w:cs="Arial" w:eastAsia="Arial" w:hAnsi="Arial"/>
                <w:sz w:val="18"/>
                <w:szCs w:val="18"/>
                <w:b w:val="1"/>
                <w:bCs w:val="1"/>
                <w:color w:val="auto"/>
                <w:w w:val="97"/>
              </w:rPr>
              <w:t>Common</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vMerge w:val="restart"/>
          </w:tcPr>
          <w:p>
            <w:pPr>
              <w:jc w:val="right"/>
              <w:ind w:right="91"/>
              <w:spacing w:after="0"/>
              <w:rPr>
                <w:sz w:val="20"/>
                <w:szCs w:val="20"/>
                <w:color w:val="auto"/>
              </w:rPr>
            </w:pPr>
            <w:r>
              <w:rPr>
                <w:rFonts w:ascii="Arial" w:cs="Arial" w:eastAsia="Arial" w:hAnsi="Arial"/>
                <w:sz w:val="18"/>
                <w:szCs w:val="18"/>
                <w:b w:val="1"/>
                <w:bCs w:val="1"/>
                <w:color w:val="auto"/>
                <w:w w:val="89"/>
              </w:rPr>
              <w:t>Common</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vMerge w:val="restart"/>
          </w:tcPr>
          <w:p>
            <w:pPr>
              <w:jc w:val="right"/>
              <w:ind w:right="131"/>
              <w:spacing w:after="0"/>
              <w:rPr>
                <w:sz w:val="20"/>
                <w:szCs w:val="20"/>
                <w:color w:val="auto"/>
              </w:rPr>
            </w:pPr>
            <w:r>
              <w:rPr>
                <w:rFonts w:ascii="Arial" w:cs="Arial" w:eastAsia="Arial" w:hAnsi="Arial"/>
                <w:sz w:val="18"/>
                <w:szCs w:val="18"/>
                <w:b w:val="1"/>
                <w:bCs w:val="1"/>
                <w:color w:val="auto"/>
                <w:w w:val="89"/>
              </w:rPr>
              <w:t>Stock</w:t>
            </w:r>
          </w:p>
        </w:tc>
        <w:tc>
          <w:tcPr>
            <w:tcW w:w="100" w:type="dxa"/>
            <w:vAlign w:val="bottom"/>
          </w:tcPr>
          <w:p>
            <w:pPr>
              <w:spacing w:after="0"/>
              <w:rPr>
                <w:sz w:val="17"/>
                <w:szCs w:val="17"/>
                <w:color w:val="auto"/>
              </w:rPr>
            </w:pPr>
          </w:p>
        </w:tc>
        <w:tc>
          <w:tcPr>
            <w:tcW w:w="920" w:type="dxa"/>
            <w:vAlign w:val="bottom"/>
            <w:vMerge w:val="restart"/>
          </w:tcPr>
          <w:p>
            <w:pPr>
              <w:jc w:val="right"/>
              <w:ind w:right="131"/>
              <w:spacing w:after="0"/>
              <w:rPr>
                <w:sz w:val="20"/>
                <w:szCs w:val="20"/>
                <w:color w:val="auto"/>
              </w:rPr>
            </w:pPr>
            <w:r>
              <w:rPr>
                <w:rFonts w:ascii="Arial" w:cs="Arial" w:eastAsia="Arial" w:hAnsi="Arial"/>
                <w:sz w:val="18"/>
                <w:szCs w:val="18"/>
                <w:b w:val="1"/>
                <w:bCs w:val="1"/>
                <w:color w:val="auto"/>
              </w:rPr>
              <w:t>Capital</w:t>
            </w:r>
          </w:p>
        </w:tc>
        <w:tc>
          <w:tcPr>
            <w:tcW w:w="100" w:type="dxa"/>
            <w:vAlign w:val="bottom"/>
          </w:tcPr>
          <w:p>
            <w:pPr>
              <w:spacing w:after="0"/>
              <w:rPr>
                <w:sz w:val="17"/>
                <w:szCs w:val="17"/>
                <w:color w:val="auto"/>
              </w:rPr>
            </w:pPr>
          </w:p>
        </w:tc>
        <w:tc>
          <w:tcPr>
            <w:tcW w:w="1100" w:type="dxa"/>
            <w:vAlign w:val="bottom"/>
            <w:gridSpan w:val="2"/>
            <w:vMerge w:val="restart"/>
          </w:tcPr>
          <w:p>
            <w:pPr>
              <w:spacing w:after="0"/>
              <w:rPr>
                <w:sz w:val="20"/>
                <w:szCs w:val="20"/>
                <w:color w:val="auto"/>
              </w:rPr>
            </w:pPr>
            <w:r>
              <w:rPr>
                <w:rFonts w:ascii="Arial" w:cs="Arial" w:eastAsia="Arial" w:hAnsi="Arial"/>
                <w:sz w:val="18"/>
                <w:szCs w:val="18"/>
                <w:b w:val="1"/>
                <w:bCs w:val="1"/>
                <w:color w:val="auto"/>
                <w:w w:val="95"/>
              </w:rPr>
              <w:t>Accumulated</w:t>
            </w:r>
          </w:p>
        </w:tc>
        <w:tc>
          <w:tcPr>
            <w:tcW w:w="1360" w:type="dxa"/>
            <w:vAlign w:val="bottom"/>
            <w:gridSpan w:val="3"/>
            <w:vMerge w:val="restart"/>
          </w:tcPr>
          <w:p>
            <w:pPr>
              <w:ind w:left="80"/>
              <w:spacing w:after="0"/>
              <w:rPr>
                <w:sz w:val="20"/>
                <w:szCs w:val="20"/>
                <w:color w:val="auto"/>
              </w:rPr>
            </w:pPr>
            <w:r>
              <w:rPr>
                <w:rFonts w:ascii="Arial" w:cs="Arial" w:eastAsia="Arial" w:hAnsi="Arial"/>
                <w:sz w:val="18"/>
                <w:szCs w:val="18"/>
                <w:b w:val="1"/>
                <w:bCs w:val="1"/>
                <w:color w:val="auto"/>
                <w:w w:val="93"/>
              </w:rPr>
              <w:t>Comprehensive</w:t>
            </w: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700" w:type="dxa"/>
            <w:vAlign w:val="bottom"/>
          </w:tcPr>
          <w:p>
            <w:pPr>
              <w:spacing w:after="0"/>
              <w:rPr>
                <w:sz w:val="20"/>
                <w:szCs w:val="20"/>
                <w:color w:val="auto"/>
              </w:rPr>
            </w:pPr>
            <w:r>
              <w:rPr>
                <w:rFonts w:ascii="Arial" w:cs="Arial" w:eastAsia="Arial" w:hAnsi="Arial"/>
                <w:sz w:val="18"/>
                <w:szCs w:val="18"/>
                <w:i w:val="1"/>
                <w:iCs w:val="1"/>
                <w:color w:val="auto"/>
              </w:rPr>
              <w:t>share</w:t>
            </w:r>
          </w:p>
        </w:tc>
        <w:tc>
          <w:tcPr>
            <w:tcW w:w="80" w:type="dxa"/>
            <w:vAlign w:val="bottom"/>
          </w:tcPr>
          <w:p>
            <w:pPr>
              <w:spacing w:after="0"/>
              <w:rPr>
                <w:sz w:val="18"/>
                <w:szCs w:val="18"/>
                <w:color w:val="auto"/>
              </w:rPr>
            </w:pPr>
          </w:p>
        </w:tc>
        <w:tc>
          <w:tcPr>
            <w:tcW w:w="66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vMerge w:val="continue"/>
          </w:tcPr>
          <w:p>
            <w:pPr>
              <w:spacing w:after="0"/>
              <w:rPr>
                <w:sz w:val="18"/>
                <w:szCs w:val="18"/>
                <w:color w:val="auto"/>
              </w:rPr>
            </w:pPr>
          </w:p>
        </w:tc>
        <w:tc>
          <w:tcPr>
            <w:tcW w:w="880" w:type="dxa"/>
            <w:vAlign w:val="bottom"/>
            <w:gridSpan w:val="3"/>
            <w:vMerge w:val="continue"/>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vMerge w:val="continue"/>
          </w:tcPr>
          <w:p>
            <w:pPr>
              <w:spacing w:after="0"/>
              <w:rPr>
                <w:sz w:val="18"/>
                <w:szCs w:val="18"/>
                <w:color w:val="auto"/>
              </w:rPr>
            </w:pPr>
          </w:p>
        </w:tc>
        <w:tc>
          <w:tcPr>
            <w:tcW w:w="1360" w:type="dxa"/>
            <w:vAlign w:val="bottom"/>
            <w:gridSpan w:val="3"/>
            <w:vMerge w:val="continue"/>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170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and per share data)</w:t>
            </w: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ind w:right="211"/>
              <w:spacing w:after="0"/>
              <w:rPr>
                <w:sz w:val="20"/>
                <w:szCs w:val="20"/>
                <w:color w:val="auto"/>
              </w:rPr>
            </w:pPr>
            <w:r>
              <w:rPr>
                <w:rFonts w:ascii="Arial" w:cs="Arial" w:eastAsia="Arial" w:hAnsi="Arial"/>
                <w:sz w:val="18"/>
                <w:szCs w:val="18"/>
                <w:b w:val="1"/>
                <w:bCs w:val="1"/>
                <w:color w:val="auto"/>
              </w:rPr>
              <w:t>A</w:t>
            </w:r>
          </w:p>
        </w:tc>
        <w:tc>
          <w:tcPr>
            <w:tcW w:w="80" w:type="dxa"/>
            <w:vAlign w:val="bottom"/>
          </w:tcPr>
          <w:p>
            <w:pPr>
              <w:spacing w:after="0"/>
              <w:rPr>
                <w:sz w:val="20"/>
                <w:szCs w:val="20"/>
                <w:color w:val="auto"/>
              </w:rPr>
            </w:pPr>
          </w:p>
        </w:tc>
        <w:tc>
          <w:tcPr>
            <w:tcW w:w="780" w:type="dxa"/>
            <w:vAlign w:val="bottom"/>
            <w:tcBorders>
              <w:bottom w:val="single" w:sz="8" w:color="auto"/>
            </w:tcBorders>
          </w:tcPr>
          <w:p>
            <w:pPr>
              <w:jc w:val="right"/>
              <w:ind w:right="271"/>
              <w:spacing w:after="0"/>
              <w:rPr>
                <w:sz w:val="20"/>
                <w:szCs w:val="20"/>
                <w:color w:val="auto"/>
              </w:rPr>
            </w:pPr>
            <w:r>
              <w:rPr>
                <w:rFonts w:ascii="Arial" w:cs="Arial" w:eastAsia="Arial" w:hAnsi="Arial"/>
                <w:sz w:val="18"/>
                <w:szCs w:val="18"/>
                <w:b w:val="1"/>
                <w:bCs w:val="1"/>
                <w:color w:val="auto"/>
              </w:rPr>
              <w:t>B</w:t>
            </w:r>
          </w:p>
        </w:tc>
        <w:tc>
          <w:tcPr>
            <w:tcW w:w="80" w:type="dxa"/>
            <w:vAlign w:val="bottom"/>
          </w:tcPr>
          <w:p>
            <w:pPr>
              <w:spacing w:after="0"/>
              <w:rPr>
                <w:sz w:val="20"/>
                <w:szCs w:val="20"/>
                <w:color w:val="auto"/>
              </w:rPr>
            </w:pPr>
          </w:p>
        </w:tc>
        <w:tc>
          <w:tcPr>
            <w:tcW w:w="74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8"/>
                <w:szCs w:val="18"/>
                <w:b w:val="1"/>
                <w:bCs w:val="1"/>
                <w:color w:val="auto"/>
                <w:w w:val="91"/>
              </w:rPr>
              <w:t>D</w:t>
            </w: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b w:val="1"/>
                <w:bCs w:val="1"/>
                <w:color w:val="auto"/>
                <w:w w:val="89"/>
              </w:rPr>
              <w:t>Stock</w:t>
            </w:r>
          </w:p>
        </w:tc>
        <w:tc>
          <w:tcPr>
            <w:tcW w:w="10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31"/>
              <w:spacing w:after="0"/>
              <w:rPr>
                <w:sz w:val="20"/>
                <w:szCs w:val="20"/>
                <w:color w:val="auto"/>
              </w:rPr>
            </w:pPr>
            <w:r>
              <w:rPr>
                <w:rFonts w:ascii="Arial" w:cs="Arial" w:eastAsia="Arial" w:hAnsi="Arial"/>
                <w:sz w:val="18"/>
                <w:szCs w:val="18"/>
                <w:b w:val="1"/>
                <w:bCs w:val="1"/>
                <w:color w:val="auto"/>
              </w:rPr>
              <w:t>Stock</w:t>
            </w:r>
          </w:p>
        </w:tc>
        <w:tc>
          <w:tcPr>
            <w:tcW w:w="80" w:type="dxa"/>
            <w:vAlign w:val="bottom"/>
          </w:tcPr>
          <w:p>
            <w:pPr>
              <w:spacing w:after="0"/>
              <w:rPr>
                <w:sz w:val="20"/>
                <w:szCs w:val="20"/>
                <w:color w:val="auto"/>
              </w:rPr>
            </w:pPr>
          </w:p>
        </w:tc>
        <w:tc>
          <w:tcPr>
            <w:tcW w:w="800" w:type="dxa"/>
            <w:vAlign w:val="bottom"/>
            <w:tcBorders>
              <w:bottom w:val="single" w:sz="8" w:color="auto"/>
            </w:tcBorders>
            <w:gridSpan w:val="2"/>
          </w:tcPr>
          <w:p>
            <w:pPr>
              <w:jc w:val="right"/>
              <w:ind w:right="31"/>
              <w:spacing w:after="0"/>
              <w:rPr>
                <w:sz w:val="20"/>
                <w:szCs w:val="20"/>
                <w:color w:val="auto"/>
              </w:rPr>
            </w:pPr>
            <w:r>
              <w:rPr>
                <w:rFonts w:ascii="Arial" w:cs="Arial" w:eastAsia="Arial" w:hAnsi="Arial"/>
                <w:sz w:val="18"/>
                <w:szCs w:val="18"/>
                <w:b w:val="1"/>
                <w:bCs w:val="1"/>
                <w:color w:val="auto"/>
                <w:w w:val="91"/>
              </w:rPr>
              <w:t>Issuable</w:t>
            </w:r>
          </w:p>
        </w:tc>
        <w:tc>
          <w:tcPr>
            <w:tcW w:w="100" w:type="dxa"/>
            <w:vAlign w:val="bottom"/>
          </w:tcPr>
          <w:p>
            <w:pPr>
              <w:spacing w:after="0"/>
              <w:rPr>
                <w:sz w:val="20"/>
                <w:szCs w:val="20"/>
                <w:color w:val="auto"/>
              </w:rPr>
            </w:pPr>
          </w:p>
        </w:tc>
        <w:tc>
          <w:tcPr>
            <w:tcW w:w="92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b w:val="1"/>
                <w:bCs w:val="1"/>
                <w:color w:val="auto"/>
              </w:rPr>
              <w:t>Surplus</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71"/>
              <w:spacing w:after="0"/>
              <w:rPr>
                <w:sz w:val="20"/>
                <w:szCs w:val="20"/>
                <w:color w:val="auto"/>
              </w:rPr>
            </w:pPr>
            <w:r>
              <w:rPr>
                <w:rFonts w:ascii="Arial" w:cs="Arial" w:eastAsia="Arial" w:hAnsi="Arial"/>
                <w:sz w:val="18"/>
                <w:szCs w:val="18"/>
                <w:b w:val="1"/>
                <w:bCs w:val="1"/>
                <w:color w:val="auto"/>
              </w:rPr>
              <w:t>Deficit</w:t>
            </w:r>
          </w:p>
        </w:tc>
        <w:tc>
          <w:tcPr>
            <w:tcW w:w="80" w:type="dxa"/>
            <w:vAlign w:val="bottom"/>
          </w:tcPr>
          <w:p>
            <w:pPr>
              <w:spacing w:after="0"/>
              <w:rPr>
                <w:sz w:val="20"/>
                <w:szCs w:val="20"/>
                <w:color w:val="auto"/>
              </w:rPr>
            </w:pPr>
          </w:p>
        </w:tc>
        <w:tc>
          <w:tcPr>
            <w:tcW w:w="128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8"/>
              </w:rPr>
              <w:t>Income (Loss)</w:t>
            </w:r>
          </w:p>
        </w:tc>
        <w:tc>
          <w:tcPr>
            <w:tcW w:w="100" w:type="dxa"/>
            <w:vAlign w:val="bottom"/>
          </w:tcPr>
          <w:p>
            <w:pPr>
              <w:spacing w:after="0"/>
              <w:rPr>
                <w:sz w:val="20"/>
                <w:szCs w:val="20"/>
                <w:color w:val="auto"/>
              </w:rPr>
            </w:pPr>
          </w:p>
        </w:tc>
        <w:tc>
          <w:tcPr>
            <w:tcW w:w="78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410"/>
        </w:trPr>
        <w:tc>
          <w:tcPr>
            <w:tcW w:w="1700" w:type="dxa"/>
            <w:vAlign w:val="bottom"/>
          </w:tcPr>
          <w:p>
            <w:pPr>
              <w:spacing w:after="0"/>
              <w:rPr>
                <w:sz w:val="20"/>
                <w:szCs w:val="20"/>
                <w:color w:val="auto"/>
              </w:rPr>
            </w:pPr>
            <w:r>
              <w:rPr>
                <w:rFonts w:ascii="Arial" w:cs="Arial" w:eastAsia="Arial" w:hAnsi="Arial"/>
                <w:sz w:val="18"/>
                <w:szCs w:val="18"/>
                <w:b w:val="1"/>
                <w:bCs w:val="1"/>
                <w:color w:val="auto"/>
              </w:rPr>
              <w:t>Balance, December</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1700" w:type="dxa"/>
            <w:vAlign w:val="bottom"/>
          </w:tcPr>
          <w:p>
            <w:pPr>
              <w:spacing w:after="0"/>
              <w:rPr>
                <w:sz w:val="20"/>
                <w:szCs w:val="20"/>
                <w:color w:val="auto"/>
              </w:rPr>
            </w:pPr>
            <w:r>
              <w:rPr>
                <w:rFonts w:ascii="Arial" w:cs="Arial" w:eastAsia="Arial" w:hAnsi="Arial"/>
                <w:sz w:val="18"/>
                <w:szCs w:val="18"/>
                <w:b w:val="1"/>
                <w:bCs w:val="1"/>
                <w:color w:val="auto"/>
              </w:rPr>
              <w:t>31, 2011</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217</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w w:val="94"/>
              </w:rPr>
              <w:t>$ 177,092</w:t>
            </w:r>
          </w:p>
        </w:tc>
        <w:tc>
          <w:tcPr>
            <w:tcW w:w="820" w:type="dxa"/>
            <w:vAlign w:val="bottom"/>
            <w:gridSpan w:val="3"/>
          </w:tcPr>
          <w:p>
            <w:pPr>
              <w:jc w:val="center"/>
              <w:ind w:right="20"/>
              <w:spacing w:after="0"/>
              <w:rPr>
                <w:sz w:val="20"/>
                <w:szCs w:val="20"/>
                <w:color w:val="auto"/>
              </w:rPr>
            </w:pPr>
            <w:r>
              <w:rPr>
                <w:rFonts w:ascii="Arial" w:cs="Arial" w:eastAsia="Arial" w:hAnsi="Arial"/>
                <w:sz w:val="18"/>
                <w:szCs w:val="18"/>
                <w:color w:val="auto"/>
                <w:w w:val="91"/>
              </w:rPr>
              <w:t>$ 16,613</w:t>
            </w:r>
          </w:p>
        </w:tc>
        <w:tc>
          <w:tcPr>
            <w:tcW w:w="200" w:type="dxa"/>
            <w:vAlign w:val="bottom"/>
            <w:gridSpan w:val="2"/>
          </w:tcPr>
          <w:p>
            <w:pPr>
              <w:ind w:left="100"/>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41,647</w:t>
            </w:r>
          </w:p>
        </w:tc>
        <w:tc>
          <w:tcPr>
            <w:tcW w:w="180" w:type="dxa"/>
            <w:vAlign w:val="bottom"/>
            <w:gridSpan w:val="2"/>
          </w:tcPr>
          <w:p>
            <w:pPr>
              <w:ind w:left="100"/>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15,914</w:t>
            </w:r>
          </w:p>
        </w:tc>
        <w:tc>
          <w:tcPr>
            <w:tcW w:w="200" w:type="dxa"/>
            <w:vAlign w:val="bottom"/>
            <w:gridSpan w:val="2"/>
          </w:tcPr>
          <w:p>
            <w:pPr>
              <w:ind w:left="80"/>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ind w:right="11"/>
              <w:spacing w:after="0"/>
              <w:rPr>
                <w:sz w:val="20"/>
                <w:szCs w:val="20"/>
                <w:color w:val="auto"/>
              </w:rPr>
            </w:pPr>
            <w:r>
              <w:rPr>
                <w:rFonts w:ascii="Arial" w:cs="Arial" w:eastAsia="Arial" w:hAnsi="Arial"/>
                <w:sz w:val="18"/>
                <w:szCs w:val="18"/>
                <w:color w:val="auto"/>
              </w:rPr>
              <w:t>3,233</w:t>
            </w:r>
          </w:p>
        </w:tc>
        <w:tc>
          <w:tcPr>
            <w:tcW w:w="1020" w:type="dxa"/>
            <w:vAlign w:val="bottom"/>
            <w:gridSpan w:val="2"/>
          </w:tcPr>
          <w:p>
            <w:pPr>
              <w:jc w:val="right"/>
              <w:ind w:right="11"/>
              <w:spacing w:after="0"/>
              <w:rPr>
                <w:sz w:val="20"/>
                <w:szCs w:val="20"/>
                <w:color w:val="auto"/>
              </w:rPr>
            </w:pPr>
            <w:r>
              <w:rPr>
                <w:rFonts w:ascii="Arial" w:cs="Arial" w:eastAsia="Arial" w:hAnsi="Arial"/>
                <w:sz w:val="18"/>
                <w:szCs w:val="18"/>
                <w:color w:val="auto"/>
                <w:w w:val="94"/>
              </w:rPr>
              <w:t>$ 1,054,940</w:t>
            </w:r>
          </w:p>
        </w:tc>
        <w:tc>
          <w:tcPr>
            <w:tcW w:w="26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(730,861)</w:t>
            </w:r>
          </w:p>
        </w:tc>
        <w:tc>
          <w:tcPr>
            <w:tcW w:w="30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(3,309)</w:t>
            </w:r>
          </w:p>
        </w:tc>
        <w:tc>
          <w:tcPr>
            <w:tcW w:w="880" w:type="dxa"/>
            <w:vAlign w:val="bottom"/>
            <w:gridSpan w:val="2"/>
          </w:tcPr>
          <w:p>
            <w:pPr>
              <w:jc w:val="right"/>
              <w:ind w:right="11"/>
              <w:spacing w:after="0"/>
              <w:rPr>
                <w:sz w:val="20"/>
                <w:szCs w:val="20"/>
                <w:color w:val="auto"/>
              </w:rPr>
            </w:pPr>
            <w:r>
              <w:rPr>
                <w:rFonts w:ascii="Arial" w:cs="Arial" w:eastAsia="Arial" w:hAnsi="Arial"/>
                <w:sz w:val="18"/>
                <w:szCs w:val="18"/>
                <w:color w:val="auto"/>
                <w:w w:val="94"/>
              </w:rPr>
              <w:t>$ 575,486</w:t>
            </w:r>
          </w:p>
        </w:tc>
        <w:tc>
          <w:tcPr>
            <w:tcW w:w="0" w:type="dxa"/>
            <w:vAlign w:val="bottom"/>
          </w:tcPr>
          <w:p>
            <w:pPr>
              <w:spacing w:after="0"/>
              <w:rPr>
                <w:sz w:val="1"/>
                <w:szCs w:val="1"/>
                <w:color w:val="auto"/>
              </w:rPr>
            </w:pPr>
          </w:p>
        </w:tc>
      </w:tr>
      <w:tr>
        <w:trPr>
          <w:trHeight w:val="214"/>
        </w:trPr>
        <w:tc>
          <w:tcPr>
            <w:tcW w:w="1700" w:type="dxa"/>
            <w:vAlign w:val="bottom"/>
          </w:tcPr>
          <w:p>
            <w:pPr>
              <w:spacing w:after="0"/>
              <w:rPr>
                <w:sz w:val="20"/>
                <w:szCs w:val="20"/>
                <w:color w:val="auto"/>
              </w:rPr>
            </w:pPr>
            <w:r>
              <w:rPr>
                <w:rFonts w:ascii="Arial" w:cs="Arial" w:eastAsia="Arial" w:hAnsi="Arial"/>
                <w:sz w:val="18"/>
                <w:szCs w:val="18"/>
                <w:color w:val="auto"/>
              </w:rPr>
              <w:t>Net loss</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18,027</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80" w:type="dxa"/>
            <w:vAlign w:val="bottom"/>
            <w:gridSpan w:val="2"/>
          </w:tcPr>
          <w:p>
            <w:pPr>
              <w:jc w:val="right"/>
              <w:ind w:right="11"/>
              <w:spacing w:after="0"/>
              <w:rPr>
                <w:sz w:val="20"/>
                <w:szCs w:val="20"/>
                <w:color w:val="auto"/>
              </w:rPr>
            </w:pPr>
            <w:r>
              <w:rPr>
                <w:rFonts w:ascii="Arial" w:cs="Arial" w:eastAsia="Arial" w:hAnsi="Arial"/>
                <w:sz w:val="18"/>
                <w:szCs w:val="18"/>
                <w:color w:val="auto"/>
              </w:rPr>
              <w:t>18,027</w:t>
            </w:r>
          </w:p>
        </w:tc>
        <w:tc>
          <w:tcPr>
            <w:tcW w:w="0" w:type="dxa"/>
            <w:vAlign w:val="bottom"/>
          </w:tcPr>
          <w:p>
            <w:pPr>
              <w:spacing w:after="0"/>
              <w:rPr>
                <w:sz w:val="1"/>
                <w:szCs w:val="1"/>
                <w:color w:val="auto"/>
              </w:rPr>
            </w:pPr>
          </w:p>
        </w:tc>
      </w:tr>
      <w:tr>
        <w:trPr>
          <w:trHeight w:val="214"/>
        </w:trPr>
        <w:tc>
          <w:tcPr>
            <w:tcW w:w="1700" w:type="dxa"/>
            <w:vAlign w:val="bottom"/>
          </w:tcPr>
          <w:p>
            <w:pPr>
              <w:spacing w:after="0"/>
              <w:rPr>
                <w:sz w:val="20"/>
                <w:szCs w:val="20"/>
                <w:color w:val="auto"/>
              </w:rPr>
            </w:pPr>
            <w:r>
              <w:rPr>
                <w:rFonts w:ascii="Arial" w:cs="Arial" w:eastAsia="Arial" w:hAnsi="Arial"/>
                <w:sz w:val="18"/>
                <w:szCs w:val="18"/>
                <w:color w:val="auto"/>
                <w:w w:val="97"/>
              </w:rPr>
              <w:t>Other comprehensive</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700" w:type="dxa"/>
            <w:vAlign w:val="bottom"/>
          </w:tcPr>
          <w:p>
            <w:pPr>
              <w:spacing w:after="0"/>
              <w:rPr>
                <w:sz w:val="20"/>
                <w:szCs w:val="20"/>
                <w:color w:val="auto"/>
              </w:rPr>
            </w:pPr>
            <w:r>
              <w:rPr>
                <w:rFonts w:ascii="Arial" w:cs="Arial" w:eastAsia="Arial" w:hAnsi="Arial"/>
                <w:sz w:val="18"/>
                <w:szCs w:val="18"/>
                <w:color w:val="auto"/>
              </w:rPr>
              <w:t>loss</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(13,797)</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(13,797)</w:t>
            </w:r>
          </w:p>
        </w:tc>
        <w:tc>
          <w:tcPr>
            <w:tcW w:w="0" w:type="dxa"/>
            <w:vAlign w:val="bottom"/>
          </w:tcPr>
          <w:p>
            <w:pPr>
              <w:spacing w:after="0"/>
              <w:rPr>
                <w:sz w:val="1"/>
                <w:szCs w:val="1"/>
                <w:color w:val="auto"/>
              </w:rPr>
            </w:pPr>
          </w:p>
        </w:tc>
      </w:tr>
      <w:tr>
        <w:trPr>
          <w:trHeight w:val="214"/>
        </w:trPr>
        <w:tc>
          <w:tcPr>
            <w:tcW w:w="1700" w:type="dxa"/>
            <w:vAlign w:val="bottom"/>
          </w:tcPr>
          <w:p>
            <w:pPr>
              <w:spacing w:after="0"/>
              <w:rPr>
                <w:sz w:val="20"/>
                <w:szCs w:val="20"/>
                <w:color w:val="auto"/>
              </w:rPr>
            </w:pPr>
            <w:r>
              <w:rPr>
                <w:rFonts w:ascii="Arial" w:cs="Arial" w:eastAsia="Arial" w:hAnsi="Arial"/>
                <w:sz w:val="18"/>
                <w:szCs w:val="18"/>
                <w:color w:val="auto"/>
                <w:w w:val="94"/>
              </w:rPr>
              <w:t>Common stock issued</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700" w:type="dxa"/>
            <w:vAlign w:val="bottom"/>
          </w:tcPr>
          <w:p>
            <w:pPr>
              <w:spacing w:after="0"/>
              <w:rPr>
                <w:sz w:val="20"/>
                <w:szCs w:val="20"/>
                <w:color w:val="auto"/>
              </w:rPr>
            </w:pPr>
            <w:r>
              <w:rPr>
                <w:rFonts w:ascii="Arial" w:cs="Arial" w:eastAsia="Arial" w:hAnsi="Arial"/>
                <w:sz w:val="18"/>
                <w:szCs w:val="18"/>
                <w:color w:val="auto"/>
              </w:rPr>
              <w:t>to</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700" w:type="dxa"/>
            <w:vAlign w:val="bottom"/>
          </w:tcPr>
          <w:p>
            <w:pPr>
              <w:ind w:left="160"/>
              <w:spacing w:after="0"/>
              <w:rPr>
                <w:sz w:val="20"/>
                <w:szCs w:val="20"/>
                <w:color w:val="auto"/>
              </w:rPr>
            </w:pPr>
            <w:r>
              <w:rPr>
                <w:rFonts w:ascii="Arial" w:cs="Arial" w:eastAsia="Arial" w:hAnsi="Arial"/>
                <w:sz w:val="18"/>
                <w:szCs w:val="18"/>
                <w:color w:val="auto"/>
              </w:rPr>
              <w:t>dividend</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700" w:type="dxa"/>
            <w:vAlign w:val="bottom"/>
          </w:tcPr>
          <w:p>
            <w:pPr>
              <w:ind w:left="160"/>
              <w:spacing w:after="0"/>
              <w:rPr>
                <w:sz w:val="20"/>
                <w:szCs w:val="20"/>
                <w:color w:val="auto"/>
              </w:rPr>
            </w:pPr>
            <w:r>
              <w:rPr>
                <w:rFonts w:ascii="Arial" w:cs="Arial" w:eastAsia="Arial" w:hAnsi="Arial"/>
                <w:sz w:val="18"/>
                <w:szCs w:val="18"/>
                <w:color w:val="auto"/>
              </w:rPr>
              <w:t>reinvestment plan</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700" w:type="dxa"/>
            <w:vAlign w:val="bottom"/>
          </w:tcPr>
          <w:p>
            <w:pPr>
              <w:ind w:left="160"/>
              <w:spacing w:after="0"/>
              <w:rPr>
                <w:sz w:val="20"/>
                <w:szCs w:val="20"/>
                <w:color w:val="auto"/>
              </w:rPr>
            </w:pPr>
            <w:r>
              <w:rPr>
                <w:rFonts w:ascii="Arial" w:cs="Arial" w:eastAsia="Arial" w:hAnsi="Arial"/>
                <w:sz w:val="18"/>
                <w:szCs w:val="18"/>
                <w:color w:val="auto"/>
              </w:rPr>
              <w:t>and employee</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700" w:type="dxa"/>
            <w:vAlign w:val="bottom"/>
          </w:tcPr>
          <w:p>
            <w:pPr>
              <w:ind w:left="160"/>
              <w:spacing w:after="0"/>
              <w:rPr>
                <w:sz w:val="20"/>
                <w:szCs w:val="20"/>
                <w:color w:val="auto"/>
              </w:rPr>
            </w:pPr>
            <w:r>
              <w:rPr>
                <w:rFonts w:ascii="Arial" w:cs="Arial" w:eastAsia="Arial" w:hAnsi="Arial"/>
                <w:sz w:val="18"/>
                <w:szCs w:val="18"/>
                <w:color w:val="auto"/>
              </w:rPr>
              <w:t>benefit plans</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700" w:type="dxa"/>
            <w:vAlign w:val="bottom"/>
          </w:tcPr>
          <w:p>
            <w:pPr>
              <w:ind w:left="160"/>
              <w:spacing w:after="0"/>
              <w:rPr>
                <w:sz w:val="20"/>
                <w:szCs w:val="20"/>
                <w:color w:val="auto"/>
              </w:rPr>
            </w:pPr>
            <w:r>
              <w:rPr>
                <w:rFonts w:ascii="Arial" w:cs="Arial" w:eastAsia="Arial" w:hAnsi="Arial"/>
                <w:sz w:val="18"/>
                <w:szCs w:val="18"/>
                <w:color w:val="auto"/>
              </w:rPr>
              <w:t>(60,982 shares)</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20" w:type="dxa"/>
            <w:vAlign w:val="bottom"/>
            <w:gridSpan w:val="2"/>
          </w:tcPr>
          <w:p>
            <w:pPr>
              <w:jc w:val="right"/>
              <w:ind w:right="11"/>
              <w:spacing w:after="0"/>
              <w:rPr>
                <w:sz w:val="20"/>
                <w:szCs w:val="20"/>
                <w:color w:val="auto"/>
              </w:rPr>
            </w:pPr>
            <w:r>
              <w:rPr>
                <w:rFonts w:ascii="Arial" w:cs="Arial" w:eastAsia="Arial" w:hAnsi="Arial"/>
                <w:sz w:val="18"/>
                <w:szCs w:val="18"/>
                <w:color w:val="auto"/>
              </w:rPr>
              <w:t>440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80" w:type="dxa"/>
            <w:vAlign w:val="bottom"/>
            <w:gridSpan w:val="2"/>
          </w:tcPr>
          <w:p>
            <w:pPr>
              <w:jc w:val="right"/>
              <w:ind w:right="11"/>
              <w:spacing w:after="0"/>
              <w:rPr>
                <w:sz w:val="20"/>
                <w:szCs w:val="20"/>
                <w:color w:val="auto"/>
              </w:rPr>
            </w:pPr>
            <w:r>
              <w:rPr>
                <w:rFonts w:ascii="Arial" w:cs="Arial" w:eastAsia="Arial" w:hAnsi="Arial"/>
                <w:sz w:val="18"/>
                <w:szCs w:val="18"/>
                <w:color w:val="auto"/>
              </w:rPr>
              <w:t>501</w:t>
            </w:r>
          </w:p>
        </w:tc>
        <w:tc>
          <w:tcPr>
            <w:tcW w:w="0" w:type="dxa"/>
            <w:vAlign w:val="bottom"/>
          </w:tcPr>
          <w:p>
            <w:pPr>
              <w:spacing w:after="0"/>
              <w:rPr>
                <w:sz w:val="1"/>
                <w:szCs w:val="1"/>
                <w:color w:val="auto"/>
              </w:rPr>
            </w:pPr>
          </w:p>
        </w:tc>
      </w:tr>
      <w:tr>
        <w:trPr>
          <w:trHeight w:val="214"/>
        </w:trPr>
        <w:tc>
          <w:tcPr>
            <w:tcW w:w="1700" w:type="dxa"/>
            <w:vAlign w:val="bottom"/>
          </w:tcPr>
          <w:p>
            <w:pPr>
              <w:spacing w:after="0"/>
              <w:rPr>
                <w:sz w:val="20"/>
                <w:szCs w:val="20"/>
                <w:color w:val="auto"/>
              </w:rPr>
            </w:pPr>
            <w:r>
              <w:rPr>
                <w:rFonts w:ascii="Arial" w:cs="Arial" w:eastAsia="Arial" w:hAnsi="Arial"/>
                <w:sz w:val="18"/>
                <w:szCs w:val="18"/>
                <w:color w:val="auto"/>
              </w:rPr>
              <w:t>Amortization of stock</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700" w:type="dxa"/>
            <w:vAlign w:val="bottom"/>
          </w:tcPr>
          <w:p>
            <w:pPr>
              <w:spacing w:after="0"/>
              <w:rPr>
                <w:sz w:val="20"/>
                <w:szCs w:val="20"/>
                <w:color w:val="auto"/>
              </w:rPr>
            </w:pPr>
            <w:r>
              <w:rPr>
                <w:rFonts w:ascii="Arial" w:cs="Arial" w:eastAsia="Arial" w:hAnsi="Arial"/>
                <w:sz w:val="18"/>
                <w:szCs w:val="18"/>
                <w:color w:val="auto"/>
              </w:rPr>
              <w:t>options</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700" w:type="dxa"/>
            <w:vAlign w:val="bottom"/>
          </w:tcPr>
          <w:p>
            <w:pPr>
              <w:ind w:left="160"/>
              <w:spacing w:after="0"/>
              <w:rPr>
                <w:sz w:val="20"/>
                <w:szCs w:val="20"/>
                <w:color w:val="auto"/>
              </w:rPr>
            </w:pPr>
            <w:r>
              <w:rPr>
                <w:rFonts w:ascii="Arial" w:cs="Arial" w:eastAsia="Arial" w:hAnsi="Arial"/>
                <w:sz w:val="18"/>
                <w:szCs w:val="18"/>
                <w:color w:val="auto"/>
                <w:w w:val="97"/>
              </w:rPr>
              <w:t>and restricted stock</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700" w:type="dxa"/>
            <w:vAlign w:val="bottom"/>
          </w:tcPr>
          <w:p>
            <w:pPr>
              <w:ind w:left="160"/>
              <w:spacing w:after="0"/>
              <w:rPr>
                <w:sz w:val="20"/>
                <w:szCs w:val="20"/>
                <w:color w:val="auto"/>
              </w:rPr>
            </w:pPr>
            <w:r>
              <w:rPr>
                <w:rFonts w:ascii="Arial" w:cs="Arial" w:eastAsia="Arial" w:hAnsi="Arial"/>
                <w:sz w:val="18"/>
                <w:szCs w:val="18"/>
                <w:color w:val="auto"/>
              </w:rPr>
              <w:t>awards</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20" w:type="dxa"/>
            <w:vAlign w:val="bottom"/>
            <w:gridSpan w:val="2"/>
          </w:tcPr>
          <w:p>
            <w:pPr>
              <w:jc w:val="right"/>
              <w:ind w:right="11"/>
              <w:spacing w:after="0"/>
              <w:rPr>
                <w:sz w:val="20"/>
                <w:szCs w:val="20"/>
                <w:color w:val="auto"/>
              </w:rPr>
            </w:pPr>
            <w:r>
              <w:rPr>
                <w:rFonts w:ascii="Arial" w:cs="Arial" w:eastAsia="Arial" w:hAnsi="Arial"/>
                <w:sz w:val="18"/>
                <w:szCs w:val="18"/>
                <w:color w:val="auto"/>
              </w:rPr>
              <w:t>946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80" w:type="dxa"/>
            <w:vAlign w:val="bottom"/>
            <w:gridSpan w:val="2"/>
          </w:tcPr>
          <w:p>
            <w:pPr>
              <w:jc w:val="right"/>
              <w:ind w:right="11"/>
              <w:spacing w:after="0"/>
              <w:rPr>
                <w:sz w:val="20"/>
                <w:szCs w:val="20"/>
                <w:color w:val="auto"/>
              </w:rPr>
            </w:pPr>
            <w:r>
              <w:rPr>
                <w:rFonts w:ascii="Arial" w:cs="Arial" w:eastAsia="Arial" w:hAnsi="Arial"/>
                <w:sz w:val="18"/>
                <w:szCs w:val="18"/>
                <w:color w:val="auto"/>
              </w:rPr>
              <w:t>946</w:t>
            </w:r>
          </w:p>
        </w:tc>
        <w:tc>
          <w:tcPr>
            <w:tcW w:w="0" w:type="dxa"/>
            <w:vAlign w:val="bottom"/>
          </w:tcPr>
          <w:p>
            <w:pPr>
              <w:spacing w:after="0"/>
              <w:rPr>
                <w:sz w:val="1"/>
                <w:szCs w:val="1"/>
                <w:color w:val="auto"/>
              </w:rPr>
            </w:pPr>
          </w:p>
        </w:tc>
      </w:tr>
      <w:tr>
        <w:trPr>
          <w:trHeight w:val="214"/>
        </w:trPr>
        <w:tc>
          <w:tcPr>
            <w:tcW w:w="1700" w:type="dxa"/>
            <w:vAlign w:val="bottom"/>
          </w:tcPr>
          <w:p>
            <w:pPr>
              <w:spacing w:after="0"/>
              <w:rPr>
                <w:sz w:val="20"/>
                <w:szCs w:val="20"/>
                <w:color w:val="auto"/>
              </w:rPr>
            </w:pPr>
            <w:r>
              <w:rPr>
                <w:rFonts w:ascii="Arial" w:cs="Arial" w:eastAsia="Arial" w:hAnsi="Arial"/>
                <w:sz w:val="18"/>
                <w:szCs w:val="18"/>
                <w:color w:val="auto"/>
              </w:rPr>
              <w:t>Vesting of restricted</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700" w:type="dxa"/>
            <w:vAlign w:val="bottom"/>
          </w:tcPr>
          <w:p>
            <w:pPr>
              <w:spacing w:after="0"/>
              <w:rPr>
                <w:sz w:val="20"/>
                <w:szCs w:val="20"/>
                <w:color w:val="auto"/>
              </w:rPr>
            </w:pPr>
            <w:r>
              <w:rPr>
                <w:rFonts w:ascii="Arial" w:cs="Arial" w:eastAsia="Arial" w:hAnsi="Arial"/>
                <w:sz w:val="18"/>
                <w:szCs w:val="18"/>
                <w:color w:val="auto"/>
              </w:rPr>
              <w:t>stock</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700" w:type="dxa"/>
            <w:vAlign w:val="bottom"/>
          </w:tcPr>
          <w:p>
            <w:pPr>
              <w:ind w:left="160"/>
              <w:spacing w:after="0"/>
              <w:rPr>
                <w:sz w:val="20"/>
                <w:szCs w:val="20"/>
                <w:color w:val="auto"/>
              </w:rPr>
            </w:pPr>
            <w:r>
              <w:rPr>
                <w:rFonts w:ascii="Arial" w:cs="Arial" w:eastAsia="Arial" w:hAnsi="Arial"/>
                <w:sz w:val="18"/>
                <w:szCs w:val="18"/>
                <w:color w:val="auto"/>
              </w:rPr>
              <w:t>(15,790 shares</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700" w:type="dxa"/>
            <w:vAlign w:val="bottom"/>
          </w:tcPr>
          <w:p>
            <w:pPr>
              <w:ind w:left="160"/>
              <w:spacing w:after="0"/>
              <w:rPr>
                <w:sz w:val="20"/>
                <w:szCs w:val="20"/>
                <w:color w:val="auto"/>
              </w:rPr>
            </w:pPr>
            <w:r>
              <w:rPr>
                <w:rFonts w:ascii="Arial" w:cs="Arial" w:eastAsia="Arial" w:hAnsi="Arial"/>
                <w:sz w:val="18"/>
                <w:szCs w:val="18"/>
                <w:color w:val="auto"/>
              </w:rPr>
              <w:t>issued,</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700" w:type="dxa"/>
            <w:vAlign w:val="bottom"/>
          </w:tcPr>
          <w:p>
            <w:pPr>
              <w:ind w:left="160"/>
              <w:spacing w:after="0"/>
              <w:rPr>
                <w:sz w:val="20"/>
                <w:szCs w:val="20"/>
                <w:color w:val="auto"/>
              </w:rPr>
            </w:pPr>
            <w:r>
              <w:rPr>
                <w:rFonts w:ascii="Arial" w:cs="Arial" w:eastAsia="Arial" w:hAnsi="Arial"/>
                <w:sz w:val="18"/>
                <w:szCs w:val="18"/>
                <w:color w:val="auto"/>
              </w:rPr>
              <w:t>8,399 shares</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700" w:type="dxa"/>
            <w:vAlign w:val="bottom"/>
          </w:tcPr>
          <w:p>
            <w:pPr>
              <w:ind w:left="160"/>
              <w:spacing w:after="0"/>
              <w:rPr>
                <w:sz w:val="20"/>
                <w:szCs w:val="20"/>
                <w:color w:val="auto"/>
              </w:rPr>
            </w:pPr>
            <w:r>
              <w:rPr>
                <w:rFonts w:ascii="Arial" w:cs="Arial" w:eastAsia="Arial" w:hAnsi="Arial"/>
                <w:sz w:val="18"/>
                <w:szCs w:val="18"/>
                <w:color w:val="auto"/>
              </w:rPr>
              <w:t>deferred)</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(151)</w:t>
            </w:r>
          </w:p>
        </w:tc>
        <w:tc>
          <w:tcPr>
            <w:tcW w:w="1020" w:type="dxa"/>
            <w:vAlign w:val="bottom"/>
            <w:gridSpan w:val="2"/>
          </w:tcPr>
          <w:p>
            <w:pPr>
              <w:jc w:val="right"/>
              <w:ind w:right="11"/>
              <w:spacing w:after="0"/>
              <w:rPr>
                <w:sz w:val="20"/>
                <w:szCs w:val="20"/>
                <w:color w:val="auto"/>
              </w:rPr>
            </w:pPr>
            <w:r>
              <w:rPr>
                <w:rFonts w:ascii="Arial" w:cs="Arial" w:eastAsia="Arial" w:hAnsi="Arial"/>
                <w:sz w:val="18"/>
                <w:szCs w:val="18"/>
                <w:color w:val="auto"/>
              </w:rPr>
              <w:t>206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80" w:type="dxa"/>
            <w:vAlign w:val="bottom"/>
            <w:gridSpan w:val="2"/>
          </w:tcPr>
          <w:p>
            <w:pPr>
              <w:jc w:val="right"/>
              <w:ind w:right="11"/>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14"/>
        </w:trPr>
        <w:tc>
          <w:tcPr>
            <w:tcW w:w="1700" w:type="dxa"/>
            <w:vAlign w:val="bottom"/>
          </w:tcPr>
          <w:p>
            <w:pPr>
              <w:spacing w:after="0"/>
              <w:rPr>
                <w:sz w:val="20"/>
                <w:szCs w:val="20"/>
                <w:color w:val="auto"/>
              </w:rPr>
            </w:pPr>
            <w:r>
              <w:rPr>
                <w:rFonts w:ascii="Arial" w:cs="Arial" w:eastAsia="Arial" w:hAnsi="Arial"/>
                <w:sz w:val="18"/>
                <w:szCs w:val="18"/>
                <w:color w:val="auto"/>
                <w:w w:val="89"/>
              </w:rPr>
              <w:t>Deferred compensation</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700" w:type="dxa"/>
            <w:vAlign w:val="bottom"/>
          </w:tcPr>
          <w:p>
            <w:pPr>
              <w:spacing w:after="0"/>
              <w:rPr>
                <w:sz w:val="20"/>
                <w:szCs w:val="20"/>
                <w:color w:val="auto"/>
              </w:rPr>
            </w:pPr>
            <w:r>
              <w:rPr>
                <w:rFonts w:ascii="Arial" w:cs="Arial" w:eastAsia="Arial" w:hAnsi="Arial"/>
                <w:sz w:val="18"/>
                <w:szCs w:val="18"/>
                <w:color w:val="auto"/>
              </w:rPr>
              <w:t>plan,</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700" w:type="dxa"/>
            <w:vAlign w:val="bottom"/>
          </w:tcPr>
          <w:p>
            <w:pPr>
              <w:ind w:left="160"/>
              <w:spacing w:after="0"/>
              <w:rPr>
                <w:sz w:val="20"/>
                <w:szCs w:val="20"/>
                <w:color w:val="auto"/>
              </w:rPr>
            </w:pPr>
            <w:r>
              <w:rPr>
                <w:rFonts w:ascii="Arial" w:cs="Arial" w:eastAsia="Arial" w:hAnsi="Arial"/>
                <w:sz w:val="18"/>
                <w:szCs w:val="18"/>
                <w:color w:val="auto"/>
              </w:rPr>
              <w:t>net, including</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700" w:type="dxa"/>
            <w:vAlign w:val="bottom"/>
          </w:tcPr>
          <w:p>
            <w:pPr>
              <w:ind w:left="160"/>
              <w:spacing w:after="0"/>
              <w:rPr>
                <w:sz w:val="20"/>
                <w:szCs w:val="20"/>
                <w:color w:val="auto"/>
              </w:rPr>
            </w:pPr>
            <w:r>
              <w:rPr>
                <w:rFonts w:ascii="Arial" w:cs="Arial" w:eastAsia="Arial" w:hAnsi="Arial"/>
                <w:sz w:val="18"/>
                <w:szCs w:val="18"/>
                <w:color w:val="auto"/>
              </w:rPr>
              <w:t>dividend</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700" w:type="dxa"/>
            <w:vAlign w:val="bottom"/>
          </w:tcPr>
          <w:p>
            <w:pPr>
              <w:ind w:left="160"/>
              <w:spacing w:after="0"/>
              <w:rPr>
                <w:sz w:val="20"/>
                <w:szCs w:val="20"/>
                <w:color w:val="auto"/>
              </w:rPr>
            </w:pPr>
            <w:r>
              <w:rPr>
                <w:rFonts w:ascii="Arial" w:cs="Arial" w:eastAsia="Arial" w:hAnsi="Arial"/>
                <w:sz w:val="18"/>
                <w:szCs w:val="18"/>
                <w:color w:val="auto"/>
              </w:rPr>
              <w:t>equivalents</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ind w:right="11"/>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80" w:type="dxa"/>
            <w:vAlign w:val="bottom"/>
            <w:gridSpan w:val="2"/>
          </w:tcPr>
          <w:p>
            <w:pPr>
              <w:jc w:val="right"/>
              <w:ind w:right="11"/>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14"/>
        </w:trPr>
        <w:tc>
          <w:tcPr>
            <w:tcW w:w="1700" w:type="dxa"/>
            <w:vAlign w:val="bottom"/>
          </w:tcPr>
          <w:p>
            <w:pPr>
              <w:spacing w:after="0"/>
              <w:rPr>
                <w:sz w:val="20"/>
                <w:szCs w:val="20"/>
                <w:color w:val="auto"/>
              </w:rPr>
            </w:pPr>
            <w:r>
              <w:rPr>
                <w:rFonts w:ascii="Arial" w:cs="Arial" w:eastAsia="Arial" w:hAnsi="Arial"/>
                <w:sz w:val="18"/>
                <w:szCs w:val="18"/>
                <w:color w:val="auto"/>
              </w:rPr>
              <w:t>Shares issued from</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700" w:type="dxa"/>
            <w:vAlign w:val="bottom"/>
          </w:tcPr>
          <w:p>
            <w:pPr>
              <w:spacing w:after="0"/>
              <w:rPr>
                <w:sz w:val="20"/>
                <w:szCs w:val="20"/>
                <w:color w:val="auto"/>
              </w:rPr>
            </w:pPr>
            <w:r>
              <w:rPr>
                <w:rFonts w:ascii="Arial" w:cs="Arial" w:eastAsia="Arial" w:hAnsi="Arial"/>
                <w:sz w:val="18"/>
                <w:szCs w:val="18"/>
                <w:color w:val="auto"/>
              </w:rPr>
              <w:t>deferred</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700" w:type="dxa"/>
            <w:vAlign w:val="bottom"/>
          </w:tcPr>
          <w:p>
            <w:pPr>
              <w:ind w:left="160"/>
              <w:spacing w:after="0"/>
              <w:rPr>
                <w:sz w:val="20"/>
                <w:szCs w:val="20"/>
                <w:color w:val="auto"/>
              </w:rPr>
            </w:pPr>
            <w:r>
              <w:rPr>
                <w:rFonts w:ascii="Arial" w:cs="Arial" w:eastAsia="Arial" w:hAnsi="Arial"/>
                <w:sz w:val="18"/>
                <w:szCs w:val="18"/>
                <w:color w:val="auto"/>
              </w:rPr>
              <w:t>compensation plan</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700" w:type="dxa"/>
            <w:vAlign w:val="bottom"/>
          </w:tcPr>
          <w:p>
            <w:pPr>
              <w:ind w:left="160"/>
              <w:spacing w:after="0"/>
              <w:rPr>
                <w:sz w:val="20"/>
                <w:szCs w:val="20"/>
                <w:color w:val="auto"/>
              </w:rPr>
            </w:pPr>
            <w:r>
              <w:rPr>
                <w:rFonts w:ascii="Arial" w:cs="Arial" w:eastAsia="Arial" w:hAnsi="Arial"/>
                <w:sz w:val="18"/>
                <w:szCs w:val="18"/>
                <w:color w:val="auto"/>
              </w:rPr>
              <w:t>(2,637 shares)</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(290)</w:t>
            </w:r>
          </w:p>
        </w:tc>
        <w:tc>
          <w:tcPr>
            <w:tcW w:w="1020" w:type="dxa"/>
            <w:vAlign w:val="bottom"/>
            <w:gridSpan w:val="2"/>
          </w:tcPr>
          <w:p>
            <w:pPr>
              <w:jc w:val="right"/>
              <w:ind w:right="11"/>
              <w:spacing w:after="0"/>
              <w:rPr>
                <w:sz w:val="20"/>
                <w:szCs w:val="20"/>
                <w:color w:val="auto"/>
              </w:rPr>
            </w:pPr>
            <w:r>
              <w:rPr>
                <w:rFonts w:ascii="Arial" w:cs="Arial" w:eastAsia="Arial" w:hAnsi="Arial"/>
                <w:sz w:val="18"/>
                <w:szCs w:val="18"/>
                <w:color w:val="auto"/>
              </w:rPr>
              <w:t>287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80" w:type="dxa"/>
            <w:vAlign w:val="bottom"/>
            <w:gridSpan w:val="2"/>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4"/>
        </w:trPr>
        <w:tc>
          <w:tcPr>
            <w:tcW w:w="1700" w:type="dxa"/>
            <w:vAlign w:val="bottom"/>
          </w:tcPr>
          <w:p>
            <w:pPr>
              <w:spacing w:after="0"/>
              <w:rPr>
                <w:sz w:val="20"/>
                <w:szCs w:val="20"/>
                <w:color w:val="auto"/>
              </w:rPr>
            </w:pPr>
            <w:r>
              <w:rPr>
                <w:rFonts w:ascii="Arial" w:cs="Arial" w:eastAsia="Arial" w:hAnsi="Arial"/>
                <w:sz w:val="18"/>
                <w:szCs w:val="18"/>
                <w:color w:val="auto"/>
              </w:rPr>
              <w:t>Preferred stock</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700" w:type="dxa"/>
            <w:vAlign w:val="bottom"/>
          </w:tcPr>
          <w:p>
            <w:pPr>
              <w:spacing w:after="0"/>
              <w:rPr>
                <w:sz w:val="20"/>
                <w:szCs w:val="20"/>
                <w:color w:val="auto"/>
              </w:rPr>
            </w:pPr>
            <w:r>
              <w:rPr>
                <w:rFonts w:ascii="Arial" w:cs="Arial" w:eastAsia="Arial" w:hAnsi="Arial"/>
                <w:sz w:val="18"/>
                <w:szCs w:val="18"/>
                <w:color w:val="auto"/>
              </w:rPr>
              <w:t>dividends:</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700" w:type="dxa"/>
            <w:vAlign w:val="bottom"/>
          </w:tcPr>
          <w:p>
            <w:pPr>
              <w:ind w:left="160"/>
              <w:spacing w:after="0"/>
              <w:rPr>
                <w:sz w:val="20"/>
                <w:szCs w:val="20"/>
                <w:color w:val="auto"/>
              </w:rPr>
            </w:pPr>
            <w:r>
              <w:rPr>
                <w:rFonts w:ascii="Arial" w:cs="Arial" w:eastAsia="Arial" w:hAnsi="Arial"/>
                <w:sz w:val="18"/>
                <w:szCs w:val="18"/>
                <w:color w:val="auto"/>
              </w:rPr>
              <w:t>Series A</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4"/>
        </w:trPr>
        <w:tc>
          <w:tcPr>
            <w:tcW w:w="1700" w:type="dxa"/>
            <w:vAlign w:val="bottom"/>
          </w:tcPr>
          <w:p>
            <w:pPr>
              <w:ind w:left="160"/>
              <w:spacing w:after="0"/>
              <w:rPr>
                <w:sz w:val="20"/>
                <w:szCs w:val="20"/>
                <w:color w:val="auto"/>
              </w:rPr>
            </w:pPr>
            <w:r>
              <w:rPr>
                <w:rFonts w:ascii="Arial" w:cs="Arial" w:eastAsia="Arial" w:hAnsi="Arial"/>
                <w:sz w:val="18"/>
                <w:szCs w:val="18"/>
                <w:color w:val="auto"/>
              </w:rPr>
              <w:t>Series B</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722</w:t>
            </w: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(5,222)</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(4,500)</w:t>
            </w:r>
          </w:p>
        </w:tc>
        <w:tc>
          <w:tcPr>
            <w:tcW w:w="0" w:type="dxa"/>
            <w:vAlign w:val="bottom"/>
          </w:tcPr>
          <w:p>
            <w:pPr>
              <w:spacing w:after="0"/>
              <w:rPr>
                <w:sz w:val="1"/>
                <w:szCs w:val="1"/>
                <w:color w:val="auto"/>
              </w:rPr>
            </w:pPr>
          </w:p>
        </w:tc>
      </w:tr>
      <w:tr>
        <w:trPr>
          <w:trHeight w:val="235"/>
        </w:trPr>
        <w:tc>
          <w:tcPr>
            <w:tcW w:w="1700" w:type="dxa"/>
            <w:vAlign w:val="bottom"/>
          </w:tcPr>
          <w:p>
            <w:pPr>
              <w:ind w:left="160"/>
              <w:spacing w:after="0"/>
              <w:rPr>
                <w:sz w:val="20"/>
                <w:szCs w:val="20"/>
                <w:color w:val="auto"/>
              </w:rPr>
            </w:pPr>
            <w:r>
              <w:rPr>
                <w:rFonts w:ascii="Arial" w:cs="Arial" w:eastAsia="Arial" w:hAnsi="Arial"/>
                <w:sz w:val="18"/>
                <w:szCs w:val="18"/>
                <w:color w:val="auto"/>
              </w:rPr>
              <w:t>Series D</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(834)</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(834)</w:t>
            </w:r>
          </w:p>
        </w:tc>
        <w:tc>
          <w:tcPr>
            <w:tcW w:w="0" w:type="dxa"/>
            <w:vAlign w:val="bottom"/>
          </w:tcPr>
          <w:p>
            <w:pPr>
              <w:spacing w:after="0"/>
              <w:rPr>
                <w:sz w:val="1"/>
                <w:szCs w:val="1"/>
                <w:color w:val="auto"/>
              </w:rPr>
            </w:pPr>
          </w:p>
        </w:tc>
      </w:tr>
      <w:tr>
        <w:trPr>
          <w:trHeight w:val="196"/>
        </w:trPr>
        <w:tc>
          <w:tcPr>
            <w:tcW w:w="1700" w:type="dxa"/>
            <w:vAlign w:val="bottom"/>
          </w:tcPr>
          <w:p>
            <w:pPr>
              <w:spacing w:after="0" w:line="196" w:lineRule="exact"/>
              <w:rPr>
                <w:sz w:val="20"/>
                <w:szCs w:val="20"/>
                <w:color w:val="auto"/>
              </w:rPr>
            </w:pPr>
            <w:r>
              <w:rPr>
                <w:rFonts w:ascii="Arial" w:cs="Arial" w:eastAsia="Arial" w:hAnsi="Arial"/>
                <w:sz w:val="18"/>
                <w:szCs w:val="18"/>
                <w:b w:val="1"/>
                <w:bCs w:val="1"/>
                <w:color w:val="auto"/>
              </w:rPr>
              <w:t>Balance, June 30,</w:t>
            </w:r>
          </w:p>
        </w:tc>
        <w:tc>
          <w:tcPr>
            <w:tcW w:w="8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1"/>
        </w:trPr>
        <w:tc>
          <w:tcPr>
            <w:tcW w:w="1700" w:type="dxa"/>
            <w:vAlign w:val="bottom"/>
          </w:tcPr>
          <w:p>
            <w:pPr>
              <w:spacing w:after="0"/>
              <w:rPr>
                <w:sz w:val="20"/>
                <w:szCs w:val="20"/>
                <w:color w:val="auto"/>
              </w:rPr>
            </w:pPr>
            <w:r>
              <w:rPr>
                <w:rFonts w:ascii="Arial" w:cs="Arial" w:eastAsia="Arial" w:hAnsi="Arial"/>
                <w:sz w:val="18"/>
                <w:szCs w:val="18"/>
                <w:b w:val="1"/>
                <w:bCs w:val="1"/>
                <w:color w:val="auto"/>
              </w:rPr>
              <w:t>2012</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217</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w w:val="94"/>
              </w:rPr>
              <w:t>$ 177,814</w:t>
            </w:r>
          </w:p>
        </w:tc>
        <w:tc>
          <w:tcPr>
            <w:tcW w:w="820" w:type="dxa"/>
            <w:vAlign w:val="bottom"/>
            <w:gridSpan w:val="3"/>
          </w:tcPr>
          <w:p>
            <w:pPr>
              <w:jc w:val="center"/>
              <w:ind w:right="20"/>
              <w:spacing w:after="0"/>
              <w:rPr>
                <w:sz w:val="20"/>
                <w:szCs w:val="20"/>
                <w:color w:val="auto"/>
              </w:rPr>
            </w:pPr>
            <w:r>
              <w:rPr>
                <w:rFonts w:ascii="Arial" w:cs="Arial" w:eastAsia="Arial" w:hAnsi="Arial"/>
                <w:sz w:val="18"/>
                <w:szCs w:val="18"/>
                <w:color w:val="auto"/>
                <w:w w:val="91"/>
              </w:rPr>
              <w:t>$ 16,613</w:t>
            </w:r>
          </w:p>
        </w:tc>
        <w:tc>
          <w:tcPr>
            <w:tcW w:w="200" w:type="dxa"/>
            <w:vAlign w:val="bottom"/>
            <w:gridSpan w:val="2"/>
          </w:tcPr>
          <w:p>
            <w:pPr>
              <w:ind w:left="100"/>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41,727</w:t>
            </w:r>
          </w:p>
        </w:tc>
        <w:tc>
          <w:tcPr>
            <w:tcW w:w="180" w:type="dxa"/>
            <w:vAlign w:val="bottom"/>
            <w:gridSpan w:val="2"/>
          </w:tcPr>
          <w:p>
            <w:pPr>
              <w:ind w:left="100"/>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15,914</w:t>
            </w:r>
          </w:p>
        </w:tc>
        <w:tc>
          <w:tcPr>
            <w:tcW w:w="200" w:type="dxa"/>
            <w:vAlign w:val="bottom"/>
            <w:gridSpan w:val="2"/>
          </w:tcPr>
          <w:p>
            <w:pPr>
              <w:ind w:left="80"/>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ind w:right="11"/>
              <w:spacing w:after="0"/>
              <w:rPr>
                <w:sz w:val="20"/>
                <w:szCs w:val="20"/>
                <w:color w:val="auto"/>
              </w:rPr>
            </w:pPr>
            <w:r>
              <w:rPr>
                <w:rFonts w:ascii="Arial" w:cs="Arial" w:eastAsia="Arial" w:hAnsi="Arial"/>
                <w:sz w:val="18"/>
                <w:szCs w:val="18"/>
                <w:color w:val="auto"/>
              </w:rPr>
              <w:t>2,893</w:t>
            </w:r>
          </w:p>
        </w:tc>
        <w:tc>
          <w:tcPr>
            <w:tcW w:w="1020" w:type="dxa"/>
            <w:vAlign w:val="bottom"/>
            <w:gridSpan w:val="2"/>
          </w:tcPr>
          <w:p>
            <w:pPr>
              <w:jc w:val="right"/>
              <w:ind w:right="11"/>
              <w:spacing w:after="0"/>
              <w:rPr>
                <w:sz w:val="20"/>
                <w:szCs w:val="20"/>
                <w:color w:val="auto"/>
              </w:rPr>
            </w:pPr>
            <w:r>
              <w:rPr>
                <w:rFonts w:ascii="Arial" w:cs="Arial" w:eastAsia="Arial" w:hAnsi="Arial"/>
                <w:sz w:val="18"/>
                <w:szCs w:val="18"/>
                <w:color w:val="auto"/>
                <w:w w:val="94"/>
              </w:rPr>
              <w:t>$ 1,056,819</w:t>
            </w:r>
          </w:p>
        </w:tc>
        <w:tc>
          <w:tcPr>
            <w:tcW w:w="26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(718,896)</w:t>
            </w:r>
          </w:p>
        </w:tc>
        <w:tc>
          <w:tcPr>
            <w:tcW w:w="30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(17,106)</w:t>
            </w:r>
          </w:p>
        </w:tc>
        <w:tc>
          <w:tcPr>
            <w:tcW w:w="880" w:type="dxa"/>
            <w:vAlign w:val="bottom"/>
            <w:gridSpan w:val="2"/>
          </w:tcPr>
          <w:p>
            <w:pPr>
              <w:jc w:val="right"/>
              <w:ind w:right="11"/>
              <w:spacing w:after="0"/>
              <w:rPr>
                <w:sz w:val="20"/>
                <w:szCs w:val="20"/>
                <w:color w:val="auto"/>
              </w:rPr>
            </w:pPr>
            <w:r>
              <w:rPr>
                <w:rFonts w:ascii="Arial" w:cs="Arial" w:eastAsia="Arial" w:hAnsi="Arial"/>
                <w:sz w:val="18"/>
                <w:szCs w:val="18"/>
                <w:color w:val="auto"/>
                <w:w w:val="94"/>
              </w:rPr>
              <w:t>$ 575,995</w:t>
            </w:r>
          </w:p>
        </w:tc>
        <w:tc>
          <w:tcPr>
            <w:tcW w:w="0" w:type="dxa"/>
            <w:vAlign w:val="bottom"/>
          </w:tcPr>
          <w:p>
            <w:pPr>
              <w:spacing w:after="0"/>
              <w:rPr>
                <w:sz w:val="1"/>
                <w:szCs w:val="1"/>
                <w:color w:val="auto"/>
              </w:rPr>
            </w:pPr>
          </w:p>
        </w:tc>
      </w:tr>
      <w:tr>
        <w:trPr>
          <w:trHeight w:val="22"/>
        </w:trPr>
        <w:tc>
          <w:tcPr>
            <w:tcW w:w="1700" w:type="dxa"/>
            <w:vAlign w:val="bottom"/>
            <w:vMerge w:val="restart"/>
          </w:tcPr>
          <w:p>
            <w:pPr>
              <w:spacing w:after="0"/>
              <w:rPr>
                <w:sz w:val="20"/>
                <w:szCs w:val="20"/>
                <w:color w:val="auto"/>
              </w:rPr>
            </w:pPr>
            <w:r>
              <w:rPr>
                <w:rFonts w:ascii="Arial" w:cs="Arial" w:eastAsia="Arial" w:hAnsi="Arial"/>
                <w:sz w:val="18"/>
                <w:szCs w:val="18"/>
                <w:b w:val="1"/>
                <w:bCs w:val="1"/>
                <w:color w:val="auto"/>
              </w:rPr>
              <w:t>Balance, December</w:t>
            </w: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04"/>
        </w:trPr>
        <w:tc>
          <w:tcPr>
            <w:tcW w:w="170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1700" w:type="dxa"/>
            <w:vAlign w:val="bottom"/>
          </w:tcPr>
          <w:p>
            <w:pPr>
              <w:spacing w:after="0"/>
              <w:rPr>
                <w:sz w:val="20"/>
                <w:szCs w:val="20"/>
                <w:color w:val="auto"/>
              </w:rPr>
            </w:pPr>
            <w:r>
              <w:rPr>
                <w:rFonts w:ascii="Arial" w:cs="Arial" w:eastAsia="Arial" w:hAnsi="Arial"/>
                <w:sz w:val="18"/>
                <w:szCs w:val="18"/>
                <w:b w:val="1"/>
                <w:bCs w:val="1"/>
                <w:color w:val="auto"/>
              </w:rPr>
              <w:t>31, 2012</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217</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w w:val="94"/>
              </w:rPr>
              <w:t>$ 178,557</w:t>
            </w:r>
          </w:p>
        </w:tc>
        <w:tc>
          <w:tcPr>
            <w:tcW w:w="820" w:type="dxa"/>
            <w:vAlign w:val="bottom"/>
            <w:gridSpan w:val="3"/>
          </w:tcPr>
          <w:p>
            <w:pPr>
              <w:jc w:val="center"/>
              <w:ind w:right="20"/>
              <w:spacing w:after="0"/>
              <w:rPr>
                <w:sz w:val="20"/>
                <w:szCs w:val="20"/>
                <w:color w:val="auto"/>
              </w:rPr>
            </w:pPr>
            <w:r>
              <w:rPr>
                <w:rFonts w:ascii="Arial" w:cs="Arial" w:eastAsia="Arial" w:hAnsi="Arial"/>
                <w:sz w:val="18"/>
                <w:szCs w:val="18"/>
                <w:color w:val="auto"/>
                <w:w w:val="91"/>
              </w:rPr>
              <w:t>$ 16,613</w:t>
            </w:r>
          </w:p>
        </w:tc>
        <w:tc>
          <w:tcPr>
            <w:tcW w:w="200" w:type="dxa"/>
            <w:vAlign w:val="bottom"/>
            <w:gridSpan w:val="2"/>
          </w:tcPr>
          <w:p>
            <w:pPr>
              <w:ind w:left="100"/>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42,424</w:t>
            </w:r>
          </w:p>
        </w:tc>
        <w:tc>
          <w:tcPr>
            <w:tcW w:w="180" w:type="dxa"/>
            <w:vAlign w:val="bottom"/>
            <w:gridSpan w:val="2"/>
          </w:tcPr>
          <w:p>
            <w:pPr>
              <w:ind w:left="100"/>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15,317</w:t>
            </w:r>
          </w:p>
        </w:tc>
        <w:tc>
          <w:tcPr>
            <w:tcW w:w="200" w:type="dxa"/>
            <w:vAlign w:val="bottom"/>
            <w:gridSpan w:val="2"/>
          </w:tcPr>
          <w:p>
            <w:pPr>
              <w:ind w:left="80"/>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ind w:right="11"/>
              <w:spacing w:after="0"/>
              <w:rPr>
                <w:sz w:val="20"/>
                <w:szCs w:val="20"/>
                <w:color w:val="auto"/>
              </w:rPr>
            </w:pPr>
            <w:r>
              <w:rPr>
                <w:rFonts w:ascii="Arial" w:cs="Arial" w:eastAsia="Arial" w:hAnsi="Arial"/>
                <w:sz w:val="18"/>
                <w:szCs w:val="18"/>
                <w:color w:val="auto"/>
              </w:rPr>
              <w:t>3,119</w:t>
            </w:r>
          </w:p>
        </w:tc>
        <w:tc>
          <w:tcPr>
            <w:tcW w:w="1020" w:type="dxa"/>
            <w:vAlign w:val="bottom"/>
            <w:gridSpan w:val="2"/>
          </w:tcPr>
          <w:p>
            <w:pPr>
              <w:jc w:val="right"/>
              <w:ind w:right="11"/>
              <w:spacing w:after="0"/>
              <w:rPr>
                <w:sz w:val="20"/>
                <w:szCs w:val="20"/>
                <w:color w:val="auto"/>
              </w:rPr>
            </w:pPr>
            <w:r>
              <w:rPr>
                <w:rFonts w:ascii="Arial" w:cs="Arial" w:eastAsia="Arial" w:hAnsi="Arial"/>
                <w:sz w:val="18"/>
                <w:szCs w:val="18"/>
                <w:color w:val="auto"/>
                <w:w w:val="94"/>
              </w:rPr>
              <w:t>$ 1,057,951</w:t>
            </w:r>
          </w:p>
        </w:tc>
        <w:tc>
          <w:tcPr>
            <w:tcW w:w="26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(709,153)</w:t>
            </w:r>
          </w:p>
        </w:tc>
        <w:tc>
          <w:tcPr>
            <w:tcW w:w="30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(23,640)</w:t>
            </w:r>
          </w:p>
        </w:tc>
        <w:tc>
          <w:tcPr>
            <w:tcW w:w="880" w:type="dxa"/>
            <w:vAlign w:val="bottom"/>
            <w:gridSpan w:val="2"/>
          </w:tcPr>
          <w:p>
            <w:pPr>
              <w:jc w:val="right"/>
              <w:ind w:right="11"/>
              <w:spacing w:after="0"/>
              <w:rPr>
                <w:sz w:val="20"/>
                <w:szCs w:val="20"/>
                <w:color w:val="auto"/>
              </w:rPr>
            </w:pPr>
            <w:r>
              <w:rPr>
                <w:rFonts w:ascii="Arial" w:cs="Arial" w:eastAsia="Arial" w:hAnsi="Arial"/>
                <w:sz w:val="18"/>
                <w:szCs w:val="18"/>
                <w:color w:val="auto"/>
                <w:w w:val="94"/>
              </w:rPr>
              <w:t>$ 581,405</w:t>
            </w:r>
          </w:p>
        </w:tc>
        <w:tc>
          <w:tcPr>
            <w:tcW w:w="0" w:type="dxa"/>
            <w:vAlign w:val="bottom"/>
          </w:tcPr>
          <w:p>
            <w:pPr>
              <w:spacing w:after="0"/>
              <w:rPr>
                <w:sz w:val="1"/>
                <w:szCs w:val="1"/>
                <w:color w:val="auto"/>
              </w:rPr>
            </w:pPr>
          </w:p>
        </w:tc>
      </w:tr>
      <w:tr>
        <w:trPr>
          <w:trHeight w:val="214"/>
        </w:trPr>
        <w:tc>
          <w:tcPr>
            <w:tcW w:w="1700" w:type="dxa"/>
            <w:vAlign w:val="bottom"/>
          </w:tcPr>
          <w:p>
            <w:pPr>
              <w:spacing w:after="0"/>
              <w:rPr>
                <w:sz w:val="20"/>
                <w:szCs w:val="20"/>
                <w:color w:val="auto"/>
              </w:rPr>
            </w:pPr>
            <w:r>
              <w:rPr>
                <w:rFonts w:ascii="Arial" w:cs="Arial" w:eastAsia="Arial" w:hAnsi="Arial"/>
                <w:sz w:val="18"/>
                <w:szCs w:val="18"/>
                <w:color w:val="auto"/>
              </w:rPr>
              <w:t>Net income</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241,729</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80" w:type="dxa"/>
            <w:vAlign w:val="bottom"/>
            <w:gridSpan w:val="2"/>
          </w:tcPr>
          <w:p>
            <w:pPr>
              <w:jc w:val="right"/>
              <w:ind w:right="11"/>
              <w:spacing w:after="0"/>
              <w:rPr>
                <w:sz w:val="20"/>
                <w:szCs w:val="20"/>
                <w:color w:val="auto"/>
              </w:rPr>
            </w:pPr>
            <w:r>
              <w:rPr>
                <w:rFonts w:ascii="Arial" w:cs="Arial" w:eastAsia="Arial" w:hAnsi="Arial"/>
                <w:sz w:val="18"/>
                <w:szCs w:val="18"/>
                <w:color w:val="auto"/>
              </w:rPr>
              <w:t>241,729</w:t>
            </w:r>
          </w:p>
        </w:tc>
        <w:tc>
          <w:tcPr>
            <w:tcW w:w="0" w:type="dxa"/>
            <w:vAlign w:val="bottom"/>
          </w:tcPr>
          <w:p>
            <w:pPr>
              <w:spacing w:after="0"/>
              <w:rPr>
                <w:sz w:val="1"/>
                <w:szCs w:val="1"/>
                <w:color w:val="auto"/>
              </w:rPr>
            </w:pPr>
          </w:p>
        </w:tc>
      </w:tr>
      <w:tr>
        <w:trPr>
          <w:trHeight w:val="214"/>
        </w:trPr>
        <w:tc>
          <w:tcPr>
            <w:tcW w:w="1700" w:type="dxa"/>
            <w:vAlign w:val="bottom"/>
          </w:tcPr>
          <w:p>
            <w:pPr>
              <w:spacing w:after="0"/>
              <w:rPr>
                <w:sz w:val="20"/>
                <w:szCs w:val="20"/>
                <w:color w:val="auto"/>
              </w:rPr>
            </w:pPr>
            <w:r>
              <w:rPr>
                <w:rFonts w:ascii="Arial" w:cs="Arial" w:eastAsia="Arial" w:hAnsi="Arial"/>
                <w:sz w:val="18"/>
                <w:szCs w:val="18"/>
                <w:color w:val="auto"/>
                <w:w w:val="97"/>
              </w:rPr>
              <w:t>Other comprehensive</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700" w:type="dxa"/>
            <w:vAlign w:val="bottom"/>
          </w:tcPr>
          <w:p>
            <w:pPr>
              <w:spacing w:after="0"/>
              <w:rPr>
                <w:sz w:val="20"/>
                <w:szCs w:val="20"/>
                <w:color w:val="auto"/>
              </w:rPr>
            </w:pPr>
            <w:r>
              <w:rPr>
                <w:rFonts w:ascii="Arial" w:cs="Arial" w:eastAsia="Arial" w:hAnsi="Arial"/>
                <w:sz w:val="18"/>
                <w:szCs w:val="18"/>
                <w:color w:val="auto"/>
              </w:rPr>
              <w:t>income</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9,854</w:t>
            </w:r>
          </w:p>
        </w:tc>
        <w:tc>
          <w:tcPr>
            <w:tcW w:w="880" w:type="dxa"/>
            <w:vAlign w:val="bottom"/>
            <w:gridSpan w:val="2"/>
          </w:tcPr>
          <w:p>
            <w:pPr>
              <w:jc w:val="right"/>
              <w:ind w:right="11"/>
              <w:spacing w:after="0"/>
              <w:rPr>
                <w:sz w:val="20"/>
                <w:szCs w:val="20"/>
                <w:color w:val="auto"/>
              </w:rPr>
            </w:pPr>
            <w:r>
              <w:rPr>
                <w:rFonts w:ascii="Arial" w:cs="Arial" w:eastAsia="Arial" w:hAnsi="Arial"/>
                <w:sz w:val="18"/>
                <w:szCs w:val="18"/>
                <w:color w:val="auto"/>
              </w:rPr>
              <w:t>9,854</w:t>
            </w:r>
          </w:p>
        </w:tc>
        <w:tc>
          <w:tcPr>
            <w:tcW w:w="0" w:type="dxa"/>
            <w:vAlign w:val="bottom"/>
          </w:tcPr>
          <w:p>
            <w:pPr>
              <w:spacing w:after="0"/>
              <w:rPr>
                <w:sz w:val="1"/>
                <w:szCs w:val="1"/>
                <w:color w:val="auto"/>
              </w:rPr>
            </w:pPr>
          </w:p>
        </w:tc>
      </w:tr>
      <w:tr>
        <w:trPr>
          <w:trHeight w:val="214"/>
        </w:trPr>
        <w:tc>
          <w:tcPr>
            <w:tcW w:w="1700" w:type="dxa"/>
            <w:vAlign w:val="bottom"/>
          </w:tcPr>
          <w:p>
            <w:pPr>
              <w:spacing w:after="0"/>
              <w:rPr>
                <w:sz w:val="20"/>
                <w:szCs w:val="20"/>
                <w:color w:val="auto"/>
              </w:rPr>
            </w:pPr>
            <w:r>
              <w:rPr>
                <w:rFonts w:ascii="Arial" w:cs="Arial" w:eastAsia="Arial" w:hAnsi="Arial"/>
                <w:sz w:val="18"/>
                <w:szCs w:val="18"/>
                <w:color w:val="auto"/>
                <w:w w:val="94"/>
              </w:rPr>
              <w:t>Common stock issued</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700" w:type="dxa"/>
            <w:vAlign w:val="bottom"/>
          </w:tcPr>
          <w:p>
            <w:pPr>
              <w:spacing w:after="0"/>
              <w:rPr>
                <w:sz w:val="20"/>
                <w:szCs w:val="20"/>
                <w:color w:val="auto"/>
              </w:rPr>
            </w:pPr>
            <w:r>
              <w:rPr>
                <w:rFonts w:ascii="Arial" w:cs="Arial" w:eastAsia="Arial" w:hAnsi="Arial"/>
                <w:sz w:val="18"/>
                <w:szCs w:val="18"/>
                <w:color w:val="auto"/>
              </w:rPr>
              <w:t>to</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700" w:type="dxa"/>
            <w:vAlign w:val="bottom"/>
          </w:tcPr>
          <w:p>
            <w:pPr>
              <w:ind w:left="160"/>
              <w:spacing w:after="0"/>
              <w:rPr>
                <w:sz w:val="20"/>
                <w:szCs w:val="20"/>
                <w:color w:val="auto"/>
              </w:rPr>
            </w:pPr>
            <w:r>
              <w:rPr>
                <w:rFonts w:ascii="Arial" w:cs="Arial" w:eastAsia="Arial" w:hAnsi="Arial"/>
                <w:sz w:val="18"/>
                <w:szCs w:val="18"/>
                <w:color w:val="auto"/>
              </w:rPr>
              <w:t>dividend</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700" w:type="dxa"/>
            <w:vAlign w:val="bottom"/>
          </w:tcPr>
          <w:p>
            <w:pPr>
              <w:ind w:left="160"/>
              <w:spacing w:after="0"/>
              <w:rPr>
                <w:sz w:val="20"/>
                <w:szCs w:val="20"/>
                <w:color w:val="auto"/>
              </w:rPr>
            </w:pPr>
            <w:r>
              <w:rPr>
                <w:rFonts w:ascii="Arial" w:cs="Arial" w:eastAsia="Arial" w:hAnsi="Arial"/>
                <w:sz w:val="18"/>
                <w:szCs w:val="18"/>
                <w:color w:val="auto"/>
              </w:rPr>
              <w:t>reinvestment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700" w:type="dxa"/>
            <w:vAlign w:val="bottom"/>
          </w:tcPr>
          <w:p>
            <w:pPr>
              <w:ind w:left="160"/>
              <w:spacing w:after="0"/>
              <w:rPr>
                <w:sz w:val="20"/>
                <w:szCs w:val="20"/>
                <w:color w:val="auto"/>
              </w:rPr>
            </w:pPr>
            <w:r>
              <w:rPr>
                <w:rFonts w:ascii="Arial" w:cs="Arial" w:eastAsia="Arial" w:hAnsi="Arial"/>
                <w:sz w:val="18"/>
                <w:szCs w:val="18"/>
                <w:color w:val="auto"/>
              </w:rPr>
              <w:t>plan and to</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700" w:type="dxa"/>
            <w:vAlign w:val="bottom"/>
          </w:tcPr>
          <w:p>
            <w:pPr>
              <w:ind w:left="160"/>
              <w:spacing w:after="0"/>
              <w:rPr>
                <w:sz w:val="20"/>
                <w:szCs w:val="20"/>
                <w:color w:val="auto"/>
              </w:rPr>
            </w:pPr>
            <w:r>
              <w:rPr>
                <w:rFonts w:ascii="Arial" w:cs="Arial" w:eastAsia="Arial" w:hAnsi="Arial"/>
                <w:sz w:val="18"/>
                <w:szCs w:val="18"/>
                <w:color w:val="auto"/>
              </w:rPr>
              <w:t>employee</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700" w:type="dxa"/>
            <w:vAlign w:val="bottom"/>
          </w:tcPr>
          <w:p>
            <w:pPr>
              <w:ind w:left="160"/>
              <w:spacing w:after="0"/>
              <w:rPr>
                <w:sz w:val="20"/>
                <w:szCs w:val="20"/>
                <w:color w:val="auto"/>
              </w:rPr>
            </w:pPr>
            <w:r>
              <w:rPr>
                <w:rFonts w:ascii="Arial" w:cs="Arial" w:eastAsia="Arial" w:hAnsi="Arial"/>
                <w:sz w:val="18"/>
                <w:szCs w:val="18"/>
                <w:color w:val="auto"/>
                <w:w w:val="90"/>
              </w:rPr>
              <w:t>benefit plans (35,667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700" w:type="dxa"/>
            <w:vAlign w:val="bottom"/>
          </w:tcPr>
          <w:p>
            <w:pPr>
              <w:ind w:left="160"/>
              <w:spacing w:after="0"/>
              <w:rPr>
                <w:sz w:val="20"/>
                <w:szCs w:val="20"/>
                <w:color w:val="auto"/>
              </w:rPr>
            </w:pPr>
            <w:r>
              <w:rPr>
                <w:rFonts w:ascii="Arial" w:cs="Arial" w:eastAsia="Arial" w:hAnsi="Arial"/>
                <w:sz w:val="18"/>
                <w:szCs w:val="18"/>
                <w:color w:val="auto"/>
              </w:rPr>
              <w:t>shares)</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20" w:type="dxa"/>
            <w:vAlign w:val="bottom"/>
            <w:gridSpan w:val="2"/>
          </w:tcPr>
          <w:p>
            <w:pPr>
              <w:jc w:val="right"/>
              <w:ind w:right="11"/>
              <w:spacing w:after="0"/>
              <w:rPr>
                <w:sz w:val="20"/>
                <w:szCs w:val="20"/>
                <w:color w:val="auto"/>
              </w:rPr>
            </w:pPr>
            <w:r>
              <w:rPr>
                <w:rFonts w:ascii="Arial" w:cs="Arial" w:eastAsia="Arial" w:hAnsi="Arial"/>
                <w:sz w:val="18"/>
                <w:szCs w:val="18"/>
                <w:color w:val="auto"/>
              </w:rPr>
              <w:t>348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80" w:type="dxa"/>
            <w:vAlign w:val="bottom"/>
            <w:gridSpan w:val="2"/>
          </w:tcPr>
          <w:p>
            <w:pPr>
              <w:jc w:val="right"/>
              <w:ind w:right="11"/>
              <w:spacing w:after="0"/>
              <w:rPr>
                <w:sz w:val="20"/>
                <w:szCs w:val="20"/>
                <w:color w:val="auto"/>
              </w:rPr>
            </w:pPr>
            <w:r>
              <w:rPr>
                <w:rFonts w:ascii="Arial" w:cs="Arial" w:eastAsia="Arial" w:hAnsi="Arial"/>
                <w:sz w:val="18"/>
                <w:szCs w:val="18"/>
                <w:color w:val="auto"/>
              </w:rPr>
              <w:t>383</w:t>
            </w:r>
          </w:p>
        </w:tc>
        <w:tc>
          <w:tcPr>
            <w:tcW w:w="0" w:type="dxa"/>
            <w:vAlign w:val="bottom"/>
          </w:tcPr>
          <w:p>
            <w:pPr>
              <w:spacing w:after="0"/>
              <w:rPr>
                <w:sz w:val="1"/>
                <w:szCs w:val="1"/>
                <w:color w:val="auto"/>
              </w:rPr>
            </w:pPr>
          </w:p>
        </w:tc>
      </w:tr>
      <w:tr>
        <w:trPr>
          <w:trHeight w:val="214"/>
        </w:trPr>
        <w:tc>
          <w:tcPr>
            <w:tcW w:w="1700" w:type="dxa"/>
            <w:vAlign w:val="bottom"/>
          </w:tcPr>
          <w:p>
            <w:pPr>
              <w:spacing w:after="0"/>
              <w:rPr>
                <w:sz w:val="20"/>
                <w:szCs w:val="20"/>
                <w:color w:val="auto"/>
              </w:rPr>
            </w:pPr>
            <w:r>
              <w:rPr>
                <w:rFonts w:ascii="Arial" w:cs="Arial" w:eastAsia="Arial" w:hAnsi="Arial"/>
                <w:sz w:val="18"/>
                <w:szCs w:val="18"/>
                <w:color w:val="auto"/>
              </w:rPr>
              <w:t>Conversion of non-</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700" w:type="dxa"/>
            <w:vAlign w:val="bottom"/>
          </w:tcPr>
          <w:p>
            <w:pPr>
              <w:spacing w:after="0"/>
              <w:rPr>
                <w:sz w:val="20"/>
                <w:szCs w:val="20"/>
                <w:color w:val="auto"/>
              </w:rPr>
            </w:pPr>
            <w:r>
              <w:rPr>
                <w:rFonts w:ascii="Arial" w:cs="Arial" w:eastAsia="Arial" w:hAnsi="Arial"/>
                <w:sz w:val="18"/>
                <w:szCs w:val="18"/>
                <w:color w:val="auto"/>
              </w:rPr>
              <w:t>voting</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700" w:type="dxa"/>
            <w:vAlign w:val="bottom"/>
          </w:tcPr>
          <w:p>
            <w:pPr>
              <w:ind w:left="160"/>
              <w:spacing w:after="0"/>
              <w:rPr>
                <w:sz w:val="20"/>
                <w:szCs w:val="20"/>
                <w:color w:val="auto"/>
              </w:rPr>
            </w:pPr>
            <w:r>
              <w:rPr>
                <w:rFonts w:ascii="Arial" w:cs="Arial" w:eastAsia="Arial" w:hAnsi="Arial"/>
                <w:sz w:val="18"/>
                <w:szCs w:val="18"/>
                <w:color w:val="auto"/>
              </w:rPr>
              <w:t>common stock to</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700" w:type="dxa"/>
            <w:vAlign w:val="bottom"/>
          </w:tcPr>
          <w:p>
            <w:pPr>
              <w:ind w:left="160"/>
              <w:spacing w:after="0"/>
              <w:rPr>
                <w:sz w:val="20"/>
                <w:szCs w:val="20"/>
                <w:color w:val="auto"/>
              </w:rPr>
            </w:pPr>
            <w:r>
              <w:rPr>
                <w:rFonts w:ascii="Arial" w:cs="Arial" w:eastAsia="Arial" w:hAnsi="Arial"/>
                <w:sz w:val="18"/>
                <w:szCs w:val="18"/>
                <w:color w:val="auto"/>
              </w:rPr>
              <w:t>voting</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700" w:type="dxa"/>
            <w:vAlign w:val="bottom"/>
          </w:tcPr>
          <w:p>
            <w:pPr>
              <w:ind w:left="160"/>
              <w:spacing w:after="0"/>
              <w:rPr>
                <w:sz w:val="20"/>
                <w:szCs w:val="20"/>
                <w:color w:val="auto"/>
              </w:rPr>
            </w:pPr>
            <w:r>
              <w:rPr>
                <w:rFonts w:ascii="Arial" w:cs="Arial" w:eastAsia="Arial" w:hAnsi="Arial"/>
                <w:sz w:val="18"/>
                <w:szCs w:val="18"/>
                <w:color w:val="auto"/>
              </w:rPr>
              <w:t>(841,984 shares)</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842</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(842)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700" w:type="dxa"/>
            <w:vAlign w:val="bottom"/>
          </w:tcPr>
          <w:p>
            <w:pPr>
              <w:spacing w:after="0"/>
              <w:rPr>
                <w:sz w:val="20"/>
                <w:szCs w:val="20"/>
                <w:color w:val="auto"/>
              </w:rPr>
            </w:pPr>
            <w:r>
              <w:rPr>
                <w:rFonts w:ascii="Arial" w:cs="Arial" w:eastAsia="Arial" w:hAnsi="Arial"/>
                <w:sz w:val="18"/>
                <w:szCs w:val="18"/>
                <w:color w:val="auto"/>
              </w:rPr>
              <w:t>Amortization of stock</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700" w:type="dxa"/>
            <w:vAlign w:val="bottom"/>
          </w:tcPr>
          <w:p>
            <w:pPr>
              <w:spacing w:after="0"/>
              <w:rPr>
                <w:sz w:val="20"/>
                <w:szCs w:val="20"/>
                <w:color w:val="auto"/>
              </w:rPr>
            </w:pPr>
            <w:r>
              <w:rPr>
                <w:rFonts w:ascii="Arial" w:cs="Arial" w:eastAsia="Arial" w:hAnsi="Arial"/>
                <w:sz w:val="18"/>
                <w:szCs w:val="18"/>
                <w:color w:val="auto"/>
              </w:rPr>
              <w:t>options</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700" w:type="dxa"/>
            <w:vAlign w:val="bottom"/>
          </w:tcPr>
          <w:p>
            <w:pPr>
              <w:ind w:left="160"/>
              <w:spacing w:after="0"/>
              <w:rPr>
                <w:sz w:val="20"/>
                <w:szCs w:val="20"/>
                <w:color w:val="auto"/>
              </w:rPr>
            </w:pPr>
            <w:r>
              <w:rPr>
                <w:rFonts w:ascii="Arial" w:cs="Arial" w:eastAsia="Arial" w:hAnsi="Arial"/>
                <w:sz w:val="18"/>
                <w:szCs w:val="18"/>
                <w:color w:val="auto"/>
                <w:w w:val="97"/>
              </w:rPr>
              <w:t>and restricted stock</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700" w:type="dxa"/>
            <w:vAlign w:val="bottom"/>
          </w:tcPr>
          <w:p>
            <w:pPr>
              <w:ind w:left="160"/>
              <w:spacing w:after="0"/>
              <w:rPr>
                <w:sz w:val="20"/>
                <w:szCs w:val="20"/>
                <w:color w:val="auto"/>
              </w:rPr>
            </w:pPr>
            <w:r>
              <w:rPr>
                <w:rFonts w:ascii="Arial" w:cs="Arial" w:eastAsia="Arial" w:hAnsi="Arial"/>
                <w:sz w:val="18"/>
                <w:szCs w:val="18"/>
                <w:color w:val="auto"/>
              </w:rPr>
              <w:t>awards</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20" w:type="dxa"/>
            <w:vAlign w:val="bottom"/>
            <w:gridSpan w:val="2"/>
          </w:tcPr>
          <w:p>
            <w:pPr>
              <w:jc w:val="right"/>
              <w:ind w:right="11"/>
              <w:spacing w:after="0"/>
              <w:rPr>
                <w:sz w:val="20"/>
                <w:szCs w:val="20"/>
                <w:color w:val="auto"/>
              </w:rPr>
            </w:pPr>
            <w:r>
              <w:rPr>
                <w:rFonts w:ascii="Arial" w:cs="Arial" w:eastAsia="Arial" w:hAnsi="Arial"/>
                <w:sz w:val="18"/>
                <w:szCs w:val="18"/>
                <w:color w:val="auto"/>
              </w:rPr>
              <w:t>1,359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80" w:type="dxa"/>
            <w:vAlign w:val="bottom"/>
            <w:gridSpan w:val="2"/>
          </w:tcPr>
          <w:p>
            <w:pPr>
              <w:jc w:val="right"/>
              <w:ind w:right="11"/>
              <w:spacing w:after="0"/>
              <w:rPr>
                <w:sz w:val="20"/>
                <w:szCs w:val="20"/>
                <w:color w:val="auto"/>
              </w:rPr>
            </w:pPr>
            <w:r>
              <w:rPr>
                <w:rFonts w:ascii="Arial" w:cs="Arial" w:eastAsia="Arial" w:hAnsi="Arial"/>
                <w:sz w:val="18"/>
                <w:szCs w:val="18"/>
                <w:color w:val="auto"/>
              </w:rPr>
              <w:t>1,359</w:t>
            </w:r>
          </w:p>
        </w:tc>
        <w:tc>
          <w:tcPr>
            <w:tcW w:w="0" w:type="dxa"/>
            <w:vAlign w:val="bottom"/>
          </w:tcPr>
          <w:p>
            <w:pPr>
              <w:spacing w:after="0"/>
              <w:rPr>
                <w:sz w:val="1"/>
                <w:szCs w:val="1"/>
                <w:color w:val="auto"/>
              </w:rPr>
            </w:pPr>
          </w:p>
        </w:tc>
      </w:tr>
      <w:tr>
        <w:trPr>
          <w:trHeight w:val="214"/>
        </w:trPr>
        <w:tc>
          <w:tcPr>
            <w:tcW w:w="1700" w:type="dxa"/>
            <w:vAlign w:val="bottom"/>
          </w:tcPr>
          <w:p>
            <w:pPr>
              <w:spacing w:after="0"/>
              <w:rPr>
                <w:sz w:val="20"/>
                <w:szCs w:val="20"/>
                <w:color w:val="auto"/>
              </w:rPr>
            </w:pPr>
            <w:r>
              <w:rPr>
                <w:rFonts w:ascii="Arial" w:cs="Arial" w:eastAsia="Arial" w:hAnsi="Arial"/>
                <w:sz w:val="18"/>
                <w:szCs w:val="18"/>
                <w:color w:val="auto"/>
              </w:rPr>
              <w:t>Vesting of restricted</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1700" w:type="dxa"/>
            <w:vAlign w:val="bottom"/>
          </w:tcPr>
          <w:p>
            <w:pPr>
              <w:spacing w:after="0"/>
              <w:rPr>
                <w:sz w:val="20"/>
                <w:szCs w:val="20"/>
                <w:color w:val="auto"/>
              </w:rPr>
            </w:pPr>
            <w:r>
              <w:rPr>
                <w:rFonts w:ascii="Arial" w:cs="Arial" w:eastAsia="Arial" w:hAnsi="Arial"/>
                <w:sz w:val="18"/>
                <w:szCs w:val="18"/>
                <w:color w:val="auto"/>
              </w:rPr>
              <w:t>stock,</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12" w:right="239" w:bottom="0" w:gutter="0" w:footer="0" w:header="0"/>
        </w:sectPr>
      </w:pPr>
    </w:p>
    <w:bookmarkStart w:id="7" w:name="page8"/>
    <w:bookmarkEnd w:id="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1780" w:type="dxa"/>
            <w:vAlign w:val="bottom"/>
          </w:tcPr>
          <w:p>
            <w:pPr>
              <w:ind w:left="160"/>
              <w:spacing w:after="0"/>
              <w:rPr>
                <w:sz w:val="20"/>
                <w:szCs w:val="20"/>
                <w:color w:val="auto"/>
              </w:rPr>
            </w:pPr>
            <w:r>
              <w:rPr>
                <w:rFonts w:ascii="Arial" w:cs="Arial" w:eastAsia="Arial" w:hAnsi="Arial"/>
                <w:sz w:val="18"/>
                <w:szCs w:val="18"/>
                <w:color w:val="auto"/>
              </w:rPr>
              <w:t>net of shares</w:t>
            </w: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14"/>
        </w:trPr>
        <w:tc>
          <w:tcPr>
            <w:tcW w:w="1780" w:type="dxa"/>
            <w:vAlign w:val="bottom"/>
          </w:tcPr>
          <w:p>
            <w:pPr>
              <w:ind w:left="160"/>
              <w:spacing w:after="0"/>
              <w:rPr>
                <w:sz w:val="20"/>
                <w:szCs w:val="20"/>
                <w:color w:val="auto"/>
              </w:rPr>
            </w:pPr>
            <w:r>
              <w:rPr>
                <w:rFonts w:ascii="Arial" w:cs="Arial" w:eastAsia="Arial" w:hAnsi="Arial"/>
                <w:sz w:val="18"/>
                <w:szCs w:val="18"/>
                <w:color w:val="auto"/>
              </w:rPr>
              <w:t>surrendered</w:t>
            </w: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14"/>
        </w:trPr>
        <w:tc>
          <w:tcPr>
            <w:tcW w:w="1780" w:type="dxa"/>
            <w:vAlign w:val="bottom"/>
          </w:tcPr>
          <w:p>
            <w:pPr>
              <w:ind w:left="160"/>
              <w:spacing w:after="0"/>
              <w:rPr>
                <w:sz w:val="20"/>
                <w:szCs w:val="20"/>
                <w:color w:val="auto"/>
              </w:rPr>
            </w:pPr>
            <w:r>
              <w:rPr>
                <w:rFonts w:ascii="Arial" w:cs="Arial" w:eastAsia="Arial" w:hAnsi="Arial"/>
                <w:sz w:val="18"/>
                <w:szCs w:val="18"/>
                <w:color w:val="auto"/>
              </w:rPr>
              <w:t>to cover payroll</w:t>
            </w: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14"/>
        </w:trPr>
        <w:tc>
          <w:tcPr>
            <w:tcW w:w="1780" w:type="dxa"/>
            <w:vAlign w:val="bottom"/>
          </w:tcPr>
          <w:p>
            <w:pPr>
              <w:ind w:left="160"/>
              <w:spacing w:after="0"/>
              <w:rPr>
                <w:sz w:val="20"/>
                <w:szCs w:val="20"/>
                <w:color w:val="auto"/>
              </w:rPr>
            </w:pPr>
            <w:r>
              <w:rPr>
                <w:rFonts w:ascii="Arial" w:cs="Arial" w:eastAsia="Arial" w:hAnsi="Arial"/>
                <w:sz w:val="18"/>
                <w:szCs w:val="18"/>
                <w:color w:val="auto"/>
              </w:rPr>
              <w:t>taxes</w:t>
            </w: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14"/>
        </w:trPr>
        <w:tc>
          <w:tcPr>
            <w:tcW w:w="1780" w:type="dxa"/>
            <w:vAlign w:val="bottom"/>
          </w:tcPr>
          <w:p>
            <w:pPr>
              <w:ind w:left="160"/>
              <w:spacing w:after="0"/>
              <w:rPr>
                <w:sz w:val="20"/>
                <w:szCs w:val="20"/>
                <w:color w:val="auto"/>
              </w:rPr>
            </w:pPr>
            <w:r>
              <w:rPr>
                <w:rFonts w:ascii="Arial" w:cs="Arial" w:eastAsia="Arial" w:hAnsi="Arial"/>
                <w:sz w:val="18"/>
                <w:szCs w:val="18"/>
                <w:color w:val="auto"/>
              </w:rPr>
              <w:t>(50,450 shares</w:t>
            </w: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14"/>
        </w:trPr>
        <w:tc>
          <w:tcPr>
            <w:tcW w:w="1780" w:type="dxa"/>
            <w:vAlign w:val="bottom"/>
          </w:tcPr>
          <w:p>
            <w:pPr>
              <w:ind w:left="160"/>
              <w:spacing w:after="0"/>
              <w:rPr>
                <w:sz w:val="20"/>
                <w:szCs w:val="20"/>
                <w:color w:val="auto"/>
              </w:rPr>
            </w:pPr>
            <w:r>
              <w:rPr>
                <w:rFonts w:ascii="Arial" w:cs="Arial" w:eastAsia="Arial" w:hAnsi="Arial"/>
                <w:sz w:val="18"/>
                <w:szCs w:val="18"/>
                <w:color w:val="auto"/>
              </w:rPr>
              <w:t>issued,</w:t>
            </w: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14"/>
        </w:trPr>
        <w:tc>
          <w:tcPr>
            <w:tcW w:w="1780" w:type="dxa"/>
            <w:vAlign w:val="bottom"/>
          </w:tcPr>
          <w:p>
            <w:pPr>
              <w:ind w:left="160"/>
              <w:spacing w:after="0"/>
              <w:rPr>
                <w:sz w:val="20"/>
                <w:szCs w:val="20"/>
                <w:color w:val="auto"/>
              </w:rPr>
            </w:pPr>
            <w:r>
              <w:rPr>
                <w:rFonts w:ascii="Arial" w:cs="Arial" w:eastAsia="Arial" w:hAnsi="Arial"/>
                <w:sz w:val="18"/>
                <w:szCs w:val="18"/>
                <w:color w:val="auto"/>
              </w:rPr>
              <w:t>133,914 shares</w:t>
            </w: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14"/>
        </w:trPr>
        <w:tc>
          <w:tcPr>
            <w:tcW w:w="1780" w:type="dxa"/>
            <w:vAlign w:val="bottom"/>
          </w:tcPr>
          <w:p>
            <w:pPr>
              <w:ind w:left="160"/>
              <w:spacing w:after="0"/>
              <w:rPr>
                <w:sz w:val="20"/>
                <w:szCs w:val="20"/>
                <w:color w:val="auto"/>
              </w:rPr>
            </w:pPr>
            <w:r>
              <w:rPr>
                <w:rFonts w:ascii="Arial" w:cs="Arial" w:eastAsia="Arial" w:hAnsi="Arial"/>
                <w:sz w:val="18"/>
                <w:szCs w:val="18"/>
                <w:color w:val="auto"/>
              </w:rPr>
              <w:t>deferred)</w:t>
            </w: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1,934</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(2,161)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(177)</w:t>
            </w:r>
          </w:p>
        </w:tc>
      </w:tr>
      <w:tr>
        <w:trPr>
          <w:trHeight w:val="214"/>
        </w:trPr>
        <w:tc>
          <w:tcPr>
            <w:tcW w:w="1780" w:type="dxa"/>
            <w:vAlign w:val="bottom"/>
          </w:tcPr>
          <w:p>
            <w:pPr>
              <w:spacing w:after="0"/>
              <w:rPr>
                <w:sz w:val="20"/>
                <w:szCs w:val="20"/>
                <w:color w:val="auto"/>
              </w:rPr>
            </w:pPr>
            <w:r>
              <w:rPr>
                <w:rFonts w:ascii="Arial" w:cs="Arial" w:eastAsia="Arial" w:hAnsi="Arial"/>
                <w:sz w:val="18"/>
                <w:szCs w:val="18"/>
                <w:color w:val="auto"/>
                <w:w w:val="94"/>
              </w:rPr>
              <w:t>Deferred compensation</w:t>
            </w: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14"/>
        </w:trPr>
        <w:tc>
          <w:tcPr>
            <w:tcW w:w="1780" w:type="dxa"/>
            <w:vAlign w:val="bottom"/>
          </w:tcPr>
          <w:p>
            <w:pPr>
              <w:spacing w:after="0"/>
              <w:rPr>
                <w:sz w:val="20"/>
                <w:szCs w:val="20"/>
                <w:color w:val="auto"/>
              </w:rPr>
            </w:pPr>
            <w:r>
              <w:rPr>
                <w:rFonts w:ascii="Arial" w:cs="Arial" w:eastAsia="Arial" w:hAnsi="Arial"/>
                <w:sz w:val="18"/>
                <w:szCs w:val="18"/>
                <w:color w:val="auto"/>
              </w:rPr>
              <w:t>plan,</w:t>
            </w: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14"/>
        </w:trPr>
        <w:tc>
          <w:tcPr>
            <w:tcW w:w="1780" w:type="dxa"/>
            <w:vAlign w:val="bottom"/>
          </w:tcPr>
          <w:p>
            <w:pPr>
              <w:ind w:left="160"/>
              <w:spacing w:after="0"/>
              <w:rPr>
                <w:sz w:val="20"/>
                <w:szCs w:val="20"/>
                <w:color w:val="auto"/>
              </w:rPr>
            </w:pPr>
            <w:r>
              <w:rPr>
                <w:rFonts w:ascii="Arial" w:cs="Arial" w:eastAsia="Arial" w:hAnsi="Arial"/>
                <w:sz w:val="18"/>
                <w:szCs w:val="18"/>
                <w:color w:val="auto"/>
              </w:rPr>
              <w:t>net, including</w:t>
            </w: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14"/>
        </w:trPr>
        <w:tc>
          <w:tcPr>
            <w:tcW w:w="1780" w:type="dxa"/>
            <w:vAlign w:val="bottom"/>
          </w:tcPr>
          <w:p>
            <w:pPr>
              <w:ind w:left="160"/>
              <w:spacing w:after="0"/>
              <w:rPr>
                <w:sz w:val="20"/>
                <w:szCs w:val="20"/>
                <w:color w:val="auto"/>
              </w:rPr>
            </w:pPr>
            <w:r>
              <w:rPr>
                <w:rFonts w:ascii="Arial" w:cs="Arial" w:eastAsia="Arial" w:hAnsi="Arial"/>
                <w:sz w:val="18"/>
                <w:szCs w:val="18"/>
                <w:color w:val="auto"/>
              </w:rPr>
              <w:t>dividend</w:t>
            </w: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14"/>
        </w:trPr>
        <w:tc>
          <w:tcPr>
            <w:tcW w:w="1780" w:type="dxa"/>
            <w:vAlign w:val="bottom"/>
          </w:tcPr>
          <w:p>
            <w:pPr>
              <w:ind w:left="160"/>
              <w:spacing w:after="0"/>
              <w:rPr>
                <w:sz w:val="20"/>
                <w:szCs w:val="20"/>
                <w:color w:val="auto"/>
              </w:rPr>
            </w:pPr>
            <w:r>
              <w:rPr>
                <w:rFonts w:ascii="Arial" w:cs="Arial" w:eastAsia="Arial" w:hAnsi="Arial"/>
                <w:sz w:val="18"/>
                <w:szCs w:val="18"/>
                <w:color w:val="auto"/>
              </w:rPr>
              <w:t>equivalents</w:t>
            </w: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91</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91</w:t>
            </w:r>
          </w:p>
        </w:tc>
      </w:tr>
      <w:tr>
        <w:trPr>
          <w:trHeight w:val="214"/>
        </w:trPr>
        <w:tc>
          <w:tcPr>
            <w:tcW w:w="1780" w:type="dxa"/>
            <w:vAlign w:val="bottom"/>
          </w:tcPr>
          <w:p>
            <w:pPr>
              <w:spacing w:after="0"/>
              <w:rPr>
                <w:sz w:val="20"/>
                <w:szCs w:val="20"/>
                <w:color w:val="auto"/>
              </w:rPr>
            </w:pPr>
            <w:r>
              <w:rPr>
                <w:rFonts w:ascii="Arial" w:cs="Arial" w:eastAsia="Arial" w:hAnsi="Arial"/>
                <w:sz w:val="18"/>
                <w:szCs w:val="18"/>
                <w:color w:val="auto"/>
              </w:rPr>
              <w:t>Shares issued from</w:t>
            </w: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14"/>
        </w:trPr>
        <w:tc>
          <w:tcPr>
            <w:tcW w:w="1780" w:type="dxa"/>
            <w:vAlign w:val="bottom"/>
          </w:tcPr>
          <w:p>
            <w:pPr>
              <w:spacing w:after="0"/>
              <w:rPr>
                <w:sz w:val="20"/>
                <w:szCs w:val="20"/>
                <w:color w:val="auto"/>
              </w:rPr>
            </w:pPr>
            <w:r>
              <w:rPr>
                <w:rFonts w:ascii="Arial" w:cs="Arial" w:eastAsia="Arial" w:hAnsi="Arial"/>
                <w:sz w:val="18"/>
                <w:szCs w:val="18"/>
                <w:color w:val="auto"/>
              </w:rPr>
              <w:t>deferred</w:t>
            </w: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14"/>
        </w:trPr>
        <w:tc>
          <w:tcPr>
            <w:tcW w:w="1780" w:type="dxa"/>
            <w:vAlign w:val="bottom"/>
          </w:tcPr>
          <w:p>
            <w:pPr>
              <w:ind w:left="160"/>
              <w:spacing w:after="0"/>
              <w:rPr>
                <w:sz w:val="20"/>
                <w:szCs w:val="20"/>
                <w:color w:val="auto"/>
              </w:rPr>
            </w:pPr>
            <w:r>
              <w:rPr>
                <w:rFonts w:ascii="Arial" w:cs="Arial" w:eastAsia="Arial" w:hAnsi="Arial"/>
                <w:sz w:val="18"/>
                <w:szCs w:val="18"/>
                <w:color w:val="auto"/>
              </w:rPr>
              <w:t>compensation plan</w:t>
            </w: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14"/>
        </w:trPr>
        <w:tc>
          <w:tcPr>
            <w:tcW w:w="1780" w:type="dxa"/>
            <w:vAlign w:val="bottom"/>
          </w:tcPr>
          <w:p>
            <w:pPr>
              <w:ind w:left="160"/>
              <w:spacing w:after="0"/>
              <w:rPr>
                <w:sz w:val="20"/>
                <w:szCs w:val="20"/>
                <w:color w:val="auto"/>
              </w:rPr>
            </w:pPr>
            <w:r>
              <w:rPr>
                <w:rFonts w:ascii="Arial" w:cs="Arial" w:eastAsia="Arial" w:hAnsi="Arial"/>
                <w:sz w:val="18"/>
                <w:szCs w:val="18"/>
                <w:color w:val="auto"/>
              </w:rPr>
              <w:t>(4,521 shares)</w:t>
            </w: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(439)</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434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4"/>
        </w:trPr>
        <w:tc>
          <w:tcPr>
            <w:tcW w:w="1780" w:type="dxa"/>
            <w:vAlign w:val="bottom"/>
          </w:tcPr>
          <w:p>
            <w:pPr>
              <w:spacing w:after="0"/>
              <w:rPr>
                <w:sz w:val="20"/>
                <w:szCs w:val="20"/>
                <w:color w:val="auto"/>
              </w:rPr>
            </w:pPr>
            <w:r>
              <w:rPr>
                <w:rFonts w:ascii="Arial" w:cs="Arial" w:eastAsia="Arial" w:hAnsi="Arial"/>
                <w:sz w:val="18"/>
                <w:szCs w:val="18"/>
                <w:color w:val="auto"/>
              </w:rPr>
              <w:t>Preferred stock</w:t>
            </w: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14"/>
        </w:trPr>
        <w:tc>
          <w:tcPr>
            <w:tcW w:w="1780" w:type="dxa"/>
            <w:vAlign w:val="bottom"/>
          </w:tcPr>
          <w:p>
            <w:pPr>
              <w:spacing w:after="0"/>
              <w:rPr>
                <w:sz w:val="20"/>
                <w:szCs w:val="20"/>
                <w:color w:val="auto"/>
              </w:rPr>
            </w:pPr>
            <w:r>
              <w:rPr>
                <w:rFonts w:ascii="Arial" w:cs="Arial" w:eastAsia="Arial" w:hAnsi="Arial"/>
                <w:sz w:val="18"/>
                <w:szCs w:val="18"/>
                <w:color w:val="auto"/>
              </w:rPr>
              <w:t>dividends:</w:t>
            </w: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14"/>
        </w:trPr>
        <w:tc>
          <w:tcPr>
            <w:tcW w:w="1780" w:type="dxa"/>
            <w:vAlign w:val="bottom"/>
          </w:tcPr>
          <w:p>
            <w:pPr>
              <w:ind w:left="160"/>
              <w:spacing w:after="0"/>
              <w:rPr>
                <w:sz w:val="20"/>
                <w:szCs w:val="20"/>
                <w:color w:val="auto"/>
              </w:rPr>
            </w:pPr>
            <w:r>
              <w:rPr>
                <w:rFonts w:ascii="Arial" w:cs="Arial" w:eastAsia="Arial" w:hAnsi="Arial"/>
                <w:sz w:val="18"/>
                <w:szCs w:val="18"/>
                <w:color w:val="auto"/>
              </w:rPr>
              <w:t>Series A</w:t>
            </w: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(6)</w:t>
            </w:r>
          </w:p>
        </w:tc>
      </w:tr>
      <w:tr>
        <w:trPr>
          <w:trHeight w:val="214"/>
        </w:trPr>
        <w:tc>
          <w:tcPr>
            <w:tcW w:w="1780" w:type="dxa"/>
            <w:vAlign w:val="bottom"/>
          </w:tcPr>
          <w:p>
            <w:pPr>
              <w:ind w:left="160"/>
              <w:spacing w:after="0"/>
              <w:rPr>
                <w:sz w:val="20"/>
                <w:szCs w:val="20"/>
                <w:color w:val="auto"/>
              </w:rPr>
            </w:pPr>
            <w:r>
              <w:rPr>
                <w:rFonts w:ascii="Arial" w:cs="Arial" w:eastAsia="Arial" w:hAnsi="Arial"/>
                <w:sz w:val="18"/>
                <w:szCs w:val="18"/>
                <w:color w:val="auto"/>
              </w:rPr>
              <w:t>Series B</w:t>
            </w: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766</w:t>
            </w: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(5,266)</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(4,500)</w:t>
            </w:r>
          </w:p>
        </w:tc>
      </w:tr>
      <w:tr>
        <w:trPr>
          <w:trHeight w:val="235"/>
        </w:trPr>
        <w:tc>
          <w:tcPr>
            <w:tcW w:w="1780" w:type="dxa"/>
            <w:vAlign w:val="bottom"/>
          </w:tcPr>
          <w:p>
            <w:pPr>
              <w:ind w:left="160"/>
              <w:spacing w:after="0"/>
              <w:rPr>
                <w:sz w:val="20"/>
                <w:szCs w:val="20"/>
                <w:color w:val="auto"/>
              </w:rPr>
            </w:pPr>
            <w:r>
              <w:rPr>
                <w:rFonts w:ascii="Arial" w:cs="Arial" w:eastAsia="Arial" w:hAnsi="Arial"/>
                <w:sz w:val="18"/>
                <w:szCs w:val="18"/>
                <w:color w:val="auto"/>
              </w:rPr>
              <w:t>Series D</w:t>
            </w:r>
          </w:p>
        </w:tc>
        <w:tc>
          <w:tcPr>
            <w:tcW w:w="2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(835)</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(835)</w:t>
            </w:r>
          </w:p>
        </w:tc>
      </w:tr>
      <w:tr>
        <w:trPr>
          <w:trHeight w:val="196"/>
        </w:trPr>
        <w:tc>
          <w:tcPr>
            <w:tcW w:w="1780" w:type="dxa"/>
            <w:vAlign w:val="bottom"/>
          </w:tcPr>
          <w:p>
            <w:pPr>
              <w:spacing w:after="0" w:line="196" w:lineRule="exact"/>
              <w:rPr>
                <w:sz w:val="20"/>
                <w:szCs w:val="20"/>
                <w:color w:val="auto"/>
              </w:rPr>
            </w:pPr>
            <w:r>
              <w:rPr>
                <w:rFonts w:ascii="Arial" w:cs="Arial" w:eastAsia="Arial" w:hAnsi="Arial"/>
                <w:sz w:val="18"/>
                <w:szCs w:val="18"/>
                <w:b w:val="1"/>
                <w:bCs w:val="1"/>
                <w:color w:val="auto"/>
              </w:rPr>
              <w:t>Balance, June 30,</w:t>
            </w:r>
          </w:p>
        </w:tc>
        <w:tc>
          <w:tcPr>
            <w:tcW w:w="200" w:type="dxa"/>
            <w:vAlign w:val="bottom"/>
            <w:tcBorders>
              <w:top w:val="single" w:sz="8" w:color="auto"/>
            </w:tcBorders>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r>
      <w:tr>
        <w:trPr>
          <w:trHeight w:val="232"/>
        </w:trPr>
        <w:tc>
          <w:tcPr>
            <w:tcW w:w="1780" w:type="dxa"/>
            <w:vAlign w:val="bottom"/>
          </w:tcPr>
          <w:p>
            <w:pPr>
              <w:spacing w:after="0"/>
              <w:rPr>
                <w:sz w:val="20"/>
                <w:szCs w:val="20"/>
                <w:color w:val="auto"/>
              </w:rPr>
            </w:pPr>
            <w:r>
              <w:rPr>
                <w:rFonts w:ascii="Arial" w:cs="Arial" w:eastAsia="Arial" w:hAnsi="Arial"/>
                <w:sz w:val="18"/>
                <w:szCs w:val="18"/>
                <w:b w:val="1"/>
                <w:bCs w:val="1"/>
                <w:color w:val="auto"/>
              </w:rPr>
              <w:t>2013</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217</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w w:val="94"/>
              </w:rPr>
              <w:t>$ 179,323</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$ 16,613</w:t>
            </w: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  43,356</w:t>
            </w: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11"/>
              <w:spacing w:after="0"/>
              <w:rPr>
                <w:sz w:val="20"/>
                <w:szCs w:val="20"/>
                <w:color w:val="auto"/>
              </w:rPr>
            </w:pPr>
            <w:r>
              <w:rPr>
                <w:rFonts w:ascii="Arial" w:cs="Arial" w:eastAsia="Arial" w:hAnsi="Arial"/>
                <w:sz w:val="18"/>
                <w:szCs w:val="18"/>
                <w:color w:val="auto"/>
              </w:rPr>
              <w:t>14,475</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  4,705</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$ 1,057,931</w:t>
            </w:r>
          </w:p>
        </w:tc>
        <w:tc>
          <w:tcPr>
            <w:tcW w:w="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(473,531)</w:t>
            </w:r>
          </w:p>
        </w:tc>
        <w:tc>
          <w:tcPr>
            <w:tcW w:w="4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(13,786)</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$ 829,303</w:t>
            </w:r>
          </w:p>
        </w:tc>
      </w:tr>
      <w:tr>
        <w:trPr>
          <w:trHeight w:val="21"/>
        </w:trPr>
        <w:tc>
          <w:tcPr>
            <w:tcW w:w="17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r>
    </w:tbl>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13970</wp:posOffset>
            </wp:positionV>
            <wp:extent cx="724789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7890" cy="825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UNITED COMMUNITY BANKS, INC.</w:t>
      </w:r>
    </w:p>
    <w:p>
      <w:pPr>
        <w:spacing w:after="0" w:line="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Consolidated Statement of Cash Flows </w:t>
      </w:r>
      <w:r>
        <w:rPr>
          <w:rFonts w:ascii="Arial" w:cs="Arial" w:eastAsia="Arial" w:hAnsi="Arial"/>
          <w:sz w:val="18"/>
          <w:szCs w:val="18"/>
          <w:i w:val="1"/>
          <w:iCs w:val="1"/>
          <w:color w:val="auto"/>
        </w:rPr>
        <w:t>(Unaudited)</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868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2360" w:type="dxa"/>
            <w:vAlign w:val="bottom"/>
            <w:tcBorders>
              <w:top w:val="single" w:sz="8" w:color="auto"/>
            </w:tcBorders>
            <w:gridSpan w:val="4"/>
          </w:tcPr>
          <w:p>
            <w:pPr>
              <w:jc w:val="right"/>
              <w:ind w:right="571"/>
              <w:spacing w:after="0" w:line="204" w:lineRule="exact"/>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39"/>
        </w:trPr>
        <w:tc>
          <w:tcPr>
            <w:tcW w:w="8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9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8800" w:type="dxa"/>
            <w:vAlign w:val="bottom"/>
            <w:gridSpan w:val="2"/>
          </w:tcPr>
          <w:p>
            <w:pPr>
              <w:spacing w:after="0"/>
              <w:rPr>
                <w:sz w:val="20"/>
                <w:szCs w:val="20"/>
                <w:color w:val="auto"/>
              </w:rPr>
            </w:pPr>
            <w:r>
              <w:rPr>
                <w:rFonts w:ascii="Arial" w:cs="Arial" w:eastAsia="Arial" w:hAnsi="Arial"/>
                <w:sz w:val="18"/>
                <w:szCs w:val="18"/>
                <w:i w:val="1"/>
                <w:iCs w:val="1"/>
                <w:color w:val="auto"/>
              </w:rPr>
              <w:t>(in thousands)</w:t>
            </w:r>
          </w:p>
        </w:tc>
        <w:tc>
          <w:tcPr>
            <w:tcW w:w="260" w:type="dxa"/>
            <w:vAlign w:val="bottom"/>
          </w:tcPr>
          <w:p>
            <w:pPr>
              <w:spacing w:after="0"/>
              <w:rPr>
                <w:sz w:val="19"/>
                <w:szCs w:val="19"/>
                <w:color w:val="auto"/>
              </w:rPr>
            </w:pPr>
          </w:p>
        </w:tc>
        <w:tc>
          <w:tcPr>
            <w:tcW w:w="1020" w:type="dxa"/>
            <w:vAlign w:val="bottom"/>
          </w:tcPr>
          <w:p>
            <w:pPr>
              <w:jc w:val="right"/>
              <w:ind w:right="431"/>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ind w:right="411"/>
              <w:spacing w:after="0"/>
              <w:rPr>
                <w:sz w:val="20"/>
                <w:szCs w:val="20"/>
                <w:color w:val="auto"/>
              </w:rPr>
            </w:pPr>
            <w:r>
              <w:rPr>
                <w:rFonts w:ascii="Arial" w:cs="Arial" w:eastAsia="Arial" w:hAnsi="Arial"/>
                <w:sz w:val="18"/>
                <w:szCs w:val="18"/>
                <w:b w:val="1"/>
                <w:bCs w:val="1"/>
                <w:color w:val="auto"/>
              </w:rPr>
              <w:t>2012</w:t>
            </w:r>
          </w:p>
        </w:tc>
        <w:tc>
          <w:tcPr>
            <w:tcW w:w="0" w:type="dxa"/>
            <w:vAlign w:val="bottom"/>
          </w:tcPr>
          <w:p>
            <w:pPr>
              <w:spacing w:after="0"/>
              <w:rPr>
                <w:sz w:val="1"/>
                <w:szCs w:val="1"/>
                <w:color w:val="auto"/>
              </w:rPr>
            </w:pPr>
          </w:p>
        </w:tc>
      </w:tr>
      <w:tr>
        <w:trPr>
          <w:trHeight w:val="200"/>
        </w:trPr>
        <w:tc>
          <w:tcPr>
            <w:tcW w:w="8680" w:type="dxa"/>
            <w:vAlign w:val="bottom"/>
            <w:tcBorders>
              <w:top w:val="single" w:sz="8" w:color="auto"/>
            </w:tcBorders>
          </w:tcPr>
          <w:p>
            <w:pPr>
              <w:spacing w:after="0" w:line="200" w:lineRule="exact"/>
              <w:rPr>
                <w:sz w:val="20"/>
                <w:szCs w:val="20"/>
                <w:color w:val="auto"/>
              </w:rPr>
            </w:pPr>
            <w:r>
              <w:rPr>
                <w:rFonts w:ascii="Arial" w:cs="Arial" w:eastAsia="Arial" w:hAnsi="Arial"/>
                <w:sz w:val="18"/>
                <w:szCs w:val="18"/>
                <w:b w:val="1"/>
                <w:bCs w:val="1"/>
                <w:color w:val="auto"/>
              </w:rPr>
              <w:t>Operating activities:</w:t>
            </w:r>
          </w:p>
        </w:tc>
        <w:tc>
          <w:tcPr>
            <w:tcW w:w="12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8800" w:type="dxa"/>
            <w:vAlign w:val="bottom"/>
            <w:gridSpan w:val="2"/>
          </w:tcPr>
          <w:p>
            <w:pPr>
              <w:ind w:left="160"/>
              <w:spacing w:after="0"/>
              <w:rPr>
                <w:sz w:val="20"/>
                <w:szCs w:val="20"/>
                <w:color w:val="auto"/>
              </w:rPr>
            </w:pPr>
            <w:r>
              <w:rPr>
                <w:rFonts w:ascii="Arial" w:cs="Arial" w:eastAsia="Arial" w:hAnsi="Arial"/>
                <w:sz w:val="18"/>
                <w:szCs w:val="18"/>
                <w:color w:val="auto"/>
              </w:rPr>
              <w:t>Net income</w:t>
            </w:r>
          </w:p>
        </w:tc>
        <w:tc>
          <w:tcPr>
            <w:tcW w:w="260" w:type="dxa"/>
            <w:vAlign w:val="bottom"/>
          </w:tcPr>
          <w:p>
            <w:pPr>
              <w:jc w:val="right"/>
              <w:ind w:right="71"/>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241,729</w:t>
            </w:r>
          </w:p>
        </w:tc>
        <w:tc>
          <w:tcPr>
            <w:tcW w:w="380" w:type="dxa"/>
            <w:vAlign w:val="bottom"/>
            <w:gridSpan w:val="2"/>
          </w:tcPr>
          <w:p>
            <w:pPr>
              <w:jc w:val="right"/>
              <w:ind w:right="91"/>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18,027</w:t>
            </w:r>
          </w:p>
        </w:tc>
        <w:tc>
          <w:tcPr>
            <w:tcW w:w="0" w:type="dxa"/>
            <w:vAlign w:val="bottom"/>
          </w:tcPr>
          <w:p>
            <w:pPr>
              <w:spacing w:after="0"/>
              <w:rPr>
                <w:sz w:val="1"/>
                <w:szCs w:val="1"/>
                <w:color w:val="auto"/>
              </w:rPr>
            </w:pPr>
          </w:p>
        </w:tc>
      </w:tr>
      <w:tr>
        <w:trPr>
          <w:trHeight w:val="214"/>
        </w:trPr>
        <w:tc>
          <w:tcPr>
            <w:tcW w:w="8800" w:type="dxa"/>
            <w:vAlign w:val="bottom"/>
            <w:gridSpan w:val="2"/>
          </w:tcPr>
          <w:p>
            <w:pPr>
              <w:ind w:left="16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8800" w:type="dxa"/>
            <w:vAlign w:val="bottom"/>
            <w:gridSpan w:val="2"/>
          </w:tcPr>
          <w:p>
            <w:pPr>
              <w:ind w:left="320"/>
              <w:spacing w:after="0"/>
              <w:rPr>
                <w:sz w:val="20"/>
                <w:szCs w:val="20"/>
                <w:color w:val="auto"/>
              </w:rPr>
            </w:pPr>
            <w:r>
              <w:rPr>
                <w:rFonts w:ascii="Arial" w:cs="Arial" w:eastAsia="Arial" w:hAnsi="Arial"/>
                <w:sz w:val="18"/>
                <w:szCs w:val="18"/>
                <w:color w:val="auto"/>
              </w:rPr>
              <w:t>Depreciation, amortization and accretion</w:t>
            </w:r>
          </w:p>
        </w:tc>
        <w:tc>
          <w:tcPr>
            <w:tcW w:w="260" w:type="dxa"/>
            <w:vAlign w:val="bottom"/>
          </w:tcPr>
          <w:p>
            <w:pPr>
              <w:spacing w:after="0"/>
              <w:rPr>
                <w:sz w:val="18"/>
                <w:szCs w:val="18"/>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14,574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16,511</w:t>
            </w:r>
          </w:p>
        </w:tc>
        <w:tc>
          <w:tcPr>
            <w:tcW w:w="0" w:type="dxa"/>
            <w:vAlign w:val="bottom"/>
          </w:tcPr>
          <w:p>
            <w:pPr>
              <w:spacing w:after="0"/>
              <w:rPr>
                <w:sz w:val="1"/>
                <w:szCs w:val="1"/>
                <w:color w:val="auto"/>
              </w:rPr>
            </w:pPr>
          </w:p>
        </w:tc>
      </w:tr>
      <w:tr>
        <w:trPr>
          <w:trHeight w:val="214"/>
        </w:trPr>
        <w:tc>
          <w:tcPr>
            <w:tcW w:w="8800" w:type="dxa"/>
            <w:vAlign w:val="bottom"/>
            <w:gridSpan w:val="2"/>
          </w:tcPr>
          <w:p>
            <w:pPr>
              <w:ind w:left="320"/>
              <w:spacing w:after="0"/>
              <w:rPr>
                <w:sz w:val="20"/>
                <w:szCs w:val="20"/>
                <w:color w:val="auto"/>
              </w:rPr>
            </w:pPr>
            <w:r>
              <w:rPr>
                <w:rFonts w:ascii="Arial" w:cs="Arial" w:eastAsia="Arial" w:hAnsi="Arial"/>
                <w:sz w:val="18"/>
                <w:szCs w:val="18"/>
                <w:color w:val="auto"/>
              </w:rPr>
              <w:t>Provision for loan losses</w:t>
            </w:r>
          </w:p>
        </w:tc>
        <w:tc>
          <w:tcPr>
            <w:tcW w:w="260" w:type="dxa"/>
            <w:vAlign w:val="bottom"/>
          </w:tcPr>
          <w:p>
            <w:pPr>
              <w:spacing w:after="0"/>
              <w:rPr>
                <w:sz w:val="18"/>
                <w:szCs w:val="18"/>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59,500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33,000</w:t>
            </w:r>
          </w:p>
        </w:tc>
        <w:tc>
          <w:tcPr>
            <w:tcW w:w="0" w:type="dxa"/>
            <w:vAlign w:val="bottom"/>
          </w:tcPr>
          <w:p>
            <w:pPr>
              <w:spacing w:after="0"/>
              <w:rPr>
                <w:sz w:val="1"/>
                <w:szCs w:val="1"/>
                <w:color w:val="auto"/>
              </w:rPr>
            </w:pPr>
          </w:p>
        </w:tc>
      </w:tr>
      <w:tr>
        <w:trPr>
          <w:trHeight w:val="214"/>
        </w:trPr>
        <w:tc>
          <w:tcPr>
            <w:tcW w:w="8800" w:type="dxa"/>
            <w:vAlign w:val="bottom"/>
            <w:gridSpan w:val="2"/>
          </w:tcPr>
          <w:p>
            <w:pPr>
              <w:ind w:left="320"/>
              <w:spacing w:after="0"/>
              <w:rPr>
                <w:sz w:val="20"/>
                <w:szCs w:val="20"/>
                <w:color w:val="auto"/>
              </w:rPr>
            </w:pPr>
            <w:r>
              <w:rPr>
                <w:rFonts w:ascii="Arial" w:cs="Arial" w:eastAsia="Arial" w:hAnsi="Arial"/>
                <w:sz w:val="18"/>
                <w:szCs w:val="18"/>
                <w:color w:val="auto"/>
              </w:rPr>
              <w:t>Stock based compensation</w:t>
            </w:r>
          </w:p>
        </w:tc>
        <w:tc>
          <w:tcPr>
            <w:tcW w:w="260" w:type="dxa"/>
            <w:vAlign w:val="bottom"/>
          </w:tcPr>
          <w:p>
            <w:pPr>
              <w:spacing w:after="0"/>
              <w:rPr>
                <w:sz w:val="18"/>
                <w:szCs w:val="18"/>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1,359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946</w:t>
            </w:r>
          </w:p>
        </w:tc>
        <w:tc>
          <w:tcPr>
            <w:tcW w:w="0" w:type="dxa"/>
            <w:vAlign w:val="bottom"/>
          </w:tcPr>
          <w:p>
            <w:pPr>
              <w:spacing w:after="0"/>
              <w:rPr>
                <w:sz w:val="1"/>
                <w:szCs w:val="1"/>
                <w:color w:val="auto"/>
              </w:rPr>
            </w:pPr>
          </w:p>
        </w:tc>
      </w:tr>
      <w:tr>
        <w:trPr>
          <w:trHeight w:val="214"/>
        </w:trPr>
        <w:tc>
          <w:tcPr>
            <w:tcW w:w="8800" w:type="dxa"/>
            <w:vAlign w:val="bottom"/>
            <w:gridSpan w:val="2"/>
          </w:tcPr>
          <w:p>
            <w:pPr>
              <w:ind w:left="320"/>
              <w:spacing w:after="0"/>
              <w:rPr>
                <w:sz w:val="20"/>
                <w:szCs w:val="20"/>
                <w:color w:val="auto"/>
              </w:rPr>
            </w:pPr>
            <w:r>
              <w:rPr>
                <w:rFonts w:ascii="Arial" w:cs="Arial" w:eastAsia="Arial" w:hAnsi="Arial"/>
                <w:sz w:val="18"/>
                <w:szCs w:val="18"/>
                <w:color w:val="auto"/>
              </w:rPr>
              <w:t>Deferred income tax benefit</w:t>
            </w:r>
          </w:p>
        </w:tc>
        <w:tc>
          <w:tcPr>
            <w:tcW w:w="2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(258,987)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4"/>
        </w:trPr>
        <w:tc>
          <w:tcPr>
            <w:tcW w:w="8800" w:type="dxa"/>
            <w:vAlign w:val="bottom"/>
            <w:gridSpan w:val="2"/>
          </w:tcPr>
          <w:p>
            <w:pPr>
              <w:ind w:left="320"/>
              <w:spacing w:after="0"/>
              <w:rPr>
                <w:sz w:val="20"/>
                <w:szCs w:val="20"/>
                <w:color w:val="auto"/>
              </w:rPr>
            </w:pPr>
            <w:r>
              <w:rPr>
                <w:rFonts w:ascii="Arial" w:cs="Arial" w:eastAsia="Arial" w:hAnsi="Arial"/>
                <w:sz w:val="18"/>
                <w:szCs w:val="18"/>
                <w:color w:val="auto"/>
              </w:rPr>
              <w:t>Securities gains, net</w:t>
            </w:r>
          </w:p>
        </w:tc>
        <w:tc>
          <w:tcPr>
            <w:tcW w:w="2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(7,047)</w:t>
            </w:r>
          </w:p>
        </w:tc>
        <w:tc>
          <w:tcPr>
            <w:tcW w:w="0" w:type="dxa"/>
            <w:vAlign w:val="bottom"/>
          </w:tcPr>
          <w:p>
            <w:pPr>
              <w:spacing w:after="0"/>
              <w:rPr>
                <w:sz w:val="1"/>
                <w:szCs w:val="1"/>
                <w:color w:val="auto"/>
              </w:rPr>
            </w:pPr>
          </w:p>
        </w:tc>
      </w:tr>
      <w:tr>
        <w:trPr>
          <w:trHeight w:val="214"/>
        </w:trPr>
        <w:tc>
          <w:tcPr>
            <w:tcW w:w="8800" w:type="dxa"/>
            <w:vAlign w:val="bottom"/>
            <w:gridSpan w:val="2"/>
          </w:tcPr>
          <w:p>
            <w:pPr>
              <w:ind w:left="320"/>
              <w:spacing w:after="0"/>
              <w:rPr>
                <w:sz w:val="20"/>
                <w:szCs w:val="20"/>
                <w:color w:val="auto"/>
              </w:rPr>
            </w:pPr>
            <w:r>
              <w:rPr>
                <w:rFonts w:ascii="Arial" w:cs="Arial" w:eastAsia="Arial" w:hAnsi="Arial"/>
                <w:sz w:val="18"/>
                <w:szCs w:val="18"/>
                <w:color w:val="auto"/>
              </w:rPr>
              <w:t>Losses and write downs on sales of other real estate owned</w:t>
            </w:r>
          </w:p>
        </w:tc>
        <w:tc>
          <w:tcPr>
            <w:tcW w:w="260" w:type="dxa"/>
            <w:vAlign w:val="bottom"/>
          </w:tcPr>
          <w:p>
            <w:pPr>
              <w:spacing w:after="0"/>
              <w:rPr>
                <w:sz w:val="18"/>
                <w:szCs w:val="18"/>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5,460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2,943</w:t>
            </w:r>
          </w:p>
        </w:tc>
        <w:tc>
          <w:tcPr>
            <w:tcW w:w="0" w:type="dxa"/>
            <w:vAlign w:val="bottom"/>
          </w:tcPr>
          <w:p>
            <w:pPr>
              <w:spacing w:after="0"/>
              <w:rPr>
                <w:sz w:val="1"/>
                <w:szCs w:val="1"/>
                <w:color w:val="auto"/>
              </w:rPr>
            </w:pPr>
          </w:p>
        </w:tc>
      </w:tr>
      <w:tr>
        <w:trPr>
          <w:trHeight w:val="214"/>
        </w:trPr>
        <w:tc>
          <w:tcPr>
            <w:tcW w:w="8800" w:type="dxa"/>
            <w:vAlign w:val="bottom"/>
            <w:gridSpan w:val="2"/>
          </w:tcPr>
          <w:p>
            <w:pPr>
              <w:ind w:left="320"/>
              <w:spacing w:after="0"/>
              <w:rPr>
                <w:sz w:val="20"/>
                <w:szCs w:val="20"/>
                <w:color w:val="auto"/>
              </w:rPr>
            </w:pPr>
            <w:r>
              <w:rPr>
                <w:rFonts w:ascii="Arial" w:cs="Arial" w:eastAsia="Arial" w:hAnsi="Arial"/>
                <w:sz w:val="18"/>
                <w:szCs w:val="18"/>
                <w:color w:val="auto"/>
              </w:rPr>
              <w:t>Loss on prepayment of borrowings</w:t>
            </w:r>
          </w:p>
        </w:tc>
        <w:tc>
          <w:tcPr>
            <w:tcW w:w="260" w:type="dxa"/>
            <w:vAlign w:val="bottom"/>
          </w:tcPr>
          <w:p>
            <w:pPr>
              <w:spacing w:after="0"/>
              <w:rPr>
                <w:sz w:val="18"/>
                <w:szCs w:val="18"/>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6,681</w:t>
            </w:r>
          </w:p>
        </w:tc>
        <w:tc>
          <w:tcPr>
            <w:tcW w:w="0" w:type="dxa"/>
            <w:vAlign w:val="bottom"/>
          </w:tcPr>
          <w:p>
            <w:pPr>
              <w:spacing w:after="0"/>
              <w:rPr>
                <w:sz w:val="1"/>
                <w:szCs w:val="1"/>
                <w:color w:val="auto"/>
              </w:rPr>
            </w:pPr>
          </w:p>
        </w:tc>
      </w:tr>
      <w:tr>
        <w:trPr>
          <w:trHeight w:val="214"/>
        </w:trPr>
        <w:tc>
          <w:tcPr>
            <w:tcW w:w="8800" w:type="dxa"/>
            <w:vAlign w:val="bottom"/>
            <w:gridSpan w:val="2"/>
          </w:tcPr>
          <w:p>
            <w:pPr>
              <w:ind w:left="320"/>
              <w:spacing w:after="0"/>
              <w:rPr>
                <w:sz w:val="20"/>
                <w:szCs w:val="20"/>
                <w:color w:val="auto"/>
              </w:rPr>
            </w:pPr>
            <w:r>
              <w:rPr>
                <w:rFonts w:ascii="Arial" w:cs="Arial" w:eastAsia="Arial" w:hAnsi="Arial"/>
                <w:sz w:val="18"/>
                <w:szCs w:val="18"/>
                <w:color w:val="auto"/>
              </w:rPr>
              <w:t>Changes in assets and liabilities:</w:t>
            </w: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8800" w:type="dxa"/>
            <w:vAlign w:val="bottom"/>
            <w:gridSpan w:val="2"/>
          </w:tcPr>
          <w:p>
            <w:pPr>
              <w:ind w:left="660"/>
              <w:spacing w:after="0"/>
              <w:rPr>
                <w:sz w:val="20"/>
                <w:szCs w:val="20"/>
                <w:color w:val="auto"/>
              </w:rPr>
            </w:pPr>
            <w:r>
              <w:rPr>
                <w:rFonts w:ascii="Arial" w:cs="Arial" w:eastAsia="Arial" w:hAnsi="Arial"/>
                <w:sz w:val="18"/>
                <w:szCs w:val="18"/>
                <w:color w:val="auto"/>
              </w:rPr>
              <w:t>Other assets and accrued interest receivable</w:t>
            </w:r>
          </w:p>
        </w:tc>
        <w:tc>
          <w:tcPr>
            <w:tcW w:w="260" w:type="dxa"/>
            <w:vAlign w:val="bottom"/>
          </w:tcPr>
          <w:p>
            <w:pPr>
              <w:spacing w:after="0"/>
              <w:rPr>
                <w:sz w:val="18"/>
                <w:szCs w:val="18"/>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12,872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22,783</w:t>
            </w:r>
          </w:p>
        </w:tc>
        <w:tc>
          <w:tcPr>
            <w:tcW w:w="0" w:type="dxa"/>
            <w:vAlign w:val="bottom"/>
          </w:tcPr>
          <w:p>
            <w:pPr>
              <w:spacing w:after="0"/>
              <w:rPr>
                <w:sz w:val="1"/>
                <w:szCs w:val="1"/>
                <w:color w:val="auto"/>
              </w:rPr>
            </w:pPr>
          </w:p>
        </w:tc>
      </w:tr>
      <w:tr>
        <w:trPr>
          <w:trHeight w:val="214"/>
        </w:trPr>
        <w:tc>
          <w:tcPr>
            <w:tcW w:w="8800" w:type="dxa"/>
            <w:vAlign w:val="bottom"/>
            <w:gridSpan w:val="2"/>
          </w:tcPr>
          <w:p>
            <w:pPr>
              <w:ind w:left="660"/>
              <w:spacing w:after="0"/>
              <w:rPr>
                <w:sz w:val="20"/>
                <w:szCs w:val="20"/>
                <w:color w:val="auto"/>
              </w:rPr>
            </w:pPr>
            <w:r>
              <w:rPr>
                <w:rFonts w:ascii="Arial" w:cs="Arial" w:eastAsia="Arial" w:hAnsi="Arial"/>
                <w:sz w:val="18"/>
                <w:szCs w:val="18"/>
                <w:color w:val="auto"/>
              </w:rPr>
              <w:t>Accrued expenses and other liabilities</w:t>
            </w:r>
          </w:p>
        </w:tc>
        <w:tc>
          <w:tcPr>
            <w:tcW w:w="260" w:type="dxa"/>
            <w:vAlign w:val="bottom"/>
          </w:tcPr>
          <w:p>
            <w:pPr>
              <w:spacing w:after="0"/>
              <w:rPr>
                <w:sz w:val="18"/>
                <w:szCs w:val="18"/>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19,487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(6,754)</w:t>
            </w:r>
          </w:p>
        </w:tc>
        <w:tc>
          <w:tcPr>
            <w:tcW w:w="0" w:type="dxa"/>
            <w:vAlign w:val="bottom"/>
          </w:tcPr>
          <w:p>
            <w:pPr>
              <w:spacing w:after="0"/>
              <w:rPr>
                <w:sz w:val="1"/>
                <w:szCs w:val="1"/>
                <w:color w:val="auto"/>
              </w:rPr>
            </w:pPr>
          </w:p>
        </w:tc>
      </w:tr>
      <w:tr>
        <w:trPr>
          <w:trHeight w:val="235"/>
        </w:trPr>
        <w:tc>
          <w:tcPr>
            <w:tcW w:w="8800" w:type="dxa"/>
            <w:vAlign w:val="bottom"/>
            <w:gridSpan w:val="2"/>
          </w:tcPr>
          <w:p>
            <w:pPr>
              <w:ind w:left="660"/>
              <w:spacing w:after="0"/>
              <w:rPr>
                <w:sz w:val="20"/>
                <w:szCs w:val="20"/>
                <w:color w:val="auto"/>
              </w:rPr>
            </w:pPr>
            <w:r>
              <w:rPr>
                <w:rFonts w:ascii="Arial" w:cs="Arial" w:eastAsia="Arial" w:hAnsi="Arial"/>
                <w:sz w:val="18"/>
                <w:szCs w:val="18"/>
                <w:color w:val="auto"/>
              </w:rPr>
              <w:t>Mortgage loans held for sale</w:t>
            </w:r>
          </w:p>
        </w:tc>
        <w:tc>
          <w:tcPr>
            <w:tcW w:w="2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9,671</w:t>
            </w:r>
          </w:p>
        </w:tc>
        <w:tc>
          <w:tcPr>
            <w:tcW w:w="1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5,236</w:t>
            </w:r>
          </w:p>
        </w:tc>
        <w:tc>
          <w:tcPr>
            <w:tcW w:w="0" w:type="dxa"/>
            <w:vAlign w:val="bottom"/>
          </w:tcPr>
          <w:p>
            <w:pPr>
              <w:spacing w:after="0"/>
              <w:rPr>
                <w:sz w:val="1"/>
                <w:szCs w:val="1"/>
                <w:color w:val="auto"/>
              </w:rPr>
            </w:pPr>
          </w:p>
        </w:tc>
      </w:tr>
      <w:tr>
        <w:trPr>
          <w:trHeight w:val="221"/>
        </w:trPr>
        <w:tc>
          <w:tcPr>
            <w:tcW w:w="8800" w:type="dxa"/>
            <w:vAlign w:val="bottom"/>
            <w:gridSpan w:val="2"/>
          </w:tcPr>
          <w:p>
            <w:pPr>
              <w:spacing w:after="0"/>
              <w:rPr>
                <w:sz w:val="20"/>
                <w:szCs w:val="20"/>
                <w:color w:val="auto"/>
              </w:rPr>
            </w:pPr>
            <w:r>
              <w:rPr>
                <w:rFonts w:ascii="Arial" w:cs="Arial" w:eastAsia="Arial" w:hAnsi="Arial"/>
                <w:sz w:val="18"/>
                <w:szCs w:val="18"/>
                <w:b w:val="1"/>
                <w:bCs w:val="1"/>
                <w:color w:val="auto"/>
              </w:rPr>
              <w:t>Net cash provided by operating activities</w:t>
            </w: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105,549</w:t>
            </w: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92,326</w:t>
            </w:r>
          </w:p>
        </w:tc>
        <w:tc>
          <w:tcPr>
            <w:tcW w:w="0" w:type="dxa"/>
            <w:vAlign w:val="bottom"/>
          </w:tcPr>
          <w:p>
            <w:pPr>
              <w:spacing w:after="0"/>
              <w:rPr>
                <w:sz w:val="1"/>
                <w:szCs w:val="1"/>
                <w:color w:val="auto"/>
              </w:rPr>
            </w:pPr>
          </w:p>
        </w:tc>
      </w:tr>
      <w:tr>
        <w:trPr>
          <w:trHeight w:val="414"/>
        </w:trPr>
        <w:tc>
          <w:tcPr>
            <w:tcW w:w="8800" w:type="dxa"/>
            <w:vAlign w:val="bottom"/>
            <w:gridSpan w:val="2"/>
          </w:tcPr>
          <w:p>
            <w:pPr>
              <w:spacing w:after="0"/>
              <w:rPr>
                <w:sz w:val="20"/>
                <w:szCs w:val="20"/>
                <w:color w:val="auto"/>
              </w:rPr>
            </w:pPr>
            <w:r>
              <w:rPr>
                <w:rFonts w:ascii="Arial" w:cs="Arial" w:eastAsia="Arial" w:hAnsi="Arial"/>
                <w:sz w:val="18"/>
                <w:szCs w:val="18"/>
                <w:b w:val="1"/>
                <w:bCs w:val="1"/>
                <w:color w:val="auto"/>
              </w:rPr>
              <w:t>Investing activities:</w:t>
            </w: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8800" w:type="dxa"/>
            <w:vAlign w:val="bottom"/>
            <w:gridSpan w:val="2"/>
          </w:tcPr>
          <w:p>
            <w:pPr>
              <w:ind w:left="180"/>
              <w:spacing w:after="0"/>
              <w:rPr>
                <w:sz w:val="20"/>
                <w:szCs w:val="20"/>
                <w:color w:val="auto"/>
              </w:rPr>
            </w:pPr>
            <w:r>
              <w:rPr>
                <w:rFonts w:ascii="Arial" w:cs="Arial" w:eastAsia="Arial" w:hAnsi="Arial"/>
                <w:sz w:val="18"/>
                <w:szCs w:val="18"/>
                <w:color w:val="auto"/>
              </w:rPr>
              <w:t>Investment securities held-to-maturity:</w:t>
            </w: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8800" w:type="dxa"/>
            <w:vAlign w:val="bottom"/>
            <w:gridSpan w:val="2"/>
          </w:tcPr>
          <w:p>
            <w:pPr>
              <w:ind w:left="340"/>
              <w:spacing w:after="0"/>
              <w:rPr>
                <w:sz w:val="20"/>
                <w:szCs w:val="20"/>
                <w:color w:val="auto"/>
              </w:rPr>
            </w:pPr>
            <w:r>
              <w:rPr>
                <w:rFonts w:ascii="Arial" w:cs="Arial" w:eastAsia="Arial" w:hAnsi="Arial"/>
                <w:sz w:val="18"/>
                <w:szCs w:val="18"/>
                <w:color w:val="auto"/>
              </w:rPr>
              <w:t>Proceeds from maturities and calls</w:t>
            </w:r>
          </w:p>
        </w:tc>
        <w:tc>
          <w:tcPr>
            <w:tcW w:w="260" w:type="dxa"/>
            <w:vAlign w:val="bottom"/>
          </w:tcPr>
          <w:p>
            <w:pPr>
              <w:spacing w:after="0"/>
              <w:rPr>
                <w:sz w:val="18"/>
                <w:szCs w:val="18"/>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33,141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45,741</w:t>
            </w:r>
          </w:p>
        </w:tc>
        <w:tc>
          <w:tcPr>
            <w:tcW w:w="0" w:type="dxa"/>
            <w:vAlign w:val="bottom"/>
          </w:tcPr>
          <w:p>
            <w:pPr>
              <w:spacing w:after="0"/>
              <w:rPr>
                <w:sz w:val="1"/>
                <w:szCs w:val="1"/>
                <w:color w:val="auto"/>
              </w:rPr>
            </w:pPr>
          </w:p>
        </w:tc>
      </w:tr>
      <w:tr>
        <w:trPr>
          <w:trHeight w:val="214"/>
        </w:trPr>
        <w:tc>
          <w:tcPr>
            <w:tcW w:w="8800" w:type="dxa"/>
            <w:vAlign w:val="bottom"/>
            <w:gridSpan w:val="2"/>
          </w:tcPr>
          <w:p>
            <w:pPr>
              <w:ind w:left="340"/>
              <w:spacing w:after="0"/>
              <w:rPr>
                <w:sz w:val="20"/>
                <w:szCs w:val="20"/>
                <w:color w:val="auto"/>
              </w:rPr>
            </w:pPr>
            <w:r>
              <w:rPr>
                <w:rFonts w:ascii="Arial" w:cs="Arial" w:eastAsia="Arial" w:hAnsi="Arial"/>
                <w:sz w:val="18"/>
                <w:szCs w:val="18"/>
                <w:color w:val="auto"/>
              </w:rPr>
              <w:t>Purchases</w:t>
            </w:r>
          </w:p>
        </w:tc>
        <w:tc>
          <w:tcPr>
            <w:tcW w:w="2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(4,993)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4"/>
        </w:trPr>
        <w:tc>
          <w:tcPr>
            <w:tcW w:w="8800" w:type="dxa"/>
            <w:vAlign w:val="bottom"/>
            <w:gridSpan w:val="2"/>
          </w:tcPr>
          <w:p>
            <w:pPr>
              <w:ind w:left="180"/>
              <w:spacing w:after="0"/>
              <w:rPr>
                <w:sz w:val="20"/>
                <w:szCs w:val="20"/>
                <w:color w:val="auto"/>
              </w:rPr>
            </w:pPr>
            <w:r>
              <w:rPr>
                <w:rFonts w:ascii="Arial" w:cs="Arial" w:eastAsia="Arial" w:hAnsi="Arial"/>
                <w:sz w:val="18"/>
                <w:szCs w:val="18"/>
                <w:color w:val="auto"/>
              </w:rPr>
              <w:t>Investment securities available-for-sale:</w:t>
            </w: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8800" w:type="dxa"/>
            <w:vAlign w:val="bottom"/>
            <w:gridSpan w:val="2"/>
          </w:tcPr>
          <w:p>
            <w:pPr>
              <w:ind w:left="340"/>
              <w:spacing w:after="0"/>
              <w:rPr>
                <w:sz w:val="20"/>
                <w:szCs w:val="20"/>
                <w:color w:val="auto"/>
              </w:rPr>
            </w:pPr>
            <w:r>
              <w:rPr>
                <w:rFonts w:ascii="Arial" w:cs="Arial" w:eastAsia="Arial" w:hAnsi="Arial"/>
                <w:sz w:val="18"/>
                <w:szCs w:val="18"/>
                <w:color w:val="auto"/>
              </w:rPr>
              <w:t>Proceeds from sales</w:t>
            </w:r>
          </w:p>
        </w:tc>
        <w:tc>
          <w:tcPr>
            <w:tcW w:w="260" w:type="dxa"/>
            <w:vAlign w:val="bottom"/>
          </w:tcPr>
          <w:p>
            <w:pPr>
              <w:spacing w:after="0"/>
              <w:rPr>
                <w:sz w:val="18"/>
                <w:szCs w:val="18"/>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15,751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371,103</w:t>
            </w:r>
          </w:p>
        </w:tc>
        <w:tc>
          <w:tcPr>
            <w:tcW w:w="0" w:type="dxa"/>
            <w:vAlign w:val="bottom"/>
          </w:tcPr>
          <w:p>
            <w:pPr>
              <w:spacing w:after="0"/>
              <w:rPr>
                <w:sz w:val="1"/>
                <w:szCs w:val="1"/>
                <w:color w:val="auto"/>
              </w:rPr>
            </w:pPr>
          </w:p>
        </w:tc>
      </w:tr>
      <w:tr>
        <w:trPr>
          <w:trHeight w:val="214"/>
        </w:trPr>
        <w:tc>
          <w:tcPr>
            <w:tcW w:w="8800" w:type="dxa"/>
            <w:vAlign w:val="bottom"/>
            <w:gridSpan w:val="2"/>
          </w:tcPr>
          <w:p>
            <w:pPr>
              <w:ind w:left="340"/>
              <w:spacing w:after="0"/>
              <w:rPr>
                <w:sz w:val="20"/>
                <w:szCs w:val="20"/>
                <w:color w:val="auto"/>
              </w:rPr>
            </w:pPr>
            <w:r>
              <w:rPr>
                <w:rFonts w:ascii="Arial" w:cs="Arial" w:eastAsia="Arial" w:hAnsi="Arial"/>
                <w:sz w:val="18"/>
                <w:szCs w:val="18"/>
                <w:color w:val="auto"/>
              </w:rPr>
              <w:t>Proceeds from maturities and calls</w:t>
            </w:r>
          </w:p>
        </w:tc>
        <w:tc>
          <w:tcPr>
            <w:tcW w:w="260" w:type="dxa"/>
            <w:vAlign w:val="bottom"/>
          </w:tcPr>
          <w:p>
            <w:pPr>
              <w:spacing w:after="0"/>
              <w:rPr>
                <w:sz w:val="18"/>
                <w:szCs w:val="18"/>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260,967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289,985</w:t>
            </w:r>
          </w:p>
        </w:tc>
        <w:tc>
          <w:tcPr>
            <w:tcW w:w="0" w:type="dxa"/>
            <w:vAlign w:val="bottom"/>
          </w:tcPr>
          <w:p>
            <w:pPr>
              <w:spacing w:after="0"/>
              <w:rPr>
                <w:sz w:val="1"/>
                <w:szCs w:val="1"/>
                <w:color w:val="auto"/>
              </w:rPr>
            </w:pPr>
          </w:p>
        </w:tc>
      </w:tr>
      <w:tr>
        <w:trPr>
          <w:trHeight w:val="214"/>
        </w:trPr>
        <w:tc>
          <w:tcPr>
            <w:tcW w:w="8800" w:type="dxa"/>
            <w:vAlign w:val="bottom"/>
            <w:gridSpan w:val="2"/>
          </w:tcPr>
          <w:p>
            <w:pPr>
              <w:ind w:left="340"/>
              <w:spacing w:after="0"/>
              <w:rPr>
                <w:sz w:val="20"/>
                <w:szCs w:val="20"/>
                <w:color w:val="auto"/>
              </w:rPr>
            </w:pPr>
            <w:r>
              <w:rPr>
                <w:rFonts w:ascii="Arial" w:cs="Arial" w:eastAsia="Arial" w:hAnsi="Arial"/>
                <w:sz w:val="18"/>
                <w:szCs w:val="18"/>
                <w:color w:val="auto"/>
              </w:rPr>
              <w:t>Purchases</w:t>
            </w:r>
          </w:p>
        </w:tc>
        <w:tc>
          <w:tcPr>
            <w:tcW w:w="2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(397,907)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(580,652)</w:t>
            </w:r>
          </w:p>
        </w:tc>
        <w:tc>
          <w:tcPr>
            <w:tcW w:w="0" w:type="dxa"/>
            <w:vAlign w:val="bottom"/>
          </w:tcPr>
          <w:p>
            <w:pPr>
              <w:spacing w:after="0"/>
              <w:rPr>
                <w:sz w:val="1"/>
                <w:szCs w:val="1"/>
                <w:color w:val="auto"/>
              </w:rPr>
            </w:pPr>
          </w:p>
        </w:tc>
      </w:tr>
      <w:tr>
        <w:trPr>
          <w:trHeight w:val="214"/>
        </w:trPr>
        <w:tc>
          <w:tcPr>
            <w:tcW w:w="8800" w:type="dxa"/>
            <w:vAlign w:val="bottom"/>
            <w:gridSpan w:val="2"/>
          </w:tcPr>
          <w:p>
            <w:pPr>
              <w:ind w:left="180"/>
              <w:spacing w:after="0"/>
              <w:rPr>
                <w:sz w:val="20"/>
                <w:szCs w:val="20"/>
                <w:color w:val="auto"/>
              </w:rPr>
            </w:pPr>
            <w:r>
              <w:rPr>
                <w:rFonts w:ascii="Arial" w:cs="Arial" w:eastAsia="Arial" w:hAnsi="Arial"/>
                <w:sz w:val="18"/>
                <w:szCs w:val="18"/>
                <w:color w:val="auto"/>
              </w:rPr>
              <w:t>Net increase in loans</w:t>
            </w:r>
          </w:p>
        </w:tc>
        <w:tc>
          <w:tcPr>
            <w:tcW w:w="2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(203,903)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(58,765)</w:t>
            </w:r>
          </w:p>
        </w:tc>
        <w:tc>
          <w:tcPr>
            <w:tcW w:w="0" w:type="dxa"/>
            <w:vAlign w:val="bottom"/>
          </w:tcPr>
          <w:p>
            <w:pPr>
              <w:spacing w:after="0"/>
              <w:rPr>
                <w:sz w:val="1"/>
                <w:szCs w:val="1"/>
                <w:color w:val="auto"/>
              </w:rPr>
            </w:pPr>
          </w:p>
        </w:tc>
      </w:tr>
      <w:tr>
        <w:trPr>
          <w:trHeight w:val="214"/>
        </w:trPr>
        <w:tc>
          <w:tcPr>
            <w:tcW w:w="8800" w:type="dxa"/>
            <w:vAlign w:val="bottom"/>
            <w:gridSpan w:val="2"/>
          </w:tcPr>
          <w:p>
            <w:pPr>
              <w:ind w:left="180"/>
              <w:spacing w:after="0"/>
              <w:rPr>
                <w:sz w:val="20"/>
                <w:szCs w:val="20"/>
                <w:color w:val="auto"/>
              </w:rPr>
            </w:pPr>
            <w:r>
              <w:rPr>
                <w:rFonts w:ascii="Arial" w:cs="Arial" w:eastAsia="Arial" w:hAnsi="Arial"/>
                <w:sz w:val="18"/>
                <w:szCs w:val="18"/>
                <w:color w:val="auto"/>
              </w:rPr>
              <w:t>Proceeds from note sales</w:t>
            </w:r>
          </w:p>
        </w:tc>
        <w:tc>
          <w:tcPr>
            <w:tcW w:w="260" w:type="dxa"/>
            <w:vAlign w:val="bottom"/>
          </w:tcPr>
          <w:p>
            <w:pPr>
              <w:spacing w:after="0"/>
              <w:rPr>
                <w:sz w:val="18"/>
                <w:szCs w:val="18"/>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91,913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4"/>
        </w:trPr>
        <w:tc>
          <w:tcPr>
            <w:tcW w:w="8800" w:type="dxa"/>
            <w:vAlign w:val="bottom"/>
            <w:gridSpan w:val="2"/>
          </w:tcPr>
          <w:p>
            <w:pPr>
              <w:ind w:left="180"/>
              <w:spacing w:after="0"/>
              <w:rPr>
                <w:sz w:val="20"/>
                <w:szCs w:val="20"/>
                <w:color w:val="auto"/>
              </w:rPr>
            </w:pPr>
            <w:r>
              <w:rPr>
                <w:rFonts w:ascii="Arial" w:cs="Arial" w:eastAsia="Arial" w:hAnsi="Arial"/>
                <w:sz w:val="18"/>
                <w:szCs w:val="18"/>
                <w:color w:val="auto"/>
              </w:rPr>
              <w:t>Collections from FDIC under loss sharing agreements</w:t>
            </w:r>
          </w:p>
        </w:tc>
        <w:tc>
          <w:tcPr>
            <w:tcW w:w="260" w:type="dxa"/>
            <w:vAlign w:val="bottom"/>
          </w:tcPr>
          <w:p>
            <w:pPr>
              <w:spacing w:after="0"/>
              <w:rPr>
                <w:sz w:val="18"/>
                <w:szCs w:val="18"/>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3,714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5,054</w:t>
            </w:r>
          </w:p>
        </w:tc>
        <w:tc>
          <w:tcPr>
            <w:tcW w:w="0" w:type="dxa"/>
            <w:vAlign w:val="bottom"/>
          </w:tcPr>
          <w:p>
            <w:pPr>
              <w:spacing w:after="0"/>
              <w:rPr>
                <w:sz w:val="1"/>
                <w:szCs w:val="1"/>
                <w:color w:val="auto"/>
              </w:rPr>
            </w:pPr>
          </w:p>
        </w:tc>
      </w:tr>
      <w:tr>
        <w:trPr>
          <w:trHeight w:val="214"/>
        </w:trPr>
        <w:tc>
          <w:tcPr>
            <w:tcW w:w="8800" w:type="dxa"/>
            <w:vAlign w:val="bottom"/>
            <w:gridSpan w:val="2"/>
          </w:tcPr>
          <w:p>
            <w:pPr>
              <w:ind w:left="180"/>
              <w:spacing w:after="0"/>
              <w:rPr>
                <w:sz w:val="20"/>
                <w:szCs w:val="20"/>
                <w:color w:val="auto"/>
              </w:rPr>
            </w:pPr>
            <w:r>
              <w:rPr>
                <w:rFonts w:ascii="Arial" w:cs="Arial" w:eastAsia="Arial" w:hAnsi="Arial"/>
                <w:sz w:val="18"/>
                <w:szCs w:val="18"/>
                <w:color w:val="auto"/>
              </w:rPr>
              <w:t>Proceeds from sales of premises and equipment</w:t>
            </w:r>
          </w:p>
        </w:tc>
        <w:tc>
          <w:tcPr>
            <w:tcW w:w="260" w:type="dxa"/>
            <w:vAlign w:val="bottom"/>
          </w:tcPr>
          <w:p>
            <w:pPr>
              <w:spacing w:after="0"/>
              <w:rPr>
                <w:sz w:val="18"/>
                <w:szCs w:val="18"/>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1,547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664</w:t>
            </w:r>
          </w:p>
        </w:tc>
        <w:tc>
          <w:tcPr>
            <w:tcW w:w="0" w:type="dxa"/>
            <w:vAlign w:val="bottom"/>
          </w:tcPr>
          <w:p>
            <w:pPr>
              <w:spacing w:after="0"/>
              <w:rPr>
                <w:sz w:val="1"/>
                <w:szCs w:val="1"/>
                <w:color w:val="auto"/>
              </w:rPr>
            </w:pPr>
          </w:p>
        </w:tc>
      </w:tr>
      <w:tr>
        <w:trPr>
          <w:trHeight w:val="214"/>
        </w:trPr>
        <w:tc>
          <w:tcPr>
            <w:tcW w:w="8800" w:type="dxa"/>
            <w:vAlign w:val="bottom"/>
            <w:gridSpan w:val="2"/>
          </w:tcPr>
          <w:p>
            <w:pPr>
              <w:ind w:left="180"/>
              <w:spacing w:after="0"/>
              <w:rPr>
                <w:sz w:val="20"/>
                <w:szCs w:val="20"/>
                <w:color w:val="auto"/>
              </w:rPr>
            </w:pPr>
            <w:r>
              <w:rPr>
                <w:rFonts w:ascii="Arial" w:cs="Arial" w:eastAsia="Arial" w:hAnsi="Arial"/>
                <w:sz w:val="18"/>
                <w:szCs w:val="18"/>
                <w:color w:val="auto"/>
              </w:rPr>
              <w:t>Purchases of premises and equipment</w:t>
            </w:r>
          </w:p>
        </w:tc>
        <w:tc>
          <w:tcPr>
            <w:tcW w:w="2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(4,488)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(2,581)</w:t>
            </w:r>
          </w:p>
        </w:tc>
        <w:tc>
          <w:tcPr>
            <w:tcW w:w="0" w:type="dxa"/>
            <w:vAlign w:val="bottom"/>
          </w:tcPr>
          <w:p>
            <w:pPr>
              <w:spacing w:after="0"/>
              <w:rPr>
                <w:sz w:val="1"/>
                <w:szCs w:val="1"/>
                <w:color w:val="auto"/>
              </w:rPr>
            </w:pPr>
          </w:p>
        </w:tc>
      </w:tr>
      <w:tr>
        <w:trPr>
          <w:trHeight w:val="235"/>
        </w:trPr>
        <w:tc>
          <w:tcPr>
            <w:tcW w:w="8800" w:type="dxa"/>
            <w:vAlign w:val="bottom"/>
            <w:gridSpan w:val="2"/>
          </w:tcPr>
          <w:p>
            <w:pPr>
              <w:ind w:left="180"/>
              <w:spacing w:after="0"/>
              <w:rPr>
                <w:sz w:val="20"/>
                <w:szCs w:val="20"/>
                <w:color w:val="auto"/>
              </w:rPr>
            </w:pPr>
            <w:r>
              <w:rPr>
                <w:rFonts w:ascii="Arial" w:cs="Arial" w:eastAsia="Arial" w:hAnsi="Arial"/>
                <w:sz w:val="18"/>
                <w:szCs w:val="18"/>
                <w:color w:val="auto"/>
              </w:rPr>
              <w:t>Proceeds from sale of other real estate</w:t>
            </w:r>
          </w:p>
        </w:tc>
        <w:tc>
          <w:tcPr>
            <w:tcW w:w="2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21,815</w:t>
            </w:r>
          </w:p>
        </w:tc>
        <w:tc>
          <w:tcPr>
            <w:tcW w:w="1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14,620</w:t>
            </w:r>
          </w:p>
        </w:tc>
        <w:tc>
          <w:tcPr>
            <w:tcW w:w="0" w:type="dxa"/>
            <w:vAlign w:val="bottom"/>
          </w:tcPr>
          <w:p>
            <w:pPr>
              <w:spacing w:after="0"/>
              <w:rPr>
                <w:sz w:val="1"/>
                <w:szCs w:val="1"/>
                <w:color w:val="auto"/>
              </w:rPr>
            </w:pPr>
          </w:p>
        </w:tc>
      </w:tr>
      <w:tr>
        <w:trPr>
          <w:trHeight w:val="221"/>
        </w:trPr>
        <w:tc>
          <w:tcPr>
            <w:tcW w:w="8800" w:type="dxa"/>
            <w:vAlign w:val="bottom"/>
            <w:gridSpan w:val="2"/>
          </w:tcPr>
          <w:p>
            <w:pPr>
              <w:spacing w:after="0"/>
              <w:rPr>
                <w:sz w:val="20"/>
                <w:szCs w:val="20"/>
                <w:color w:val="auto"/>
              </w:rPr>
            </w:pPr>
            <w:r>
              <w:rPr>
                <w:rFonts w:ascii="Arial" w:cs="Arial" w:eastAsia="Arial" w:hAnsi="Arial"/>
                <w:sz w:val="18"/>
                <w:szCs w:val="18"/>
                <w:b w:val="1"/>
                <w:bCs w:val="1"/>
                <w:color w:val="auto"/>
              </w:rPr>
              <w:t>Net cash (used in) provided by investing activities</w:t>
            </w: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(182,443)</w:t>
            </w: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85,169</w:t>
            </w:r>
          </w:p>
        </w:tc>
        <w:tc>
          <w:tcPr>
            <w:tcW w:w="0" w:type="dxa"/>
            <w:vAlign w:val="bottom"/>
          </w:tcPr>
          <w:p>
            <w:pPr>
              <w:spacing w:after="0"/>
              <w:rPr>
                <w:sz w:val="1"/>
                <w:szCs w:val="1"/>
                <w:color w:val="auto"/>
              </w:rPr>
            </w:pPr>
          </w:p>
        </w:tc>
      </w:tr>
      <w:tr>
        <w:trPr>
          <w:trHeight w:val="414"/>
        </w:trPr>
        <w:tc>
          <w:tcPr>
            <w:tcW w:w="8800" w:type="dxa"/>
            <w:vAlign w:val="bottom"/>
            <w:gridSpan w:val="2"/>
          </w:tcPr>
          <w:p>
            <w:pPr>
              <w:spacing w:after="0"/>
              <w:rPr>
                <w:sz w:val="20"/>
                <w:szCs w:val="20"/>
                <w:color w:val="auto"/>
              </w:rPr>
            </w:pPr>
            <w:r>
              <w:rPr>
                <w:rFonts w:ascii="Arial" w:cs="Arial" w:eastAsia="Arial" w:hAnsi="Arial"/>
                <w:sz w:val="18"/>
                <w:szCs w:val="18"/>
                <w:b w:val="1"/>
                <w:bCs w:val="1"/>
                <w:color w:val="auto"/>
              </w:rPr>
              <w:t>Financing activities:</w:t>
            </w: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8800" w:type="dxa"/>
            <w:vAlign w:val="bottom"/>
            <w:gridSpan w:val="2"/>
          </w:tcPr>
          <w:p>
            <w:pPr>
              <w:ind w:left="180"/>
              <w:spacing w:after="0"/>
              <w:rPr>
                <w:sz w:val="20"/>
                <w:szCs w:val="20"/>
                <w:color w:val="auto"/>
              </w:rPr>
            </w:pPr>
            <w:r>
              <w:rPr>
                <w:rFonts w:ascii="Arial" w:cs="Arial" w:eastAsia="Arial" w:hAnsi="Arial"/>
                <w:sz w:val="18"/>
                <w:szCs w:val="18"/>
                <w:color w:val="auto"/>
              </w:rPr>
              <w:t>Net change in deposits</w:t>
            </w:r>
          </w:p>
        </w:tc>
        <w:tc>
          <w:tcPr>
            <w:tcW w:w="260" w:type="dxa"/>
            <w:vAlign w:val="bottom"/>
          </w:tcPr>
          <w:p>
            <w:pPr>
              <w:spacing w:after="0"/>
              <w:rPr>
                <w:sz w:val="18"/>
                <w:szCs w:val="18"/>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59,689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(275,516)</w:t>
            </w:r>
          </w:p>
        </w:tc>
        <w:tc>
          <w:tcPr>
            <w:tcW w:w="0" w:type="dxa"/>
            <w:vAlign w:val="bottom"/>
          </w:tcPr>
          <w:p>
            <w:pPr>
              <w:spacing w:after="0"/>
              <w:rPr>
                <w:sz w:val="1"/>
                <w:szCs w:val="1"/>
                <w:color w:val="auto"/>
              </w:rPr>
            </w:pPr>
          </w:p>
        </w:tc>
      </w:tr>
      <w:tr>
        <w:trPr>
          <w:trHeight w:val="214"/>
        </w:trPr>
        <w:tc>
          <w:tcPr>
            <w:tcW w:w="8800" w:type="dxa"/>
            <w:vAlign w:val="bottom"/>
            <w:gridSpan w:val="2"/>
          </w:tcPr>
          <w:p>
            <w:pPr>
              <w:ind w:left="180"/>
              <w:spacing w:after="0"/>
              <w:rPr>
                <w:sz w:val="20"/>
                <w:szCs w:val="20"/>
                <w:color w:val="auto"/>
              </w:rPr>
            </w:pPr>
            <w:r>
              <w:rPr>
                <w:rFonts w:ascii="Arial" w:cs="Arial" w:eastAsia="Arial" w:hAnsi="Arial"/>
                <w:sz w:val="18"/>
                <w:szCs w:val="18"/>
                <w:color w:val="auto"/>
              </w:rPr>
              <w:t>Net change in short-term borrowings</w:t>
            </w:r>
          </w:p>
        </w:tc>
        <w:tc>
          <w:tcPr>
            <w:tcW w:w="260" w:type="dxa"/>
            <w:vAlign w:val="bottom"/>
          </w:tcPr>
          <w:p>
            <w:pPr>
              <w:spacing w:after="0"/>
              <w:rPr>
                <w:sz w:val="18"/>
                <w:szCs w:val="18"/>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1,589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(53,401)</w:t>
            </w:r>
          </w:p>
        </w:tc>
        <w:tc>
          <w:tcPr>
            <w:tcW w:w="0" w:type="dxa"/>
            <w:vAlign w:val="bottom"/>
          </w:tcPr>
          <w:p>
            <w:pPr>
              <w:spacing w:after="0"/>
              <w:rPr>
                <w:sz w:val="1"/>
                <w:szCs w:val="1"/>
                <w:color w:val="auto"/>
              </w:rPr>
            </w:pPr>
          </w:p>
        </w:tc>
      </w:tr>
      <w:tr>
        <w:trPr>
          <w:trHeight w:val="214"/>
        </w:trPr>
        <w:tc>
          <w:tcPr>
            <w:tcW w:w="8800" w:type="dxa"/>
            <w:vAlign w:val="bottom"/>
            <w:gridSpan w:val="2"/>
          </w:tcPr>
          <w:p>
            <w:pPr>
              <w:ind w:left="180"/>
              <w:spacing w:after="0"/>
              <w:rPr>
                <w:sz w:val="20"/>
                <w:szCs w:val="20"/>
                <w:color w:val="auto"/>
              </w:rPr>
            </w:pPr>
            <w:r>
              <w:rPr>
                <w:rFonts w:ascii="Arial" w:cs="Arial" w:eastAsia="Arial" w:hAnsi="Arial"/>
                <w:sz w:val="18"/>
                <w:szCs w:val="18"/>
                <w:color w:val="auto"/>
              </w:rPr>
              <w:t>Proceeds from Federal Home Loan Bank advances</w:t>
            </w:r>
          </w:p>
        </w:tc>
        <w:tc>
          <w:tcPr>
            <w:tcW w:w="260" w:type="dxa"/>
            <w:vAlign w:val="bottom"/>
          </w:tcPr>
          <w:p>
            <w:pPr>
              <w:spacing w:after="0"/>
              <w:rPr>
                <w:sz w:val="18"/>
                <w:szCs w:val="18"/>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485,000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1,489,000</w:t>
            </w:r>
          </w:p>
        </w:tc>
        <w:tc>
          <w:tcPr>
            <w:tcW w:w="0" w:type="dxa"/>
            <w:vAlign w:val="bottom"/>
          </w:tcPr>
          <w:p>
            <w:pPr>
              <w:spacing w:after="0"/>
              <w:rPr>
                <w:sz w:val="1"/>
                <w:szCs w:val="1"/>
                <w:color w:val="auto"/>
              </w:rPr>
            </w:pPr>
          </w:p>
        </w:tc>
      </w:tr>
      <w:tr>
        <w:trPr>
          <w:trHeight w:val="214"/>
        </w:trPr>
        <w:tc>
          <w:tcPr>
            <w:tcW w:w="8800" w:type="dxa"/>
            <w:vAlign w:val="bottom"/>
            <w:gridSpan w:val="2"/>
          </w:tcPr>
          <w:p>
            <w:pPr>
              <w:ind w:left="180"/>
              <w:spacing w:after="0"/>
              <w:rPr>
                <w:sz w:val="20"/>
                <w:szCs w:val="20"/>
                <w:color w:val="auto"/>
              </w:rPr>
            </w:pPr>
            <w:r>
              <w:rPr>
                <w:rFonts w:ascii="Arial" w:cs="Arial" w:eastAsia="Arial" w:hAnsi="Arial"/>
                <w:sz w:val="18"/>
                <w:szCs w:val="18"/>
                <w:color w:val="auto"/>
              </w:rPr>
              <w:t>Settlement of Federal Home Loan Bank advances</w:t>
            </w:r>
          </w:p>
        </w:tc>
        <w:tc>
          <w:tcPr>
            <w:tcW w:w="2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(455,000)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w w:val="97"/>
              </w:rPr>
              <w:t>(1,406,701)</w:t>
            </w:r>
          </w:p>
        </w:tc>
        <w:tc>
          <w:tcPr>
            <w:tcW w:w="0" w:type="dxa"/>
            <w:vAlign w:val="bottom"/>
          </w:tcPr>
          <w:p>
            <w:pPr>
              <w:spacing w:after="0"/>
              <w:rPr>
                <w:sz w:val="1"/>
                <w:szCs w:val="1"/>
                <w:color w:val="auto"/>
              </w:rPr>
            </w:pPr>
          </w:p>
        </w:tc>
      </w:tr>
      <w:tr>
        <w:trPr>
          <w:trHeight w:val="214"/>
        </w:trPr>
        <w:tc>
          <w:tcPr>
            <w:tcW w:w="8800" w:type="dxa"/>
            <w:vAlign w:val="bottom"/>
            <w:gridSpan w:val="2"/>
          </w:tcPr>
          <w:p>
            <w:pPr>
              <w:ind w:left="180"/>
              <w:spacing w:after="0"/>
              <w:rPr>
                <w:sz w:val="20"/>
                <w:szCs w:val="20"/>
                <w:color w:val="auto"/>
              </w:rPr>
            </w:pPr>
            <w:r>
              <w:rPr>
                <w:rFonts w:ascii="Arial" w:cs="Arial" w:eastAsia="Arial" w:hAnsi="Arial"/>
                <w:sz w:val="18"/>
                <w:szCs w:val="18"/>
                <w:color w:val="auto"/>
              </w:rPr>
              <w:t>Proceeds from issuance of common stock for dividend reinvestment and employee benefit plans</w:t>
            </w:r>
          </w:p>
        </w:tc>
        <w:tc>
          <w:tcPr>
            <w:tcW w:w="260" w:type="dxa"/>
            <w:vAlign w:val="bottom"/>
          </w:tcPr>
          <w:p>
            <w:pPr>
              <w:spacing w:after="0"/>
              <w:rPr>
                <w:sz w:val="18"/>
                <w:szCs w:val="18"/>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383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501</w:t>
            </w:r>
          </w:p>
        </w:tc>
        <w:tc>
          <w:tcPr>
            <w:tcW w:w="0" w:type="dxa"/>
            <w:vAlign w:val="bottom"/>
          </w:tcPr>
          <w:p>
            <w:pPr>
              <w:spacing w:after="0"/>
              <w:rPr>
                <w:sz w:val="1"/>
                <w:szCs w:val="1"/>
                <w:color w:val="auto"/>
              </w:rPr>
            </w:pPr>
          </w:p>
        </w:tc>
      </w:tr>
      <w:tr>
        <w:trPr>
          <w:trHeight w:val="235"/>
        </w:trPr>
        <w:tc>
          <w:tcPr>
            <w:tcW w:w="8800" w:type="dxa"/>
            <w:vAlign w:val="bottom"/>
            <w:gridSpan w:val="2"/>
          </w:tcPr>
          <w:p>
            <w:pPr>
              <w:ind w:left="180"/>
              <w:spacing w:after="0"/>
              <w:rPr>
                <w:sz w:val="20"/>
                <w:szCs w:val="20"/>
                <w:color w:val="auto"/>
              </w:rPr>
            </w:pPr>
            <w:r>
              <w:rPr>
                <w:rFonts w:ascii="Arial" w:cs="Arial" w:eastAsia="Arial" w:hAnsi="Arial"/>
                <w:sz w:val="18"/>
                <w:szCs w:val="18"/>
                <w:color w:val="auto"/>
              </w:rPr>
              <w:t>Cash dividends on preferred stock</w:t>
            </w:r>
          </w:p>
        </w:tc>
        <w:tc>
          <w:tcPr>
            <w:tcW w:w="2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(5,336)</w:t>
            </w:r>
          </w:p>
        </w:tc>
        <w:tc>
          <w:tcPr>
            <w:tcW w:w="1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(5,341)</w:t>
            </w:r>
          </w:p>
        </w:tc>
        <w:tc>
          <w:tcPr>
            <w:tcW w:w="0" w:type="dxa"/>
            <w:vAlign w:val="bottom"/>
          </w:tcPr>
          <w:p>
            <w:pPr>
              <w:spacing w:after="0"/>
              <w:rPr>
                <w:sz w:val="1"/>
                <w:szCs w:val="1"/>
                <w:color w:val="auto"/>
              </w:rPr>
            </w:pPr>
          </w:p>
        </w:tc>
      </w:tr>
      <w:tr>
        <w:trPr>
          <w:trHeight w:val="221"/>
        </w:trPr>
        <w:tc>
          <w:tcPr>
            <w:tcW w:w="8800" w:type="dxa"/>
            <w:vAlign w:val="bottom"/>
            <w:gridSpan w:val="2"/>
          </w:tcPr>
          <w:p>
            <w:pPr>
              <w:spacing w:after="0"/>
              <w:rPr>
                <w:sz w:val="20"/>
                <w:szCs w:val="20"/>
                <w:color w:val="auto"/>
              </w:rPr>
            </w:pPr>
            <w:r>
              <w:rPr>
                <w:rFonts w:ascii="Arial" w:cs="Arial" w:eastAsia="Arial" w:hAnsi="Arial"/>
                <w:sz w:val="18"/>
                <w:szCs w:val="18"/>
                <w:b w:val="1"/>
                <w:bCs w:val="1"/>
                <w:color w:val="auto"/>
              </w:rPr>
              <w:t>Net cash provided by (used in) financing activities</w:t>
            </w: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86,325</w:t>
            </w: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(251,458)</w:t>
            </w:r>
          </w:p>
        </w:tc>
        <w:tc>
          <w:tcPr>
            <w:tcW w:w="0" w:type="dxa"/>
            <w:vAlign w:val="bottom"/>
          </w:tcPr>
          <w:p>
            <w:pPr>
              <w:spacing w:after="0"/>
              <w:rPr>
                <w:sz w:val="1"/>
                <w:szCs w:val="1"/>
                <w:color w:val="auto"/>
              </w:rPr>
            </w:pPr>
          </w:p>
        </w:tc>
      </w:tr>
      <w:tr>
        <w:trPr>
          <w:trHeight w:val="200"/>
        </w:trPr>
        <w:tc>
          <w:tcPr>
            <w:tcW w:w="8800" w:type="dxa"/>
            <w:vAlign w:val="bottom"/>
            <w:gridSpan w:val="2"/>
          </w:tcPr>
          <w:p>
            <w:pPr>
              <w:spacing w:after="0" w:line="200" w:lineRule="exact"/>
              <w:rPr>
                <w:sz w:val="20"/>
                <w:szCs w:val="20"/>
                <w:color w:val="auto"/>
              </w:rPr>
            </w:pPr>
            <w:r>
              <w:rPr>
                <w:rFonts w:ascii="Arial" w:cs="Arial" w:eastAsia="Arial" w:hAnsi="Arial"/>
                <w:sz w:val="18"/>
                <w:szCs w:val="18"/>
                <w:b w:val="1"/>
                <w:bCs w:val="1"/>
                <w:color w:val="auto"/>
              </w:rPr>
              <w:t>Net change in cash and cash equivalents</w:t>
            </w:r>
          </w:p>
        </w:tc>
        <w:tc>
          <w:tcPr>
            <w:tcW w:w="260" w:type="dxa"/>
            <w:vAlign w:val="bottom"/>
          </w:tcPr>
          <w:p>
            <w:pPr>
              <w:spacing w:after="0"/>
              <w:rPr>
                <w:sz w:val="17"/>
                <w:szCs w:val="17"/>
                <w:color w:val="auto"/>
              </w:rPr>
            </w:pPr>
          </w:p>
        </w:tc>
        <w:tc>
          <w:tcPr>
            <w:tcW w:w="1020" w:type="dxa"/>
            <w:vAlign w:val="bottom"/>
          </w:tcPr>
          <w:p>
            <w:pPr>
              <w:jc w:val="right"/>
              <w:ind w:right="31"/>
              <w:spacing w:after="0" w:line="200" w:lineRule="exact"/>
              <w:rPr>
                <w:sz w:val="20"/>
                <w:szCs w:val="20"/>
                <w:color w:val="auto"/>
              </w:rPr>
            </w:pPr>
            <w:r>
              <w:rPr>
                <w:rFonts w:ascii="Arial" w:cs="Arial" w:eastAsia="Arial" w:hAnsi="Arial"/>
                <w:sz w:val="18"/>
                <w:szCs w:val="18"/>
                <w:color w:val="auto"/>
              </w:rPr>
              <w:t>9,431</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spacing w:after="0" w:line="200" w:lineRule="exact"/>
              <w:rPr>
                <w:sz w:val="20"/>
                <w:szCs w:val="20"/>
                <w:color w:val="auto"/>
              </w:rPr>
            </w:pPr>
            <w:r>
              <w:rPr>
                <w:rFonts w:ascii="Arial" w:cs="Arial" w:eastAsia="Arial" w:hAnsi="Arial"/>
                <w:sz w:val="18"/>
                <w:szCs w:val="18"/>
                <w:color w:val="auto"/>
              </w:rPr>
              <w:t>(73,963)</w:t>
            </w:r>
          </w:p>
        </w:tc>
        <w:tc>
          <w:tcPr>
            <w:tcW w:w="0" w:type="dxa"/>
            <w:vAlign w:val="bottom"/>
          </w:tcPr>
          <w:p>
            <w:pPr>
              <w:spacing w:after="0"/>
              <w:rPr>
                <w:sz w:val="1"/>
                <w:szCs w:val="1"/>
                <w:color w:val="auto"/>
              </w:rPr>
            </w:pPr>
          </w:p>
        </w:tc>
      </w:tr>
      <w:tr>
        <w:trPr>
          <w:trHeight w:val="235"/>
        </w:trPr>
        <w:tc>
          <w:tcPr>
            <w:tcW w:w="8800" w:type="dxa"/>
            <w:vAlign w:val="bottom"/>
            <w:gridSpan w:val="2"/>
          </w:tcPr>
          <w:p>
            <w:pPr>
              <w:ind w:left="180"/>
              <w:spacing w:after="0"/>
              <w:rPr>
                <w:sz w:val="20"/>
                <w:szCs w:val="20"/>
                <w:color w:val="auto"/>
              </w:rPr>
            </w:pPr>
            <w:r>
              <w:rPr>
                <w:rFonts w:ascii="Arial" w:cs="Arial" w:eastAsia="Arial" w:hAnsi="Arial"/>
                <w:sz w:val="18"/>
                <w:szCs w:val="18"/>
                <w:color w:val="auto"/>
              </w:rPr>
              <w:t>Cash and cash equivalents at beginning of period</w:t>
            </w:r>
          </w:p>
        </w:tc>
        <w:tc>
          <w:tcPr>
            <w:tcW w:w="2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251,149</w:t>
            </w:r>
          </w:p>
        </w:tc>
        <w:tc>
          <w:tcPr>
            <w:tcW w:w="1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378,416</w:t>
            </w:r>
          </w:p>
        </w:tc>
        <w:tc>
          <w:tcPr>
            <w:tcW w:w="0" w:type="dxa"/>
            <w:vAlign w:val="bottom"/>
          </w:tcPr>
          <w:p>
            <w:pPr>
              <w:spacing w:after="0"/>
              <w:rPr>
                <w:sz w:val="1"/>
                <w:szCs w:val="1"/>
                <w:color w:val="auto"/>
              </w:rPr>
            </w:pPr>
          </w:p>
        </w:tc>
      </w:tr>
      <w:tr>
        <w:trPr>
          <w:trHeight w:val="214"/>
        </w:trPr>
        <w:tc>
          <w:tcPr>
            <w:tcW w:w="8800" w:type="dxa"/>
            <w:vAlign w:val="bottom"/>
            <w:gridSpan w:val="2"/>
          </w:tcPr>
          <w:p>
            <w:pPr>
              <w:spacing w:after="0"/>
              <w:rPr>
                <w:sz w:val="20"/>
                <w:szCs w:val="20"/>
                <w:color w:val="auto"/>
              </w:rPr>
            </w:pPr>
            <w:r>
              <w:rPr>
                <w:rFonts w:ascii="Arial" w:cs="Arial" w:eastAsia="Arial" w:hAnsi="Arial"/>
                <w:sz w:val="18"/>
                <w:szCs w:val="18"/>
                <w:b w:val="1"/>
                <w:bCs w:val="1"/>
                <w:color w:val="auto"/>
              </w:rPr>
              <w:t>Cash and cash equivalents at end of period</w:t>
            </w:r>
          </w:p>
        </w:tc>
        <w:tc>
          <w:tcPr>
            <w:tcW w:w="26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260,580</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304,453</w:t>
            </w:r>
          </w:p>
        </w:tc>
        <w:tc>
          <w:tcPr>
            <w:tcW w:w="0" w:type="dxa"/>
            <w:vAlign w:val="bottom"/>
          </w:tcPr>
          <w:p>
            <w:pPr>
              <w:spacing w:after="0"/>
              <w:rPr>
                <w:sz w:val="1"/>
                <w:szCs w:val="1"/>
                <w:color w:val="auto"/>
              </w:rPr>
            </w:pPr>
          </w:p>
        </w:tc>
      </w:tr>
      <w:tr>
        <w:trPr>
          <w:trHeight w:val="20"/>
        </w:trPr>
        <w:tc>
          <w:tcPr>
            <w:tcW w:w="88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Supplemental disclosures of cash flow information:</w:t>
            </w: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08"/>
        </w:trPr>
        <w:tc>
          <w:tcPr>
            <w:tcW w:w="8800" w:type="dxa"/>
            <w:vAlign w:val="bottom"/>
            <w:gridSpan w:val="2"/>
            <w:vMerge w:val="continue"/>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8800" w:type="dxa"/>
            <w:vAlign w:val="bottom"/>
            <w:gridSpan w:val="2"/>
          </w:tcPr>
          <w:p>
            <w:pPr>
              <w:ind w:left="280"/>
              <w:spacing w:after="0"/>
              <w:rPr>
                <w:sz w:val="20"/>
                <w:szCs w:val="20"/>
                <w:color w:val="auto"/>
              </w:rPr>
            </w:pPr>
            <w:r>
              <w:rPr>
                <w:rFonts w:ascii="Arial" w:cs="Arial" w:eastAsia="Arial" w:hAnsi="Arial"/>
                <w:sz w:val="18"/>
                <w:szCs w:val="18"/>
                <w:color w:val="auto"/>
              </w:rPr>
              <w:t>Cash paid (received) during the period for:</w:t>
            </w: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8800" w:type="dxa"/>
            <w:vAlign w:val="bottom"/>
            <w:gridSpan w:val="2"/>
          </w:tcPr>
          <w:p>
            <w:pPr>
              <w:ind w:left="460"/>
              <w:spacing w:after="0"/>
              <w:rPr>
                <w:sz w:val="20"/>
                <w:szCs w:val="20"/>
                <w:color w:val="auto"/>
              </w:rPr>
            </w:pPr>
            <w:r>
              <w:rPr>
                <w:rFonts w:ascii="Arial" w:cs="Arial" w:eastAsia="Arial" w:hAnsi="Arial"/>
                <w:sz w:val="18"/>
                <w:szCs w:val="18"/>
                <w:color w:val="auto"/>
              </w:rPr>
              <w:t>Interest</w:t>
            </w:r>
          </w:p>
        </w:tc>
        <w:tc>
          <w:tcPr>
            <w:tcW w:w="260" w:type="dxa"/>
            <w:vAlign w:val="bottom"/>
          </w:tcPr>
          <w:p>
            <w:pPr>
              <w:jc w:val="right"/>
              <w:ind w:right="71"/>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16,768</w:t>
            </w:r>
          </w:p>
        </w:tc>
        <w:tc>
          <w:tcPr>
            <w:tcW w:w="380" w:type="dxa"/>
            <w:vAlign w:val="bottom"/>
            <w:gridSpan w:val="2"/>
          </w:tcPr>
          <w:p>
            <w:pPr>
              <w:jc w:val="right"/>
              <w:ind w:right="91"/>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23,222</w:t>
            </w:r>
          </w:p>
        </w:tc>
        <w:tc>
          <w:tcPr>
            <w:tcW w:w="0" w:type="dxa"/>
            <w:vAlign w:val="bottom"/>
          </w:tcPr>
          <w:p>
            <w:pPr>
              <w:spacing w:after="0"/>
              <w:rPr>
                <w:sz w:val="1"/>
                <w:szCs w:val="1"/>
                <w:color w:val="auto"/>
              </w:rPr>
            </w:pPr>
          </w:p>
        </w:tc>
      </w:tr>
      <w:tr>
        <w:trPr>
          <w:trHeight w:val="214"/>
        </w:trPr>
        <w:tc>
          <w:tcPr>
            <w:tcW w:w="8800" w:type="dxa"/>
            <w:vAlign w:val="bottom"/>
            <w:gridSpan w:val="2"/>
          </w:tcPr>
          <w:p>
            <w:pPr>
              <w:ind w:left="460"/>
              <w:spacing w:after="0"/>
              <w:rPr>
                <w:sz w:val="20"/>
                <w:szCs w:val="20"/>
                <w:color w:val="auto"/>
              </w:rPr>
            </w:pPr>
            <w:r>
              <w:rPr>
                <w:rFonts w:ascii="Arial" w:cs="Arial" w:eastAsia="Arial" w:hAnsi="Arial"/>
                <w:sz w:val="18"/>
                <w:szCs w:val="18"/>
                <w:color w:val="auto"/>
              </w:rPr>
              <w:t>Income taxes</w:t>
            </w:r>
          </w:p>
        </w:tc>
        <w:tc>
          <w:tcPr>
            <w:tcW w:w="260" w:type="dxa"/>
            <w:vAlign w:val="bottom"/>
          </w:tcPr>
          <w:p>
            <w:pPr>
              <w:spacing w:after="0"/>
              <w:rPr>
                <w:sz w:val="18"/>
                <w:szCs w:val="18"/>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2,355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(27,105)</w:t>
            </w:r>
          </w:p>
        </w:tc>
        <w:tc>
          <w:tcPr>
            <w:tcW w:w="0" w:type="dxa"/>
            <w:vAlign w:val="bottom"/>
          </w:tcPr>
          <w:p>
            <w:pPr>
              <w:spacing w:after="0"/>
              <w:rPr>
                <w:sz w:val="1"/>
                <w:szCs w:val="1"/>
                <w:color w:val="auto"/>
              </w:rPr>
            </w:pPr>
          </w:p>
        </w:tc>
      </w:tr>
      <w:tr>
        <w:trPr>
          <w:trHeight w:val="214"/>
        </w:trPr>
        <w:tc>
          <w:tcPr>
            <w:tcW w:w="8800" w:type="dxa"/>
            <w:vAlign w:val="bottom"/>
            <w:gridSpan w:val="2"/>
          </w:tcPr>
          <w:p>
            <w:pPr>
              <w:ind w:left="280"/>
              <w:spacing w:after="0"/>
              <w:rPr>
                <w:sz w:val="20"/>
                <w:szCs w:val="20"/>
                <w:color w:val="auto"/>
              </w:rPr>
            </w:pPr>
            <w:r>
              <w:rPr>
                <w:rFonts w:ascii="Arial" w:cs="Arial" w:eastAsia="Arial" w:hAnsi="Arial"/>
                <w:sz w:val="18"/>
                <w:szCs w:val="18"/>
                <w:color w:val="auto"/>
              </w:rPr>
              <w:t>Unsettled securities purchases</w:t>
            </w:r>
          </w:p>
        </w:tc>
        <w:tc>
          <w:tcPr>
            <w:tcW w:w="260" w:type="dxa"/>
            <w:vAlign w:val="bottom"/>
          </w:tcPr>
          <w:p>
            <w:pPr>
              <w:spacing w:after="0"/>
              <w:rPr>
                <w:sz w:val="18"/>
                <w:szCs w:val="18"/>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1,582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7"/>
        </w:trPr>
        <w:tc>
          <w:tcPr>
            <w:tcW w:w="8800" w:type="dxa"/>
            <w:vAlign w:val="bottom"/>
            <w:gridSpan w:val="2"/>
          </w:tcPr>
          <w:p>
            <w:pPr>
              <w:ind w:left="280"/>
              <w:spacing w:after="0"/>
              <w:rPr>
                <w:sz w:val="20"/>
                <w:szCs w:val="20"/>
                <w:color w:val="auto"/>
              </w:rPr>
            </w:pPr>
            <w:r>
              <w:rPr>
                <w:rFonts w:ascii="Arial" w:cs="Arial" w:eastAsia="Arial" w:hAnsi="Arial"/>
                <w:sz w:val="18"/>
                <w:szCs w:val="18"/>
                <w:color w:val="auto"/>
              </w:rPr>
              <w:t>Transfers of loans to foreclosed property</w:t>
            </w:r>
          </w:p>
        </w:tc>
        <w:tc>
          <w:tcPr>
            <w:tcW w:w="260" w:type="dxa"/>
            <w:vAlign w:val="bottom"/>
          </w:tcPr>
          <w:p>
            <w:pPr>
              <w:spacing w:after="0"/>
              <w:rPr>
                <w:sz w:val="19"/>
                <w:szCs w:val="19"/>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9,433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9,319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13970</wp:posOffset>
            </wp:positionV>
            <wp:extent cx="724789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7890" cy="8255"/>
                    </a:xfrm>
                    <a:prstGeom prst="rect">
                      <a:avLst/>
                    </a:prstGeom>
                    <a:noFill/>
                  </pic:spPr>
                </pic:pic>
              </a:graphicData>
            </a:graphic>
          </wp:anchor>
        </w:drawing>
      </w:r>
    </w:p>
    <w:p>
      <w:pPr>
        <w:sectPr>
          <w:pgSz w:w="11900" w:h="16838" w:orient="portrait"/>
          <w:cols w:equalWidth="0" w:num="1">
            <w:col w:w="11420"/>
          </w:cols>
          <w:pgMar w:left="240" w:top="912"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Accounting Policies</w:t>
      </w:r>
    </w:p>
    <w:p>
      <w:pPr>
        <w:spacing w:after="0" w:line="25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accounting and financial reporting policies of United Community Banks, Inc. (“United”) and its subsidiaries conform to accounting principles generally accepted in the United States of America (“GAAP”) and general banking industry practices. The accompanying interim consolidated financial statements have not been audited. All material intercompany balances and transactions have been eliminated. A more detailed description of United’s accounting policies is included in its Annual Report on Form 10-K for the year ended December 31, 2012.</w:t>
      </w:r>
    </w:p>
    <w:p>
      <w:pPr>
        <w:spacing w:after="0" w:line="215"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In management’s opinion, all accounting adjustments necessary to accurately reflect the financial position and results of operations on the accompanying financial statements have been made. These adjustments are normal and recurring accruals considered necessary for a fair and accurate presentation. The results for interim periods are not necessarily indicative of results for the full year or any other interim periods.</w:t>
      </w:r>
    </w:p>
    <w:p>
      <w:pPr>
        <w:spacing w:after="0" w:line="211"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Certain 2012 amounts have been reclassified to conform to the 2013 presentation. The 2012 reclassifications were not material to the financial statement presentation.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–Accounting Standards Updates and Recently Adopted Standards</w:t>
      </w:r>
    </w:p>
    <w:p>
      <w:pPr>
        <w:spacing w:after="0" w:line="25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 xml:space="preserve">In January 2013, the FASB issued Accounting Standards Update No. 2013-01, </w:t>
      </w:r>
      <w:r>
        <w:rPr>
          <w:rFonts w:ascii="Arial" w:cs="Arial" w:eastAsia="Arial" w:hAnsi="Arial"/>
          <w:sz w:val="17"/>
          <w:szCs w:val="17"/>
          <w:i w:val="1"/>
          <w:iCs w:val="1"/>
          <w:color w:val="auto"/>
        </w:rPr>
        <w:t>Clarifying the Scope of Disclosures about Offsetting Assets and Liabilities.</w:t>
      </w:r>
      <w:r>
        <w:rPr>
          <w:rFonts w:ascii="Arial" w:cs="Arial" w:eastAsia="Arial" w:hAnsi="Arial"/>
          <w:sz w:val="17"/>
          <w:szCs w:val="17"/>
          <w:color w:val="auto"/>
        </w:rPr>
        <w:t xml:space="preserve"> This ASU limits the scope of the new balance sheet offsetting disclosures to derivatives, repurchase agreements, and securities lending transactions to the extent that they are (1) offset in the financial statements or (2) subject to an enforceable master netting agreement. The disclosure requirements were effective for annual reporting periods beginning on or after January 1, 2013 and interim periods within those annual periods. This guidance did not have a material impact on United’s financial position or results of operations, and resulted in additional disclosures.</w:t>
      </w:r>
    </w:p>
    <w:p>
      <w:pPr>
        <w:spacing w:after="0" w:line="20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In February 2013, the FASB issued Accounting Standards Update No. 2013-02, </w:t>
      </w:r>
      <w:r>
        <w:rPr>
          <w:rFonts w:ascii="Arial" w:cs="Arial" w:eastAsia="Arial" w:hAnsi="Arial"/>
          <w:sz w:val="18"/>
          <w:szCs w:val="18"/>
          <w:i w:val="1"/>
          <w:iCs w:val="1"/>
          <w:color w:val="auto"/>
        </w:rPr>
        <w:t>Reporting of Amounts Reclassified Out of Accumulated Other Comprehensive</w:t>
      </w:r>
      <w:r>
        <w:rPr>
          <w:rFonts w:ascii="Arial" w:cs="Arial" w:eastAsia="Arial" w:hAnsi="Arial"/>
          <w:sz w:val="18"/>
          <w:szCs w:val="18"/>
          <w:color w:val="auto"/>
        </w:rPr>
        <w:t xml:space="preserve"> </w:t>
      </w:r>
      <w:r>
        <w:rPr>
          <w:rFonts w:ascii="Arial" w:cs="Arial" w:eastAsia="Arial" w:hAnsi="Arial"/>
          <w:sz w:val="18"/>
          <w:szCs w:val="18"/>
          <w:i w:val="1"/>
          <w:iCs w:val="1"/>
          <w:color w:val="auto"/>
        </w:rPr>
        <w:t>Income</w:t>
      </w:r>
      <w:r>
        <w:rPr>
          <w:rFonts w:ascii="Arial" w:cs="Arial" w:eastAsia="Arial" w:hAnsi="Arial"/>
          <w:sz w:val="18"/>
          <w:szCs w:val="18"/>
          <w:color w:val="auto"/>
        </w:rPr>
        <w:t>. The amendments in this update require an entity to provide information about the amounts reclassified out of accumulated other comprehensive</w:t>
      </w:r>
      <w:r>
        <w:rPr>
          <w:rFonts w:ascii="Arial" w:cs="Arial" w:eastAsia="Arial" w:hAnsi="Arial"/>
          <w:sz w:val="18"/>
          <w:szCs w:val="18"/>
          <w:i w:val="1"/>
          <w:iCs w:val="1"/>
          <w:color w:val="auto"/>
        </w:rPr>
        <w:t xml:space="preserve"> </w:t>
      </w:r>
      <w:r>
        <w:rPr>
          <w:rFonts w:ascii="Arial" w:cs="Arial" w:eastAsia="Arial" w:hAnsi="Arial"/>
          <w:sz w:val="18"/>
          <w:szCs w:val="18"/>
          <w:color w:val="auto"/>
        </w:rPr>
        <w:t>income by component and by the respective line items of net income. The standard was effective for fiscal years, and interim periods within those years, beginning after December 15, 2012. This guidance did not have a material impact on United’s financial position or results of operations, and resulted in additional disclosures.</w:t>
      </w:r>
    </w:p>
    <w:p>
      <w:pPr>
        <w:spacing w:after="0" w:line="21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 xml:space="preserve">In July 2013, the FASB issued Accounting Standards Update No. 2013-10, </w:t>
      </w:r>
      <w:r>
        <w:rPr>
          <w:rFonts w:ascii="Arial" w:cs="Arial" w:eastAsia="Arial" w:hAnsi="Arial"/>
          <w:sz w:val="17"/>
          <w:szCs w:val="17"/>
          <w:i w:val="1"/>
          <w:iCs w:val="1"/>
          <w:color w:val="auto"/>
        </w:rPr>
        <w:t>Inclusion of the Fed Funds Effective Swap Rate (or Overnight Index Swap Rate) as</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a Benchmark Interest Rate for Hedge Accounting Purposes. </w:t>
      </w:r>
      <w:r>
        <w:rPr>
          <w:rFonts w:ascii="Arial" w:cs="Arial" w:eastAsia="Arial" w:hAnsi="Arial"/>
          <w:sz w:val="17"/>
          <w:szCs w:val="17"/>
          <w:color w:val="auto"/>
        </w:rPr>
        <w:t>The amendments in this update permit the Fed Funds Effective Swap Rate (OIS) to be used as a</w:t>
      </w:r>
      <w:r>
        <w:rPr>
          <w:rFonts w:ascii="Arial" w:cs="Arial" w:eastAsia="Arial" w:hAnsi="Arial"/>
          <w:sz w:val="17"/>
          <w:szCs w:val="17"/>
          <w:i w:val="1"/>
          <w:iCs w:val="1"/>
          <w:color w:val="auto"/>
        </w:rPr>
        <w:t xml:space="preserve"> </w:t>
      </w:r>
      <w:r>
        <w:rPr>
          <w:rFonts w:ascii="Arial" w:cs="Arial" w:eastAsia="Arial" w:hAnsi="Arial"/>
          <w:sz w:val="17"/>
          <w:szCs w:val="17"/>
          <w:color w:val="auto"/>
        </w:rPr>
        <w:t>benchmark interest rate for hedge accounting in addition to UST and LIBOR. The amendments also remove the restriction on using different benchmark rates for similar hedges. The standard is effective prospectively for qualifying new or re-designated hedging relationships entered into on or after July 17, 2013. This guidance did not have a material impact on United’s financial position, results of operations or disclosures.</w:t>
      </w:r>
    </w:p>
    <w:p>
      <w:pPr>
        <w:spacing w:after="0" w:line="20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In July 2013, the FASB issued Accounting Standards Update No. 2013-11, </w:t>
      </w:r>
      <w:r>
        <w:rPr>
          <w:rFonts w:ascii="Arial" w:cs="Arial" w:eastAsia="Arial" w:hAnsi="Arial"/>
          <w:sz w:val="18"/>
          <w:szCs w:val="18"/>
          <w:i w:val="1"/>
          <w:iCs w:val="1"/>
          <w:color w:val="auto"/>
        </w:rPr>
        <w:t>Presentation of an Unrecognized Tax Benefit When a Net Operating Loss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Carryforward, a Similar Tax Loss, or a Tax Credit Carryforward exists. </w:t>
      </w:r>
      <w:r>
        <w:rPr>
          <w:rFonts w:ascii="Arial" w:cs="Arial" w:eastAsia="Arial" w:hAnsi="Arial"/>
          <w:sz w:val="18"/>
          <w:szCs w:val="18"/>
          <w:color w:val="auto"/>
        </w:rPr>
        <w:t>This ASU provides explicit guidance on the financial statement presentation of an</w:t>
      </w:r>
      <w:r>
        <w:rPr>
          <w:rFonts w:ascii="Arial" w:cs="Arial" w:eastAsia="Arial" w:hAnsi="Arial"/>
          <w:sz w:val="18"/>
          <w:szCs w:val="18"/>
          <w:i w:val="1"/>
          <w:iCs w:val="1"/>
          <w:color w:val="auto"/>
        </w:rPr>
        <w:t xml:space="preserve"> </w:t>
      </w:r>
      <w:r>
        <w:rPr>
          <w:rFonts w:ascii="Arial" w:cs="Arial" w:eastAsia="Arial" w:hAnsi="Arial"/>
          <w:sz w:val="18"/>
          <w:szCs w:val="18"/>
          <w:color w:val="auto"/>
        </w:rPr>
        <w:t>unrecognized tax benefit when a net operating loss carryforward, a similar tax loss, or a tax credit carryforward exists. The amendments in this update are effective for fiscal years, and interim periods within those years, beginning after December 15, 2013. Since United has both unrecognized tax benefits and net operating loss and tax credit carryforwards, this ASU could have an impact on United's financial position, results of operations or disclosures. United is currently in the process of quantifying this impact.</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Offsetting Assets and Liabilities</w:t>
      </w:r>
    </w:p>
    <w:p>
      <w:pPr>
        <w:spacing w:after="0" w:line="252"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 xml:space="preserve">United enters into reverse repurchase agreements in order to invest short-term funds. In addition, United enters into repurchase agreements and reverse repurchase agreements with the same counterparty in transactions commonly referred to as collateral swaps that are subject to master netting agreements under which the balances are netted in the balance sheet in accordance with ASC 210-20, </w:t>
      </w:r>
      <w:r>
        <w:rPr>
          <w:rFonts w:ascii="Arial" w:cs="Arial" w:eastAsia="Arial" w:hAnsi="Arial"/>
          <w:sz w:val="18"/>
          <w:szCs w:val="18"/>
          <w:i w:val="1"/>
          <w:iCs w:val="1"/>
          <w:color w:val="auto"/>
        </w:rPr>
        <w:t>Offsetting</w:t>
      </w:r>
      <w:r>
        <w:rPr>
          <w:rFonts w:ascii="Arial" w:cs="Arial" w:eastAsia="Arial" w:hAnsi="Arial"/>
          <w:sz w:val="18"/>
          <w:szCs w:val="18"/>
          <w:color w:val="auto"/>
        </w:rPr>
        <w:t>.</w:t>
      </w:r>
    </w:p>
    <w:p>
      <w:pPr>
        <w:spacing w:after="0" w:line="211"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United also enters into derivative transactions that are subject to master netting arrangements; however there were no offsetting positions at June 30, 2013, December 31, 2012 or June 30, 2012.</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13970</wp:posOffset>
            </wp:positionV>
            <wp:extent cx="724789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7890" cy="8255"/>
                    </a:xfrm>
                    <a:prstGeom prst="rect">
                      <a:avLst/>
                    </a:prstGeom>
                    <a:noFill/>
                  </pic:spPr>
                </pic:pic>
              </a:graphicData>
            </a:graphic>
          </wp:anchor>
        </w:drawing>
      </w:r>
    </w:p>
    <w:p>
      <w:pPr>
        <w:sectPr>
          <w:pgSz w:w="11900" w:h="16838" w:orient="portrait"/>
          <w:cols w:equalWidth="0" w:num="1">
            <w:col w:w="11420"/>
          </w:cols>
          <w:pgMar w:left="240" w:top="912"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9"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 xml:space="preserve">The following table presents a summary of amounts outstanding under master netting agreements as of June 30, 2013 and December 31, 2012, and June 30, 2012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4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4"/>
              </w:rPr>
              <w:t>Gross</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9"/>
              </w:rPr>
              <w:t>Amounts</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180" w:type="dxa"/>
            <w:vAlign w:val="bottom"/>
            <w:gridSpan w:val="5"/>
            <w:vMerge w:val="restart"/>
          </w:tcPr>
          <w:p>
            <w:pPr>
              <w:jc w:val="center"/>
              <w:ind w:right="160"/>
              <w:spacing w:after="0"/>
              <w:rPr>
                <w:sz w:val="20"/>
                <w:szCs w:val="20"/>
                <w:color w:val="auto"/>
              </w:rPr>
            </w:pPr>
            <w:r>
              <w:rPr>
                <w:rFonts w:ascii="Arial" w:cs="Arial" w:eastAsia="Arial" w:hAnsi="Arial"/>
                <w:sz w:val="18"/>
                <w:szCs w:val="18"/>
                <w:b w:val="1"/>
                <w:bCs w:val="1"/>
                <w:color w:val="auto"/>
                <w:w w:val="87"/>
              </w:rPr>
              <w:t>Gross Amounts not Offset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7"/>
        </w:trPr>
        <w:tc>
          <w:tcPr>
            <w:tcW w:w="464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120" w:type="dxa"/>
            <w:vAlign w:val="bottom"/>
            <w:gridSpan w:val="3"/>
            <w:vMerge w:val="restart"/>
          </w:tcPr>
          <w:p>
            <w:pPr>
              <w:jc w:val="center"/>
              <w:ind w:right="340"/>
              <w:spacing w:after="0"/>
              <w:rPr>
                <w:sz w:val="20"/>
                <w:szCs w:val="20"/>
                <w:color w:val="auto"/>
              </w:rPr>
            </w:pPr>
            <w:r>
              <w:rPr>
                <w:rFonts w:ascii="Arial" w:cs="Arial" w:eastAsia="Arial" w:hAnsi="Arial"/>
                <w:sz w:val="18"/>
                <w:szCs w:val="18"/>
                <w:b w:val="1"/>
                <w:bCs w:val="1"/>
                <w:color w:val="auto"/>
                <w:w w:val="88"/>
              </w:rPr>
              <w:t>Gross</w:t>
            </w:r>
          </w:p>
        </w:tc>
        <w:tc>
          <w:tcPr>
            <w:tcW w:w="100" w:type="dxa"/>
            <w:vAlign w:val="bottom"/>
          </w:tcPr>
          <w:p>
            <w:pPr>
              <w:spacing w:after="0"/>
              <w:rPr>
                <w:sz w:val="9"/>
                <w:szCs w:val="9"/>
                <w:color w:val="auto"/>
              </w:rPr>
            </w:pPr>
          </w:p>
        </w:tc>
        <w:tc>
          <w:tcPr>
            <w:tcW w:w="920" w:type="dxa"/>
            <w:vAlign w:val="bottom"/>
            <w:gridSpan w:val="2"/>
            <w:vMerge w:val="restart"/>
          </w:tcPr>
          <w:p>
            <w:pPr>
              <w:jc w:val="center"/>
              <w:ind w:right="180"/>
              <w:spacing w:after="0"/>
              <w:rPr>
                <w:sz w:val="20"/>
                <w:szCs w:val="20"/>
                <w:color w:val="auto"/>
              </w:rPr>
            </w:pPr>
            <w:r>
              <w:rPr>
                <w:rFonts w:ascii="Arial" w:cs="Arial" w:eastAsia="Arial" w:hAnsi="Arial"/>
                <w:sz w:val="18"/>
                <w:szCs w:val="18"/>
                <w:b w:val="1"/>
                <w:bCs w:val="1"/>
                <w:color w:val="auto"/>
                <w:w w:val="88"/>
              </w:rPr>
              <w:t>Offset on</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9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180" w:type="dxa"/>
            <w:vAlign w:val="bottom"/>
            <w:gridSpan w:val="5"/>
            <w:vMerge w:val="continue"/>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464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120" w:type="dxa"/>
            <w:vAlign w:val="bottom"/>
            <w:gridSpan w:val="3"/>
            <w:vMerge w:val="continue"/>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9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180" w:type="dxa"/>
            <w:vAlign w:val="bottom"/>
            <w:gridSpan w:val="5"/>
            <w:vMerge w:val="restart"/>
          </w:tcPr>
          <w:p>
            <w:pPr>
              <w:jc w:val="center"/>
              <w:ind w:right="160"/>
              <w:spacing w:after="0"/>
              <w:rPr>
                <w:sz w:val="20"/>
                <w:szCs w:val="20"/>
                <w:color w:val="auto"/>
              </w:rPr>
            </w:pPr>
            <w:r>
              <w:rPr>
                <w:rFonts w:ascii="Arial" w:cs="Arial" w:eastAsia="Arial" w:hAnsi="Arial"/>
                <w:sz w:val="18"/>
                <w:szCs w:val="18"/>
                <w:b w:val="1"/>
                <w:bCs w:val="1"/>
                <w:color w:val="auto"/>
                <w:w w:val="87"/>
              </w:rPr>
              <w:t>in the Balance Sheet</w:t>
            </w: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2"/>
        </w:trPr>
        <w:tc>
          <w:tcPr>
            <w:tcW w:w="4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0" w:type="dxa"/>
            <w:vAlign w:val="bottom"/>
            <w:gridSpan w:val="4"/>
            <w:vMerge w:val="restart"/>
          </w:tcPr>
          <w:p>
            <w:pPr>
              <w:jc w:val="center"/>
              <w:ind w:right="260"/>
              <w:spacing w:after="0"/>
              <w:rPr>
                <w:sz w:val="20"/>
                <w:szCs w:val="20"/>
                <w:color w:val="auto"/>
              </w:rPr>
            </w:pPr>
            <w:r>
              <w:rPr>
                <w:rFonts w:ascii="Arial" w:cs="Arial" w:eastAsia="Arial" w:hAnsi="Arial"/>
                <w:sz w:val="18"/>
                <w:szCs w:val="18"/>
                <w:b w:val="1"/>
                <w:bCs w:val="1"/>
                <w:color w:val="auto"/>
                <w:w w:val="89"/>
              </w:rPr>
              <w:t>Amounts of</w:t>
            </w:r>
          </w:p>
        </w:tc>
        <w:tc>
          <w:tcPr>
            <w:tcW w:w="100" w:type="dxa"/>
            <w:vAlign w:val="bottom"/>
          </w:tcPr>
          <w:p>
            <w:pPr>
              <w:spacing w:after="0"/>
              <w:rPr>
                <w:sz w:val="11"/>
                <w:szCs w:val="11"/>
                <w:color w:val="auto"/>
              </w:rPr>
            </w:pPr>
          </w:p>
        </w:tc>
        <w:tc>
          <w:tcPr>
            <w:tcW w:w="920" w:type="dxa"/>
            <w:vAlign w:val="bottom"/>
            <w:gridSpan w:val="2"/>
            <w:vMerge w:val="restart"/>
          </w:tcPr>
          <w:p>
            <w:pPr>
              <w:jc w:val="center"/>
              <w:ind w:right="200"/>
              <w:spacing w:after="0"/>
              <w:rPr>
                <w:sz w:val="20"/>
                <w:szCs w:val="20"/>
                <w:color w:val="auto"/>
              </w:rPr>
            </w:pPr>
            <w:r>
              <w:rPr>
                <w:rFonts w:ascii="Arial" w:cs="Arial" w:eastAsia="Arial" w:hAnsi="Arial"/>
                <w:sz w:val="18"/>
                <w:szCs w:val="18"/>
                <w:b w:val="1"/>
                <w:bCs w:val="1"/>
                <w:color w:val="auto"/>
                <w:w w:val="88"/>
              </w:rPr>
              <w:t>the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180" w:type="dxa"/>
            <w:vAlign w:val="bottom"/>
            <w:gridSpan w:val="5"/>
            <w:vMerge w:val="continue"/>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2"/>
        </w:trPr>
        <w:tc>
          <w:tcPr>
            <w:tcW w:w="464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0" w:type="dxa"/>
            <w:vAlign w:val="bottom"/>
            <w:gridSpan w:val="4"/>
            <w:vMerge w:val="continue"/>
          </w:tcPr>
          <w:p>
            <w:pPr>
              <w:spacing w:after="0"/>
              <w:rPr>
                <w:sz w:val="5"/>
                <w:szCs w:val="5"/>
                <w:color w:val="auto"/>
              </w:rPr>
            </w:pPr>
          </w:p>
        </w:tc>
        <w:tc>
          <w:tcPr>
            <w:tcW w:w="100" w:type="dxa"/>
            <w:vAlign w:val="bottom"/>
          </w:tcPr>
          <w:p>
            <w:pPr>
              <w:spacing w:after="0"/>
              <w:rPr>
                <w:sz w:val="5"/>
                <w:szCs w:val="5"/>
                <w:color w:val="auto"/>
              </w:rPr>
            </w:pPr>
          </w:p>
        </w:tc>
        <w:tc>
          <w:tcPr>
            <w:tcW w:w="920" w:type="dxa"/>
            <w:vAlign w:val="bottom"/>
            <w:gridSpan w:val="2"/>
            <w:vMerge w:val="continue"/>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9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Borders>
              <w:top w:val="single" w:sz="8" w:color="auto"/>
            </w:tcBorders>
          </w:tcPr>
          <w:p>
            <w:pPr>
              <w:spacing w:after="0"/>
              <w:rPr>
                <w:sz w:val="5"/>
                <w:szCs w:val="5"/>
                <w:color w:val="auto"/>
              </w:rPr>
            </w:pPr>
          </w:p>
        </w:tc>
        <w:tc>
          <w:tcPr>
            <w:tcW w:w="1020" w:type="dxa"/>
            <w:vAlign w:val="bottom"/>
            <w:tcBorders>
              <w:top w:val="single" w:sz="8" w:color="auto"/>
            </w:tcBorders>
          </w:tcPr>
          <w:p>
            <w:pPr>
              <w:spacing w:after="0"/>
              <w:rPr>
                <w:sz w:val="5"/>
                <w:szCs w:val="5"/>
                <w:color w:val="auto"/>
              </w:rPr>
            </w:pPr>
          </w:p>
        </w:tc>
        <w:tc>
          <w:tcPr>
            <w:tcW w:w="80" w:type="dxa"/>
            <w:vAlign w:val="bottom"/>
            <w:tcBorders>
              <w:top w:val="single" w:sz="8" w:color="auto"/>
            </w:tcBorders>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900" w:type="dxa"/>
            <w:vAlign w:val="bottom"/>
            <w:tcBorders>
              <w:top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8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4"/>
        </w:trPr>
        <w:tc>
          <w:tcPr>
            <w:tcW w:w="4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0" w:type="dxa"/>
            <w:vAlign w:val="bottom"/>
            <w:gridSpan w:val="4"/>
          </w:tcPr>
          <w:p>
            <w:pPr>
              <w:jc w:val="center"/>
              <w:ind w:right="260"/>
              <w:spacing w:after="0"/>
              <w:rPr>
                <w:sz w:val="20"/>
                <w:szCs w:val="20"/>
                <w:color w:val="auto"/>
              </w:rPr>
            </w:pPr>
            <w:r>
              <w:rPr>
                <w:rFonts w:ascii="Arial" w:cs="Arial" w:eastAsia="Arial" w:hAnsi="Arial"/>
                <w:sz w:val="18"/>
                <w:szCs w:val="18"/>
                <w:b w:val="1"/>
                <w:bCs w:val="1"/>
                <w:color w:val="auto"/>
                <w:w w:val="85"/>
              </w:rPr>
              <w:t>Recognized</w:t>
            </w:r>
          </w:p>
        </w:tc>
        <w:tc>
          <w:tcPr>
            <w:tcW w:w="100" w:type="dxa"/>
            <w:vAlign w:val="bottom"/>
          </w:tcPr>
          <w:p>
            <w:pPr>
              <w:spacing w:after="0"/>
              <w:rPr>
                <w:sz w:val="18"/>
                <w:szCs w:val="18"/>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6"/>
              </w:rPr>
              <w:t>Balance</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6"/>
              </w:rPr>
              <w:t>Net Asset</w:t>
            </w:r>
          </w:p>
        </w:tc>
        <w:tc>
          <w:tcPr>
            <w:tcW w:w="80" w:type="dxa"/>
            <w:vAlign w:val="bottom"/>
          </w:tcPr>
          <w:p>
            <w:pPr>
              <w:spacing w:after="0"/>
              <w:rPr>
                <w:sz w:val="18"/>
                <w:szCs w:val="18"/>
                <w:color w:val="auto"/>
              </w:rPr>
            </w:pPr>
          </w:p>
        </w:tc>
        <w:tc>
          <w:tcPr>
            <w:tcW w:w="1020" w:type="dxa"/>
            <w:vAlign w:val="bottom"/>
          </w:tcPr>
          <w:p>
            <w:pPr>
              <w:jc w:val="center"/>
              <w:ind w:right="31"/>
              <w:spacing w:after="0"/>
              <w:rPr>
                <w:sz w:val="20"/>
                <w:szCs w:val="20"/>
                <w:color w:val="auto"/>
              </w:rPr>
            </w:pPr>
            <w:r>
              <w:rPr>
                <w:rFonts w:ascii="Arial" w:cs="Arial" w:eastAsia="Arial" w:hAnsi="Arial"/>
                <w:sz w:val="18"/>
                <w:szCs w:val="18"/>
                <w:b w:val="1"/>
                <w:bCs w:val="1"/>
                <w:color w:val="auto"/>
                <w:w w:val="89"/>
              </w:rPr>
              <w:t>Financial</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w w:val="99"/>
              </w:rPr>
              <w:t>Collateral</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ind w:right="291"/>
              <w:spacing w:after="0"/>
              <w:rPr>
                <w:sz w:val="20"/>
                <w:szCs w:val="20"/>
                <w:color w:val="auto"/>
              </w:rPr>
            </w:pPr>
            <w:r>
              <w:rPr>
                <w:rFonts w:ascii="Arial" w:cs="Arial" w:eastAsia="Arial" w:hAnsi="Arial"/>
                <w:sz w:val="18"/>
                <w:szCs w:val="18"/>
                <w:b w:val="1"/>
                <w:bCs w:val="1"/>
                <w:color w:val="auto"/>
              </w:rPr>
              <w:t>Net</w:t>
            </w:r>
          </w:p>
        </w:tc>
        <w:tc>
          <w:tcPr>
            <w:tcW w:w="0" w:type="dxa"/>
            <w:vAlign w:val="bottom"/>
          </w:tcPr>
          <w:p>
            <w:pPr>
              <w:spacing w:after="0"/>
              <w:rPr>
                <w:sz w:val="1"/>
                <w:szCs w:val="1"/>
                <w:color w:val="auto"/>
              </w:rPr>
            </w:pPr>
          </w:p>
        </w:tc>
      </w:tr>
      <w:tr>
        <w:trPr>
          <w:trHeight w:val="239"/>
        </w:trPr>
        <w:tc>
          <w:tcPr>
            <w:tcW w:w="464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rPr>
              <w:t>June 30, 2013</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center"/>
              <w:ind w:right="11"/>
              <w:spacing w:after="0"/>
              <w:rPr>
                <w:sz w:val="20"/>
                <w:szCs w:val="20"/>
                <w:color w:val="auto"/>
              </w:rPr>
            </w:pPr>
            <w:r>
              <w:rPr>
                <w:rFonts w:ascii="Arial" w:cs="Arial" w:eastAsia="Arial" w:hAnsi="Arial"/>
                <w:sz w:val="18"/>
                <w:szCs w:val="18"/>
                <w:b w:val="1"/>
                <w:bCs w:val="1"/>
                <w:color w:val="auto"/>
                <w:w w:val="77"/>
              </w:rPr>
              <w:t>Assets</w:t>
            </w:r>
          </w:p>
        </w:tc>
        <w:tc>
          <w:tcPr>
            <w:tcW w:w="240" w:type="dxa"/>
            <w:vAlign w:val="bottom"/>
            <w:gridSpan w:val="2"/>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5"/>
              </w:rPr>
              <w:t>Sheet</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ind w:right="91"/>
              <w:spacing w:after="0"/>
              <w:rPr>
                <w:sz w:val="20"/>
                <w:szCs w:val="20"/>
                <w:color w:val="auto"/>
              </w:rPr>
            </w:pPr>
            <w:r>
              <w:rPr>
                <w:rFonts w:ascii="Arial" w:cs="Arial" w:eastAsia="Arial" w:hAnsi="Arial"/>
                <w:sz w:val="18"/>
                <w:szCs w:val="18"/>
                <w:b w:val="1"/>
                <w:bCs w:val="1"/>
                <w:color w:val="auto"/>
                <w:w w:val="86"/>
              </w:rPr>
              <w:t>Balance</w:t>
            </w:r>
          </w:p>
        </w:tc>
        <w:tc>
          <w:tcPr>
            <w:tcW w:w="80" w:type="dxa"/>
            <w:vAlign w:val="bottom"/>
          </w:tcPr>
          <w:p>
            <w:pPr>
              <w:spacing w:after="0"/>
              <w:rPr>
                <w:sz w:val="20"/>
                <w:szCs w:val="20"/>
                <w:color w:val="auto"/>
              </w:rPr>
            </w:pPr>
          </w:p>
        </w:tc>
        <w:tc>
          <w:tcPr>
            <w:tcW w:w="110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1"/>
              </w:rPr>
              <w:t>Instruments</w:t>
            </w: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gridSpan w:val="2"/>
          </w:tcPr>
          <w:p>
            <w:pPr>
              <w:jc w:val="center"/>
              <w:ind w:right="180"/>
              <w:spacing w:after="0"/>
              <w:rPr>
                <w:sz w:val="20"/>
                <w:szCs w:val="20"/>
                <w:color w:val="auto"/>
              </w:rPr>
            </w:pPr>
            <w:r>
              <w:rPr>
                <w:rFonts w:ascii="Arial" w:cs="Arial" w:eastAsia="Arial" w:hAnsi="Arial"/>
                <w:sz w:val="18"/>
                <w:szCs w:val="18"/>
                <w:b w:val="1"/>
                <w:bCs w:val="1"/>
                <w:color w:val="auto"/>
                <w:w w:val="85"/>
              </w:rPr>
              <w:t>Received</w:t>
            </w:r>
          </w:p>
        </w:tc>
        <w:tc>
          <w:tcPr>
            <w:tcW w:w="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center"/>
              <w:ind w:right="91"/>
              <w:spacing w:after="0"/>
              <w:rPr>
                <w:sz w:val="20"/>
                <w:szCs w:val="20"/>
                <w:color w:val="auto"/>
              </w:rPr>
            </w:pPr>
            <w:r>
              <w:rPr>
                <w:rFonts w:ascii="Arial" w:cs="Arial" w:eastAsia="Arial" w:hAnsi="Arial"/>
                <w:sz w:val="18"/>
                <w:szCs w:val="18"/>
                <w:b w:val="1"/>
                <w:bCs w:val="1"/>
                <w:color w:val="auto"/>
                <w:w w:val="91"/>
              </w:rPr>
              <w:t>Amount</w:t>
            </w:r>
          </w:p>
        </w:tc>
        <w:tc>
          <w:tcPr>
            <w:tcW w:w="0" w:type="dxa"/>
            <w:vAlign w:val="bottom"/>
          </w:tcPr>
          <w:p>
            <w:pPr>
              <w:spacing w:after="0"/>
              <w:rPr>
                <w:sz w:val="1"/>
                <w:szCs w:val="1"/>
                <w:color w:val="auto"/>
              </w:rPr>
            </w:pPr>
          </w:p>
        </w:tc>
      </w:tr>
      <w:tr>
        <w:trPr>
          <w:trHeight w:val="414"/>
        </w:trPr>
        <w:tc>
          <w:tcPr>
            <w:tcW w:w="4640" w:type="dxa"/>
            <w:vAlign w:val="bottom"/>
          </w:tcPr>
          <w:p>
            <w:pPr>
              <w:ind w:left="60"/>
              <w:spacing w:after="0"/>
              <w:rPr>
                <w:sz w:val="20"/>
                <w:szCs w:val="20"/>
                <w:color w:val="auto"/>
              </w:rPr>
            </w:pPr>
            <w:r>
              <w:rPr>
                <w:rFonts w:ascii="Arial" w:cs="Arial" w:eastAsia="Arial" w:hAnsi="Arial"/>
                <w:sz w:val="18"/>
                <w:szCs w:val="18"/>
                <w:color w:val="auto"/>
                <w:w w:val="97"/>
              </w:rPr>
              <w:t>Repurchase agreements / reverse repurchase agreements</w:t>
            </w:r>
          </w:p>
        </w:tc>
        <w:tc>
          <w:tcPr>
            <w:tcW w:w="1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400,000</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(350,000)</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50,000</w:t>
            </w:r>
          </w:p>
        </w:tc>
        <w:tc>
          <w:tcPr>
            <w:tcW w:w="8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50,000</w:t>
            </w:r>
          </w:p>
        </w:tc>
        <w:tc>
          <w:tcPr>
            <w:tcW w:w="0" w:type="dxa"/>
            <w:vAlign w:val="bottom"/>
          </w:tcPr>
          <w:p>
            <w:pPr>
              <w:spacing w:after="0"/>
              <w:rPr>
                <w:sz w:val="1"/>
                <w:szCs w:val="1"/>
                <w:color w:val="auto"/>
              </w:rPr>
            </w:pPr>
          </w:p>
        </w:tc>
      </w:tr>
      <w:tr>
        <w:trPr>
          <w:trHeight w:val="235"/>
        </w:trPr>
        <w:tc>
          <w:tcPr>
            <w:tcW w:w="4640" w:type="dxa"/>
            <w:vAlign w:val="bottom"/>
          </w:tcPr>
          <w:p>
            <w:pPr>
              <w:ind w:left="60"/>
              <w:spacing w:after="0"/>
              <w:rPr>
                <w:sz w:val="20"/>
                <w:szCs w:val="20"/>
                <w:color w:val="auto"/>
              </w:rPr>
            </w:pPr>
            <w:r>
              <w:rPr>
                <w:rFonts w:ascii="Arial" w:cs="Arial" w:eastAsia="Arial" w:hAnsi="Arial"/>
                <w:sz w:val="18"/>
                <w:szCs w:val="18"/>
                <w:color w:val="auto"/>
              </w:rPr>
              <w:t>Derivatives</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9,017</w:t>
            </w:r>
          </w:p>
        </w:tc>
        <w:tc>
          <w:tcPr>
            <w:tcW w:w="1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9,017</w:t>
            </w:r>
          </w:p>
        </w:tc>
        <w:tc>
          <w:tcPr>
            <w:tcW w:w="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9,017</w:t>
            </w:r>
          </w:p>
        </w:tc>
        <w:tc>
          <w:tcPr>
            <w:tcW w:w="0" w:type="dxa"/>
            <w:vAlign w:val="bottom"/>
          </w:tcPr>
          <w:p>
            <w:pPr>
              <w:spacing w:after="0"/>
              <w:rPr>
                <w:sz w:val="1"/>
                <w:szCs w:val="1"/>
                <w:color w:val="auto"/>
              </w:rPr>
            </w:pPr>
          </w:p>
        </w:tc>
      </w:tr>
      <w:tr>
        <w:trPr>
          <w:trHeight w:val="214"/>
        </w:trPr>
        <w:tc>
          <w:tcPr>
            <w:tcW w:w="4640" w:type="dxa"/>
            <w:vAlign w:val="bottom"/>
          </w:tcPr>
          <w:p>
            <w:pPr>
              <w:ind w:left="280"/>
              <w:spacing w:after="0"/>
              <w:rPr>
                <w:sz w:val="20"/>
                <w:szCs w:val="20"/>
                <w:color w:val="auto"/>
              </w:rPr>
            </w:pPr>
            <w:r>
              <w:rPr>
                <w:rFonts w:ascii="Arial" w:cs="Arial" w:eastAsia="Arial" w:hAnsi="Arial"/>
                <w:sz w:val="18"/>
                <w:szCs w:val="18"/>
                <w:color w:val="auto"/>
              </w:rPr>
              <w:t>Total</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409,017</w:t>
            </w:r>
          </w:p>
        </w:tc>
        <w:tc>
          <w:tcPr>
            <w:tcW w:w="16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(350,000)</w:t>
            </w:r>
          </w:p>
        </w:tc>
        <w:tc>
          <w:tcPr>
            <w:tcW w:w="8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59,017</w:t>
            </w:r>
          </w:p>
        </w:tc>
        <w:tc>
          <w:tcPr>
            <w:tcW w:w="8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59,017</w:t>
            </w:r>
          </w:p>
        </w:tc>
        <w:tc>
          <w:tcPr>
            <w:tcW w:w="0" w:type="dxa"/>
            <w:vAlign w:val="bottom"/>
          </w:tcPr>
          <w:p>
            <w:pPr>
              <w:spacing w:after="0"/>
              <w:rPr>
                <w:sz w:val="1"/>
                <w:szCs w:val="1"/>
                <w:color w:val="auto"/>
              </w:rPr>
            </w:pPr>
          </w:p>
        </w:tc>
      </w:tr>
      <w:tr>
        <w:trPr>
          <w:trHeight w:val="20"/>
        </w:trPr>
        <w:tc>
          <w:tcPr>
            <w:tcW w:w="4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0"/>
        </w:trPr>
        <w:tc>
          <w:tcPr>
            <w:tcW w:w="4640" w:type="dxa"/>
            <w:vAlign w:val="bottom"/>
          </w:tcPr>
          <w:p>
            <w:pPr>
              <w:ind w:left="40"/>
              <w:spacing w:after="0"/>
              <w:rPr>
                <w:sz w:val="20"/>
                <w:szCs w:val="20"/>
                <w:color w:val="auto"/>
              </w:rPr>
            </w:pPr>
            <w:r>
              <w:rPr>
                <w:rFonts w:ascii="Arial" w:cs="Arial" w:eastAsia="Arial" w:hAnsi="Arial"/>
                <w:sz w:val="18"/>
                <w:szCs w:val="18"/>
                <w:color w:val="auto"/>
                <w:w w:val="87"/>
              </w:rPr>
              <w:t>Weighted average interest rate of reverse repurchase agreements</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1.09%</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4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4"/>
              </w:rPr>
              <w:t>Gross</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4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9"/>
              </w:rPr>
              <w:t>Amounts</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180" w:type="dxa"/>
            <w:vAlign w:val="bottom"/>
            <w:gridSpan w:val="5"/>
            <w:vMerge w:val="restart"/>
          </w:tcPr>
          <w:p>
            <w:pPr>
              <w:jc w:val="center"/>
              <w:ind w:right="160"/>
              <w:spacing w:after="0"/>
              <w:rPr>
                <w:sz w:val="20"/>
                <w:szCs w:val="20"/>
                <w:color w:val="auto"/>
              </w:rPr>
            </w:pPr>
            <w:r>
              <w:rPr>
                <w:rFonts w:ascii="Arial" w:cs="Arial" w:eastAsia="Arial" w:hAnsi="Arial"/>
                <w:sz w:val="18"/>
                <w:szCs w:val="18"/>
                <w:b w:val="1"/>
                <w:bCs w:val="1"/>
                <w:color w:val="auto"/>
                <w:w w:val="87"/>
              </w:rPr>
              <w:t>Gross Amounts not Offset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7"/>
        </w:trPr>
        <w:tc>
          <w:tcPr>
            <w:tcW w:w="464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120" w:type="dxa"/>
            <w:vAlign w:val="bottom"/>
            <w:gridSpan w:val="3"/>
            <w:vMerge w:val="restart"/>
          </w:tcPr>
          <w:p>
            <w:pPr>
              <w:jc w:val="center"/>
              <w:ind w:right="340"/>
              <w:spacing w:after="0"/>
              <w:rPr>
                <w:sz w:val="20"/>
                <w:szCs w:val="20"/>
                <w:color w:val="auto"/>
              </w:rPr>
            </w:pPr>
            <w:r>
              <w:rPr>
                <w:rFonts w:ascii="Arial" w:cs="Arial" w:eastAsia="Arial" w:hAnsi="Arial"/>
                <w:sz w:val="18"/>
                <w:szCs w:val="18"/>
                <w:b w:val="1"/>
                <w:bCs w:val="1"/>
                <w:color w:val="auto"/>
                <w:w w:val="88"/>
              </w:rPr>
              <w:t>Gross</w:t>
            </w:r>
          </w:p>
        </w:tc>
        <w:tc>
          <w:tcPr>
            <w:tcW w:w="100" w:type="dxa"/>
            <w:vAlign w:val="bottom"/>
          </w:tcPr>
          <w:p>
            <w:pPr>
              <w:spacing w:after="0"/>
              <w:rPr>
                <w:sz w:val="9"/>
                <w:szCs w:val="9"/>
                <w:color w:val="auto"/>
              </w:rPr>
            </w:pPr>
          </w:p>
        </w:tc>
        <w:tc>
          <w:tcPr>
            <w:tcW w:w="920" w:type="dxa"/>
            <w:vAlign w:val="bottom"/>
            <w:gridSpan w:val="2"/>
            <w:vMerge w:val="restart"/>
          </w:tcPr>
          <w:p>
            <w:pPr>
              <w:jc w:val="center"/>
              <w:ind w:right="180"/>
              <w:spacing w:after="0"/>
              <w:rPr>
                <w:sz w:val="20"/>
                <w:szCs w:val="20"/>
                <w:color w:val="auto"/>
              </w:rPr>
            </w:pPr>
            <w:r>
              <w:rPr>
                <w:rFonts w:ascii="Arial" w:cs="Arial" w:eastAsia="Arial" w:hAnsi="Arial"/>
                <w:sz w:val="18"/>
                <w:szCs w:val="18"/>
                <w:b w:val="1"/>
                <w:bCs w:val="1"/>
                <w:color w:val="auto"/>
                <w:w w:val="88"/>
              </w:rPr>
              <w:t>Offset on</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9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180" w:type="dxa"/>
            <w:vAlign w:val="bottom"/>
            <w:gridSpan w:val="5"/>
            <w:vMerge w:val="continue"/>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464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120" w:type="dxa"/>
            <w:vAlign w:val="bottom"/>
            <w:gridSpan w:val="3"/>
            <w:vMerge w:val="continue"/>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9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180" w:type="dxa"/>
            <w:vAlign w:val="bottom"/>
            <w:gridSpan w:val="5"/>
            <w:vMerge w:val="restart"/>
          </w:tcPr>
          <w:p>
            <w:pPr>
              <w:jc w:val="center"/>
              <w:ind w:right="160"/>
              <w:spacing w:after="0"/>
              <w:rPr>
                <w:sz w:val="20"/>
                <w:szCs w:val="20"/>
                <w:color w:val="auto"/>
              </w:rPr>
            </w:pPr>
            <w:r>
              <w:rPr>
                <w:rFonts w:ascii="Arial" w:cs="Arial" w:eastAsia="Arial" w:hAnsi="Arial"/>
                <w:sz w:val="18"/>
                <w:szCs w:val="18"/>
                <w:b w:val="1"/>
                <w:bCs w:val="1"/>
                <w:color w:val="auto"/>
                <w:w w:val="87"/>
              </w:rPr>
              <w:t>in the Balance Sheet</w:t>
            </w: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2"/>
        </w:trPr>
        <w:tc>
          <w:tcPr>
            <w:tcW w:w="4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0" w:type="dxa"/>
            <w:vAlign w:val="bottom"/>
            <w:gridSpan w:val="4"/>
            <w:vMerge w:val="restart"/>
          </w:tcPr>
          <w:p>
            <w:pPr>
              <w:jc w:val="center"/>
              <w:ind w:right="260"/>
              <w:spacing w:after="0"/>
              <w:rPr>
                <w:sz w:val="20"/>
                <w:szCs w:val="20"/>
                <w:color w:val="auto"/>
              </w:rPr>
            </w:pPr>
            <w:r>
              <w:rPr>
                <w:rFonts w:ascii="Arial" w:cs="Arial" w:eastAsia="Arial" w:hAnsi="Arial"/>
                <w:sz w:val="18"/>
                <w:szCs w:val="18"/>
                <w:b w:val="1"/>
                <w:bCs w:val="1"/>
                <w:color w:val="auto"/>
                <w:w w:val="89"/>
              </w:rPr>
              <w:t>Amounts of</w:t>
            </w:r>
          </w:p>
        </w:tc>
        <w:tc>
          <w:tcPr>
            <w:tcW w:w="100" w:type="dxa"/>
            <w:vAlign w:val="bottom"/>
          </w:tcPr>
          <w:p>
            <w:pPr>
              <w:spacing w:after="0"/>
              <w:rPr>
                <w:sz w:val="11"/>
                <w:szCs w:val="11"/>
                <w:color w:val="auto"/>
              </w:rPr>
            </w:pPr>
          </w:p>
        </w:tc>
        <w:tc>
          <w:tcPr>
            <w:tcW w:w="920" w:type="dxa"/>
            <w:vAlign w:val="bottom"/>
            <w:gridSpan w:val="2"/>
            <w:vMerge w:val="restart"/>
          </w:tcPr>
          <w:p>
            <w:pPr>
              <w:jc w:val="center"/>
              <w:ind w:right="200"/>
              <w:spacing w:after="0"/>
              <w:rPr>
                <w:sz w:val="20"/>
                <w:szCs w:val="20"/>
                <w:color w:val="auto"/>
              </w:rPr>
            </w:pPr>
            <w:r>
              <w:rPr>
                <w:rFonts w:ascii="Arial" w:cs="Arial" w:eastAsia="Arial" w:hAnsi="Arial"/>
                <w:sz w:val="18"/>
                <w:szCs w:val="18"/>
                <w:b w:val="1"/>
                <w:bCs w:val="1"/>
                <w:color w:val="auto"/>
                <w:w w:val="88"/>
              </w:rPr>
              <w:t>the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gridSpan w:val="2"/>
            <w:vMerge w:val="restart"/>
          </w:tcPr>
          <w:p>
            <w:pPr>
              <w:jc w:val="center"/>
              <w:ind w:right="260"/>
              <w:spacing w:after="0"/>
              <w:rPr>
                <w:sz w:val="20"/>
                <w:szCs w:val="20"/>
                <w:color w:val="auto"/>
              </w:rPr>
            </w:pPr>
            <w:r>
              <w:rPr>
                <w:rFonts w:ascii="Arial" w:cs="Arial" w:eastAsia="Arial" w:hAnsi="Arial"/>
                <w:sz w:val="18"/>
                <w:szCs w:val="18"/>
                <w:b w:val="1"/>
                <w:bCs w:val="1"/>
                <w:color w:val="auto"/>
                <w:w w:val="96"/>
              </w:rPr>
              <w:t>Net</w:t>
            </w:r>
          </w:p>
        </w:tc>
        <w:tc>
          <w:tcPr>
            <w:tcW w:w="80" w:type="dxa"/>
            <w:vAlign w:val="bottom"/>
            <w:tcBorders>
              <w:bottom w:val="single" w:sz="8" w:color="auto"/>
            </w:tcBorders>
          </w:tcPr>
          <w:p>
            <w:pPr>
              <w:spacing w:after="0"/>
              <w:rPr>
                <w:sz w:val="11"/>
                <w:szCs w:val="11"/>
                <w:color w:val="auto"/>
              </w:rPr>
            </w:pPr>
          </w:p>
        </w:tc>
        <w:tc>
          <w:tcPr>
            <w:tcW w:w="2180" w:type="dxa"/>
            <w:vAlign w:val="bottom"/>
            <w:tcBorders>
              <w:bottom w:val="single" w:sz="8" w:color="auto"/>
            </w:tcBorders>
            <w:gridSpan w:val="5"/>
            <w:vMerge w:val="continue"/>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2"/>
        </w:trPr>
        <w:tc>
          <w:tcPr>
            <w:tcW w:w="464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0" w:type="dxa"/>
            <w:vAlign w:val="bottom"/>
            <w:gridSpan w:val="4"/>
            <w:vMerge w:val="continue"/>
          </w:tcPr>
          <w:p>
            <w:pPr>
              <w:spacing w:after="0"/>
              <w:rPr>
                <w:sz w:val="5"/>
                <w:szCs w:val="5"/>
                <w:color w:val="auto"/>
              </w:rPr>
            </w:pPr>
          </w:p>
        </w:tc>
        <w:tc>
          <w:tcPr>
            <w:tcW w:w="100" w:type="dxa"/>
            <w:vAlign w:val="bottom"/>
          </w:tcPr>
          <w:p>
            <w:pPr>
              <w:spacing w:after="0"/>
              <w:rPr>
                <w:sz w:val="5"/>
                <w:szCs w:val="5"/>
                <w:color w:val="auto"/>
              </w:rPr>
            </w:pPr>
          </w:p>
        </w:tc>
        <w:tc>
          <w:tcPr>
            <w:tcW w:w="920" w:type="dxa"/>
            <w:vAlign w:val="bottom"/>
            <w:gridSpan w:val="2"/>
            <w:vMerge w:val="continue"/>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980" w:type="dxa"/>
            <w:vAlign w:val="bottom"/>
            <w:gridSpan w:val="2"/>
            <w:vMerge w:val="continue"/>
          </w:tcPr>
          <w:p>
            <w:pPr>
              <w:spacing w:after="0"/>
              <w:rPr>
                <w:sz w:val="5"/>
                <w:szCs w:val="5"/>
                <w:color w:val="auto"/>
              </w:rPr>
            </w:pPr>
          </w:p>
        </w:tc>
        <w:tc>
          <w:tcPr>
            <w:tcW w:w="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9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8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4"/>
        </w:trPr>
        <w:tc>
          <w:tcPr>
            <w:tcW w:w="4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0" w:type="dxa"/>
            <w:vAlign w:val="bottom"/>
            <w:gridSpan w:val="4"/>
          </w:tcPr>
          <w:p>
            <w:pPr>
              <w:jc w:val="center"/>
              <w:ind w:right="260"/>
              <w:spacing w:after="0"/>
              <w:rPr>
                <w:sz w:val="20"/>
                <w:szCs w:val="20"/>
                <w:color w:val="auto"/>
              </w:rPr>
            </w:pPr>
            <w:r>
              <w:rPr>
                <w:rFonts w:ascii="Arial" w:cs="Arial" w:eastAsia="Arial" w:hAnsi="Arial"/>
                <w:sz w:val="18"/>
                <w:szCs w:val="18"/>
                <w:b w:val="1"/>
                <w:bCs w:val="1"/>
                <w:color w:val="auto"/>
                <w:w w:val="85"/>
              </w:rPr>
              <w:t>Recognized</w:t>
            </w:r>
          </w:p>
        </w:tc>
        <w:tc>
          <w:tcPr>
            <w:tcW w:w="100" w:type="dxa"/>
            <w:vAlign w:val="bottom"/>
          </w:tcPr>
          <w:p>
            <w:pPr>
              <w:spacing w:after="0"/>
              <w:rPr>
                <w:sz w:val="18"/>
                <w:szCs w:val="18"/>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6"/>
              </w:rPr>
              <w:t>Balance</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4"/>
              </w:rPr>
              <w:t>Liability</w:t>
            </w:r>
          </w:p>
        </w:tc>
        <w:tc>
          <w:tcPr>
            <w:tcW w:w="80" w:type="dxa"/>
            <w:vAlign w:val="bottom"/>
          </w:tcPr>
          <w:p>
            <w:pPr>
              <w:spacing w:after="0"/>
              <w:rPr>
                <w:sz w:val="18"/>
                <w:szCs w:val="18"/>
                <w:color w:val="auto"/>
              </w:rPr>
            </w:pPr>
          </w:p>
        </w:tc>
        <w:tc>
          <w:tcPr>
            <w:tcW w:w="1020" w:type="dxa"/>
            <w:vAlign w:val="bottom"/>
          </w:tcPr>
          <w:p>
            <w:pPr>
              <w:jc w:val="center"/>
              <w:ind w:right="71"/>
              <w:spacing w:after="0"/>
              <w:rPr>
                <w:sz w:val="20"/>
                <w:szCs w:val="20"/>
                <w:color w:val="auto"/>
              </w:rPr>
            </w:pPr>
            <w:r>
              <w:rPr>
                <w:rFonts w:ascii="Arial" w:cs="Arial" w:eastAsia="Arial" w:hAnsi="Arial"/>
                <w:sz w:val="18"/>
                <w:szCs w:val="18"/>
                <w:b w:val="1"/>
                <w:bCs w:val="1"/>
                <w:color w:val="auto"/>
                <w:w w:val="89"/>
              </w:rPr>
              <w:t>Financial</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2"/>
              </w:rPr>
              <w:t>Collateral</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center"/>
              <w:ind w:right="91"/>
              <w:spacing w:after="0"/>
              <w:rPr>
                <w:sz w:val="20"/>
                <w:szCs w:val="20"/>
                <w:color w:val="auto"/>
              </w:rPr>
            </w:pPr>
            <w:r>
              <w:rPr>
                <w:rFonts w:ascii="Arial" w:cs="Arial" w:eastAsia="Arial" w:hAnsi="Arial"/>
                <w:sz w:val="18"/>
                <w:szCs w:val="18"/>
                <w:b w:val="1"/>
                <w:bCs w:val="1"/>
                <w:color w:val="auto"/>
                <w:w w:val="89"/>
              </w:rPr>
              <w:t>Net</w:t>
            </w:r>
          </w:p>
        </w:tc>
        <w:tc>
          <w:tcPr>
            <w:tcW w:w="0" w:type="dxa"/>
            <w:vAlign w:val="bottom"/>
          </w:tcPr>
          <w:p>
            <w:pPr>
              <w:spacing w:after="0"/>
              <w:rPr>
                <w:sz w:val="1"/>
                <w:szCs w:val="1"/>
                <w:color w:val="auto"/>
              </w:rPr>
            </w:pPr>
          </w:p>
        </w:tc>
      </w:tr>
      <w:tr>
        <w:trPr>
          <w:trHeight w:val="239"/>
        </w:trPr>
        <w:tc>
          <w:tcPr>
            <w:tcW w:w="46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8"/>
                <w:szCs w:val="18"/>
                <w:b w:val="1"/>
                <w:bCs w:val="1"/>
                <w:color w:val="auto"/>
                <w:w w:val="93"/>
              </w:rPr>
              <w:t>Liabilities</w:t>
            </w: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gridSpan w:val="2"/>
          </w:tcPr>
          <w:p>
            <w:pPr>
              <w:jc w:val="center"/>
              <w:ind w:right="180"/>
              <w:spacing w:after="0"/>
              <w:rPr>
                <w:sz w:val="20"/>
                <w:szCs w:val="20"/>
                <w:color w:val="auto"/>
              </w:rPr>
            </w:pPr>
            <w:r>
              <w:rPr>
                <w:rFonts w:ascii="Arial" w:cs="Arial" w:eastAsia="Arial" w:hAnsi="Arial"/>
                <w:sz w:val="18"/>
                <w:szCs w:val="18"/>
                <w:b w:val="1"/>
                <w:bCs w:val="1"/>
                <w:color w:val="auto"/>
                <w:w w:val="85"/>
              </w:rPr>
              <w:t>Sheet</w:t>
            </w:r>
          </w:p>
        </w:tc>
        <w:tc>
          <w:tcPr>
            <w:tcW w:w="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ind w:right="91"/>
              <w:spacing w:after="0"/>
              <w:rPr>
                <w:sz w:val="20"/>
                <w:szCs w:val="20"/>
                <w:color w:val="auto"/>
              </w:rPr>
            </w:pPr>
            <w:r>
              <w:rPr>
                <w:rFonts w:ascii="Arial" w:cs="Arial" w:eastAsia="Arial" w:hAnsi="Arial"/>
                <w:sz w:val="18"/>
                <w:szCs w:val="18"/>
                <w:b w:val="1"/>
                <w:bCs w:val="1"/>
                <w:color w:val="auto"/>
                <w:w w:val="86"/>
              </w:rPr>
              <w:t>Balance</w:t>
            </w:r>
          </w:p>
        </w:tc>
        <w:tc>
          <w:tcPr>
            <w:tcW w:w="80" w:type="dxa"/>
            <w:vAlign w:val="bottom"/>
          </w:tcPr>
          <w:p>
            <w:pPr>
              <w:spacing w:after="0"/>
              <w:rPr>
                <w:sz w:val="20"/>
                <w:szCs w:val="20"/>
                <w:color w:val="auto"/>
              </w:rPr>
            </w:pPr>
          </w:p>
        </w:tc>
        <w:tc>
          <w:tcPr>
            <w:tcW w:w="110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1"/>
              </w:rPr>
              <w:t>Instruments</w:t>
            </w: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gridSpan w:val="2"/>
          </w:tcPr>
          <w:p>
            <w:pPr>
              <w:jc w:val="center"/>
              <w:ind w:right="180"/>
              <w:spacing w:after="0"/>
              <w:rPr>
                <w:sz w:val="20"/>
                <w:szCs w:val="20"/>
                <w:color w:val="auto"/>
              </w:rPr>
            </w:pPr>
            <w:r>
              <w:rPr>
                <w:rFonts w:ascii="Arial" w:cs="Arial" w:eastAsia="Arial" w:hAnsi="Arial"/>
                <w:sz w:val="18"/>
                <w:szCs w:val="18"/>
                <w:b w:val="1"/>
                <w:bCs w:val="1"/>
                <w:color w:val="auto"/>
                <w:w w:val="85"/>
              </w:rPr>
              <w:t>Pledged</w:t>
            </w:r>
          </w:p>
        </w:tc>
        <w:tc>
          <w:tcPr>
            <w:tcW w:w="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center"/>
              <w:ind w:right="91"/>
              <w:spacing w:after="0"/>
              <w:rPr>
                <w:sz w:val="20"/>
                <w:szCs w:val="20"/>
                <w:color w:val="auto"/>
              </w:rPr>
            </w:pPr>
            <w:r>
              <w:rPr>
                <w:rFonts w:ascii="Arial" w:cs="Arial" w:eastAsia="Arial" w:hAnsi="Arial"/>
                <w:sz w:val="18"/>
                <w:szCs w:val="18"/>
                <w:b w:val="1"/>
                <w:bCs w:val="1"/>
                <w:color w:val="auto"/>
                <w:w w:val="91"/>
              </w:rPr>
              <w:t>Amount</w:t>
            </w:r>
          </w:p>
        </w:tc>
        <w:tc>
          <w:tcPr>
            <w:tcW w:w="0" w:type="dxa"/>
            <w:vAlign w:val="bottom"/>
          </w:tcPr>
          <w:p>
            <w:pPr>
              <w:spacing w:after="0"/>
              <w:rPr>
                <w:sz w:val="1"/>
                <w:szCs w:val="1"/>
                <w:color w:val="auto"/>
              </w:rPr>
            </w:pPr>
          </w:p>
        </w:tc>
      </w:tr>
      <w:tr>
        <w:trPr>
          <w:trHeight w:val="414"/>
        </w:trPr>
        <w:tc>
          <w:tcPr>
            <w:tcW w:w="4640" w:type="dxa"/>
            <w:vAlign w:val="bottom"/>
          </w:tcPr>
          <w:p>
            <w:pPr>
              <w:ind w:left="60"/>
              <w:spacing w:after="0"/>
              <w:rPr>
                <w:sz w:val="20"/>
                <w:szCs w:val="20"/>
                <w:color w:val="auto"/>
              </w:rPr>
            </w:pPr>
            <w:r>
              <w:rPr>
                <w:rFonts w:ascii="Arial" w:cs="Arial" w:eastAsia="Arial" w:hAnsi="Arial"/>
                <w:sz w:val="18"/>
                <w:szCs w:val="18"/>
                <w:color w:val="auto"/>
                <w:w w:val="97"/>
              </w:rPr>
              <w:t>Repurchase agreements / reverse repurchase agreements</w:t>
            </w:r>
          </w:p>
        </w:tc>
        <w:tc>
          <w:tcPr>
            <w:tcW w:w="1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350,000</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(350,000)</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5"/>
        </w:trPr>
        <w:tc>
          <w:tcPr>
            <w:tcW w:w="4640" w:type="dxa"/>
            <w:vAlign w:val="bottom"/>
          </w:tcPr>
          <w:p>
            <w:pPr>
              <w:ind w:left="60"/>
              <w:spacing w:after="0"/>
              <w:rPr>
                <w:sz w:val="20"/>
                <w:szCs w:val="20"/>
                <w:color w:val="auto"/>
              </w:rPr>
            </w:pPr>
            <w:r>
              <w:rPr>
                <w:rFonts w:ascii="Arial" w:cs="Arial" w:eastAsia="Arial" w:hAnsi="Arial"/>
                <w:sz w:val="18"/>
                <w:szCs w:val="18"/>
                <w:color w:val="auto"/>
              </w:rPr>
              <w:t>Derivatives</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8"/>
                <w:szCs w:val="18"/>
                <w:color w:val="auto"/>
              </w:rPr>
              <w:t>29,330</w:t>
            </w: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29,330</w:t>
            </w:r>
          </w:p>
        </w:tc>
        <w:tc>
          <w:tcPr>
            <w:tcW w:w="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18,198</w:t>
            </w:r>
          </w:p>
        </w:tc>
        <w:tc>
          <w:tcPr>
            <w:tcW w:w="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11,132</w:t>
            </w:r>
          </w:p>
        </w:tc>
        <w:tc>
          <w:tcPr>
            <w:tcW w:w="0" w:type="dxa"/>
            <w:vAlign w:val="bottom"/>
          </w:tcPr>
          <w:p>
            <w:pPr>
              <w:spacing w:after="0"/>
              <w:rPr>
                <w:sz w:val="1"/>
                <w:szCs w:val="1"/>
                <w:color w:val="auto"/>
              </w:rPr>
            </w:pPr>
          </w:p>
        </w:tc>
      </w:tr>
      <w:tr>
        <w:trPr>
          <w:trHeight w:val="214"/>
        </w:trPr>
        <w:tc>
          <w:tcPr>
            <w:tcW w:w="4640" w:type="dxa"/>
            <w:vAlign w:val="bottom"/>
          </w:tcPr>
          <w:p>
            <w:pPr>
              <w:ind w:left="280"/>
              <w:spacing w:after="0"/>
              <w:rPr>
                <w:sz w:val="20"/>
                <w:szCs w:val="20"/>
                <w:color w:val="auto"/>
              </w:rPr>
            </w:pPr>
            <w:r>
              <w:rPr>
                <w:rFonts w:ascii="Arial" w:cs="Arial" w:eastAsia="Arial" w:hAnsi="Arial"/>
                <w:sz w:val="18"/>
                <w:szCs w:val="18"/>
                <w:color w:val="auto"/>
              </w:rPr>
              <w:t>Total</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379,330</w:t>
            </w:r>
          </w:p>
        </w:tc>
        <w:tc>
          <w:tcPr>
            <w:tcW w:w="16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(350,000)</w:t>
            </w:r>
          </w:p>
        </w:tc>
        <w:tc>
          <w:tcPr>
            <w:tcW w:w="8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29,330</w:t>
            </w:r>
          </w:p>
        </w:tc>
        <w:tc>
          <w:tcPr>
            <w:tcW w:w="8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18,198</w:t>
            </w:r>
          </w:p>
        </w:tc>
        <w:tc>
          <w:tcPr>
            <w:tcW w:w="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11,132</w:t>
            </w:r>
          </w:p>
        </w:tc>
        <w:tc>
          <w:tcPr>
            <w:tcW w:w="0" w:type="dxa"/>
            <w:vAlign w:val="bottom"/>
          </w:tcPr>
          <w:p>
            <w:pPr>
              <w:spacing w:after="0"/>
              <w:rPr>
                <w:sz w:val="1"/>
                <w:szCs w:val="1"/>
                <w:color w:val="auto"/>
              </w:rPr>
            </w:pPr>
          </w:p>
        </w:tc>
      </w:tr>
      <w:tr>
        <w:trPr>
          <w:trHeight w:val="20"/>
        </w:trPr>
        <w:tc>
          <w:tcPr>
            <w:tcW w:w="4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0"/>
        </w:trPr>
        <w:tc>
          <w:tcPr>
            <w:tcW w:w="4640" w:type="dxa"/>
            <w:vAlign w:val="bottom"/>
          </w:tcPr>
          <w:p>
            <w:pPr>
              <w:ind w:left="40"/>
              <w:spacing w:after="0"/>
              <w:rPr>
                <w:sz w:val="20"/>
                <w:szCs w:val="20"/>
                <w:color w:val="auto"/>
              </w:rPr>
            </w:pPr>
            <w:r>
              <w:rPr>
                <w:rFonts w:ascii="Arial" w:cs="Arial" w:eastAsia="Arial" w:hAnsi="Arial"/>
                <w:sz w:val="18"/>
                <w:szCs w:val="18"/>
                <w:color w:val="auto"/>
                <w:w w:val="99"/>
              </w:rPr>
              <w:t>Weighted average interest rate of repurchase agreements</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.25%</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4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4"/>
              </w:rPr>
              <w:t>Gross</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4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9"/>
              </w:rPr>
              <w:t>Amounts</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180" w:type="dxa"/>
            <w:vAlign w:val="bottom"/>
            <w:gridSpan w:val="5"/>
            <w:vMerge w:val="restart"/>
          </w:tcPr>
          <w:p>
            <w:pPr>
              <w:jc w:val="center"/>
              <w:ind w:right="160"/>
              <w:spacing w:after="0"/>
              <w:rPr>
                <w:sz w:val="20"/>
                <w:szCs w:val="20"/>
                <w:color w:val="auto"/>
              </w:rPr>
            </w:pPr>
            <w:r>
              <w:rPr>
                <w:rFonts w:ascii="Arial" w:cs="Arial" w:eastAsia="Arial" w:hAnsi="Arial"/>
                <w:sz w:val="18"/>
                <w:szCs w:val="18"/>
                <w:b w:val="1"/>
                <w:bCs w:val="1"/>
                <w:color w:val="auto"/>
                <w:w w:val="87"/>
              </w:rPr>
              <w:t>Gross Amounts not Offset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7"/>
        </w:trPr>
        <w:tc>
          <w:tcPr>
            <w:tcW w:w="464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120" w:type="dxa"/>
            <w:vAlign w:val="bottom"/>
            <w:gridSpan w:val="3"/>
            <w:vMerge w:val="restart"/>
          </w:tcPr>
          <w:p>
            <w:pPr>
              <w:jc w:val="center"/>
              <w:ind w:right="340"/>
              <w:spacing w:after="0"/>
              <w:rPr>
                <w:sz w:val="20"/>
                <w:szCs w:val="20"/>
                <w:color w:val="auto"/>
              </w:rPr>
            </w:pPr>
            <w:r>
              <w:rPr>
                <w:rFonts w:ascii="Arial" w:cs="Arial" w:eastAsia="Arial" w:hAnsi="Arial"/>
                <w:sz w:val="18"/>
                <w:szCs w:val="18"/>
                <w:b w:val="1"/>
                <w:bCs w:val="1"/>
                <w:color w:val="auto"/>
                <w:w w:val="88"/>
              </w:rPr>
              <w:t>Gross</w:t>
            </w:r>
          </w:p>
        </w:tc>
        <w:tc>
          <w:tcPr>
            <w:tcW w:w="100" w:type="dxa"/>
            <w:vAlign w:val="bottom"/>
          </w:tcPr>
          <w:p>
            <w:pPr>
              <w:spacing w:after="0"/>
              <w:rPr>
                <w:sz w:val="9"/>
                <w:szCs w:val="9"/>
                <w:color w:val="auto"/>
              </w:rPr>
            </w:pPr>
          </w:p>
        </w:tc>
        <w:tc>
          <w:tcPr>
            <w:tcW w:w="920" w:type="dxa"/>
            <w:vAlign w:val="bottom"/>
            <w:gridSpan w:val="2"/>
            <w:vMerge w:val="restart"/>
          </w:tcPr>
          <w:p>
            <w:pPr>
              <w:jc w:val="center"/>
              <w:ind w:right="180"/>
              <w:spacing w:after="0"/>
              <w:rPr>
                <w:sz w:val="20"/>
                <w:szCs w:val="20"/>
                <w:color w:val="auto"/>
              </w:rPr>
            </w:pPr>
            <w:r>
              <w:rPr>
                <w:rFonts w:ascii="Arial" w:cs="Arial" w:eastAsia="Arial" w:hAnsi="Arial"/>
                <w:sz w:val="18"/>
                <w:szCs w:val="18"/>
                <w:b w:val="1"/>
                <w:bCs w:val="1"/>
                <w:color w:val="auto"/>
                <w:w w:val="88"/>
              </w:rPr>
              <w:t>Offset on</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9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180" w:type="dxa"/>
            <w:vAlign w:val="bottom"/>
            <w:gridSpan w:val="5"/>
            <w:vMerge w:val="continue"/>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464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120" w:type="dxa"/>
            <w:vAlign w:val="bottom"/>
            <w:gridSpan w:val="3"/>
            <w:vMerge w:val="continue"/>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9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180" w:type="dxa"/>
            <w:vAlign w:val="bottom"/>
            <w:gridSpan w:val="5"/>
            <w:vMerge w:val="restart"/>
          </w:tcPr>
          <w:p>
            <w:pPr>
              <w:jc w:val="center"/>
              <w:ind w:right="160"/>
              <w:spacing w:after="0"/>
              <w:rPr>
                <w:sz w:val="20"/>
                <w:szCs w:val="20"/>
                <w:color w:val="auto"/>
              </w:rPr>
            </w:pPr>
            <w:r>
              <w:rPr>
                <w:rFonts w:ascii="Arial" w:cs="Arial" w:eastAsia="Arial" w:hAnsi="Arial"/>
                <w:sz w:val="18"/>
                <w:szCs w:val="18"/>
                <w:b w:val="1"/>
                <w:bCs w:val="1"/>
                <w:color w:val="auto"/>
                <w:w w:val="87"/>
              </w:rPr>
              <w:t>in the Balance Sheet</w:t>
            </w: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2"/>
        </w:trPr>
        <w:tc>
          <w:tcPr>
            <w:tcW w:w="4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0" w:type="dxa"/>
            <w:vAlign w:val="bottom"/>
            <w:gridSpan w:val="4"/>
            <w:vMerge w:val="restart"/>
          </w:tcPr>
          <w:p>
            <w:pPr>
              <w:jc w:val="center"/>
              <w:ind w:right="260"/>
              <w:spacing w:after="0"/>
              <w:rPr>
                <w:sz w:val="20"/>
                <w:szCs w:val="20"/>
                <w:color w:val="auto"/>
              </w:rPr>
            </w:pPr>
            <w:r>
              <w:rPr>
                <w:rFonts w:ascii="Arial" w:cs="Arial" w:eastAsia="Arial" w:hAnsi="Arial"/>
                <w:sz w:val="18"/>
                <w:szCs w:val="18"/>
                <w:b w:val="1"/>
                <w:bCs w:val="1"/>
                <w:color w:val="auto"/>
                <w:w w:val="89"/>
              </w:rPr>
              <w:t>Amounts of</w:t>
            </w:r>
          </w:p>
        </w:tc>
        <w:tc>
          <w:tcPr>
            <w:tcW w:w="100" w:type="dxa"/>
            <w:vAlign w:val="bottom"/>
          </w:tcPr>
          <w:p>
            <w:pPr>
              <w:spacing w:after="0"/>
              <w:rPr>
                <w:sz w:val="11"/>
                <w:szCs w:val="11"/>
                <w:color w:val="auto"/>
              </w:rPr>
            </w:pPr>
          </w:p>
        </w:tc>
        <w:tc>
          <w:tcPr>
            <w:tcW w:w="920" w:type="dxa"/>
            <w:vAlign w:val="bottom"/>
            <w:gridSpan w:val="2"/>
            <w:vMerge w:val="restart"/>
          </w:tcPr>
          <w:p>
            <w:pPr>
              <w:jc w:val="center"/>
              <w:ind w:right="200"/>
              <w:spacing w:after="0"/>
              <w:rPr>
                <w:sz w:val="20"/>
                <w:szCs w:val="20"/>
                <w:color w:val="auto"/>
              </w:rPr>
            </w:pPr>
            <w:r>
              <w:rPr>
                <w:rFonts w:ascii="Arial" w:cs="Arial" w:eastAsia="Arial" w:hAnsi="Arial"/>
                <w:sz w:val="18"/>
                <w:szCs w:val="18"/>
                <w:b w:val="1"/>
                <w:bCs w:val="1"/>
                <w:color w:val="auto"/>
                <w:w w:val="88"/>
              </w:rPr>
              <w:t>the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180" w:type="dxa"/>
            <w:vAlign w:val="bottom"/>
            <w:tcBorders>
              <w:bottom w:val="single" w:sz="8" w:color="auto"/>
            </w:tcBorders>
            <w:gridSpan w:val="5"/>
            <w:vMerge w:val="continue"/>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2"/>
        </w:trPr>
        <w:tc>
          <w:tcPr>
            <w:tcW w:w="464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0" w:type="dxa"/>
            <w:vAlign w:val="bottom"/>
            <w:gridSpan w:val="4"/>
            <w:vMerge w:val="continue"/>
          </w:tcPr>
          <w:p>
            <w:pPr>
              <w:spacing w:after="0"/>
              <w:rPr>
                <w:sz w:val="5"/>
                <w:szCs w:val="5"/>
                <w:color w:val="auto"/>
              </w:rPr>
            </w:pPr>
          </w:p>
        </w:tc>
        <w:tc>
          <w:tcPr>
            <w:tcW w:w="100" w:type="dxa"/>
            <w:vAlign w:val="bottom"/>
          </w:tcPr>
          <w:p>
            <w:pPr>
              <w:spacing w:after="0"/>
              <w:rPr>
                <w:sz w:val="5"/>
                <w:szCs w:val="5"/>
                <w:color w:val="auto"/>
              </w:rPr>
            </w:pPr>
          </w:p>
        </w:tc>
        <w:tc>
          <w:tcPr>
            <w:tcW w:w="920" w:type="dxa"/>
            <w:vAlign w:val="bottom"/>
            <w:gridSpan w:val="2"/>
            <w:vMerge w:val="continue"/>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9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9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8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4"/>
        </w:trPr>
        <w:tc>
          <w:tcPr>
            <w:tcW w:w="4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0" w:type="dxa"/>
            <w:vAlign w:val="bottom"/>
            <w:gridSpan w:val="4"/>
          </w:tcPr>
          <w:p>
            <w:pPr>
              <w:jc w:val="center"/>
              <w:ind w:right="260"/>
              <w:spacing w:after="0"/>
              <w:rPr>
                <w:sz w:val="20"/>
                <w:szCs w:val="20"/>
                <w:color w:val="auto"/>
              </w:rPr>
            </w:pPr>
            <w:r>
              <w:rPr>
                <w:rFonts w:ascii="Arial" w:cs="Arial" w:eastAsia="Arial" w:hAnsi="Arial"/>
                <w:sz w:val="18"/>
                <w:szCs w:val="18"/>
                <w:b w:val="1"/>
                <w:bCs w:val="1"/>
                <w:color w:val="auto"/>
                <w:w w:val="85"/>
              </w:rPr>
              <w:t>Recognized</w:t>
            </w:r>
          </w:p>
        </w:tc>
        <w:tc>
          <w:tcPr>
            <w:tcW w:w="100" w:type="dxa"/>
            <w:vAlign w:val="bottom"/>
          </w:tcPr>
          <w:p>
            <w:pPr>
              <w:spacing w:after="0"/>
              <w:rPr>
                <w:sz w:val="18"/>
                <w:szCs w:val="18"/>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6"/>
              </w:rPr>
              <w:t>Balance</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6"/>
              </w:rPr>
              <w:t>Net Asset</w:t>
            </w:r>
          </w:p>
        </w:tc>
        <w:tc>
          <w:tcPr>
            <w:tcW w:w="80" w:type="dxa"/>
            <w:vAlign w:val="bottom"/>
          </w:tcPr>
          <w:p>
            <w:pPr>
              <w:spacing w:after="0"/>
              <w:rPr>
                <w:sz w:val="18"/>
                <w:szCs w:val="18"/>
                <w:color w:val="auto"/>
              </w:rPr>
            </w:pPr>
          </w:p>
        </w:tc>
        <w:tc>
          <w:tcPr>
            <w:tcW w:w="1020" w:type="dxa"/>
            <w:vAlign w:val="bottom"/>
          </w:tcPr>
          <w:p>
            <w:pPr>
              <w:jc w:val="center"/>
              <w:ind w:right="71"/>
              <w:spacing w:after="0"/>
              <w:rPr>
                <w:sz w:val="20"/>
                <w:szCs w:val="20"/>
                <w:color w:val="auto"/>
              </w:rPr>
            </w:pPr>
            <w:r>
              <w:rPr>
                <w:rFonts w:ascii="Arial" w:cs="Arial" w:eastAsia="Arial" w:hAnsi="Arial"/>
                <w:sz w:val="18"/>
                <w:szCs w:val="18"/>
                <w:b w:val="1"/>
                <w:bCs w:val="1"/>
                <w:color w:val="auto"/>
                <w:w w:val="89"/>
              </w:rPr>
              <w:t>Financial</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2"/>
              </w:rPr>
              <w:t>Collateral</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center"/>
              <w:ind w:right="91"/>
              <w:spacing w:after="0"/>
              <w:rPr>
                <w:sz w:val="20"/>
                <w:szCs w:val="20"/>
                <w:color w:val="auto"/>
              </w:rPr>
            </w:pPr>
            <w:r>
              <w:rPr>
                <w:rFonts w:ascii="Arial" w:cs="Arial" w:eastAsia="Arial" w:hAnsi="Arial"/>
                <w:sz w:val="18"/>
                <w:szCs w:val="18"/>
                <w:b w:val="1"/>
                <w:bCs w:val="1"/>
                <w:color w:val="auto"/>
                <w:w w:val="89"/>
              </w:rPr>
              <w:t>Net</w:t>
            </w:r>
          </w:p>
        </w:tc>
        <w:tc>
          <w:tcPr>
            <w:tcW w:w="0" w:type="dxa"/>
            <w:vAlign w:val="bottom"/>
          </w:tcPr>
          <w:p>
            <w:pPr>
              <w:spacing w:after="0"/>
              <w:rPr>
                <w:sz w:val="1"/>
                <w:szCs w:val="1"/>
                <w:color w:val="auto"/>
              </w:rPr>
            </w:pPr>
          </w:p>
        </w:tc>
      </w:tr>
      <w:tr>
        <w:trPr>
          <w:trHeight w:val="239"/>
        </w:trPr>
        <w:tc>
          <w:tcPr>
            <w:tcW w:w="464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rPr>
              <w:t>December 31, 2012</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8"/>
                <w:szCs w:val="18"/>
                <w:b w:val="1"/>
                <w:bCs w:val="1"/>
                <w:color w:val="auto"/>
                <w:w w:val="77"/>
              </w:rPr>
              <w:t>Assets</w:t>
            </w: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gridSpan w:val="2"/>
          </w:tcPr>
          <w:p>
            <w:pPr>
              <w:jc w:val="center"/>
              <w:ind w:right="180"/>
              <w:spacing w:after="0"/>
              <w:rPr>
                <w:sz w:val="20"/>
                <w:szCs w:val="20"/>
                <w:color w:val="auto"/>
              </w:rPr>
            </w:pPr>
            <w:r>
              <w:rPr>
                <w:rFonts w:ascii="Arial" w:cs="Arial" w:eastAsia="Arial" w:hAnsi="Arial"/>
                <w:sz w:val="18"/>
                <w:szCs w:val="18"/>
                <w:b w:val="1"/>
                <w:bCs w:val="1"/>
                <w:color w:val="auto"/>
                <w:w w:val="85"/>
              </w:rPr>
              <w:t>Sheet</w:t>
            </w:r>
          </w:p>
        </w:tc>
        <w:tc>
          <w:tcPr>
            <w:tcW w:w="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ind w:right="91"/>
              <w:spacing w:after="0"/>
              <w:rPr>
                <w:sz w:val="20"/>
                <w:szCs w:val="20"/>
                <w:color w:val="auto"/>
              </w:rPr>
            </w:pPr>
            <w:r>
              <w:rPr>
                <w:rFonts w:ascii="Arial" w:cs="Arial" w:eastAsia="Arial" w:hAnsi="Arial"/>
                <w:sz w:val="18"/>
                <w:szCs w:val="18"/>
                <w:b w:val="1"/>
                <w:bCs w:val="1"/>
                <w:color w:val="auto"/>
                <w:w w:val="86"/>
              </w:rPr>
              <w:t>Balance</w:t>
            </w:r>
          </w:p>
        </w:tc>
        <w:tc>
          <w:tcPr>
            <w:tcW w:w="80" w:type="dxa"/>
            <w:vAlign w:val="bottom"/>
          </w:tcPr>
          <w:p>
            <w:pPr>
              <w:spacing w:after="0"/>
              <w:rPr>
                <w:sz w:val="20"/>
                <w:szCs w:val="20"/>
                <w:color w:val="auto"/>
              </w:rPr>
            </w:pPr>
          </w:p>
        </w:tc>
        <w:tc>
          <w:tcPr>
            <w:tcW w:w="110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1"/>
              </w:rPr>
              <w:t>Instruments</w:t>
            </w: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gridSpan w:val="2"/>
          </w:tcPr>
          <w:p>
            <w:pPr>
              <w:jc w:val="center"/>
              <w:ind w:right="180"/>
              <w:spacing w:after="0"/>
              <w:rPr>
                <w:sz w:val="20"/>
                <w:szCs w:val="20"/>
                <w:color w:val="auto"/>
              </w:rPr>
            </w:pPr>
            <w:r>
              <w:rPr>
                <w:rFonts w:ascii="Arial" w:cs="Arial" w:eastAsia="Arial" w:hAnsi="Arial"/>
                <w:sz w:val="18"/>
                <w:szCs w:val="18"/>
                <w:b w:val="1"/>
                <w:bCs w:val="1"/>
                <w:color w:val="auto"/>
                <w:w w:val="85"/>
              </w:rPr>
              <w:t>Received</w:t>
            </w:r>
          </w:p>
        </w:tc>
        <w:tc>
          <w:tcPr>
            <w:tcW w:w="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center"/>
              <w:ind w:right="91"/>
              <w:spacing w:after="0"/>
              <w:rPr>
                <w:sz w:val="20"/>
                <w:szCs w:val="20"/>
                <w:color w:val="auto"/>
              </w:rPr>
            </w:pPr>
            <w:r>
              <w:rPr>
                <w:rFonts w:ascii="Arial" w:cs="Arial" w:eastAsia="Arial" w:hAnsi="Arial"/>
                <w:sz w:val="18"/>
                <w:szCs w:val="18"/>
                <w:b w:val="1"/>
                <w:bCs w:val="1"/>
                <w:color w:val="auto"/>
                <w:w w:val="91"/>
              </w:rPr>
              <w:t>Amount</w:t>
            </w:r>
          </w:p>
        </w:tc>
        <w:tc>
          <w:tcPr>
            <w:tcW w:w="0" w:type="dxa"/>
            <w:vAlign w:val="bottom"/>
          </w:tcPr>
          <w:p>
            <w:pPr>
              <w:spacing w:after="0"/>
              <w:rPr>
                <w:sz w:val="1"/>
                <w:szCs w:val="1"/>
                <w:color w:val="auto"/>
              </w:rPr>
            </w:pPr>
          </w:p>
        </w:tc>
      </w:tr>
      <w:tr>
        <w:trPr>
          <w:trHeight w:val="414"/>
        </w:trPr>
        <w:tc>
          <w:tcPr>
            <w:tcW w:w="4640" w:type="dxa"/>
            <w:vAlign w:val="bottom"/>
          </w:tcPr>
          <w:p>
            <w:pPr>
              <w:ind w:left="60"/>
              <w:spacing w:after="0"/>
              <w:rPr>
                <w:sz w:val="20"/>
                <w:szCs w:val="20"/>
                <w:color w:val="auto"/>
              </w:rPr>
            </w:pPr>
            <w:r>
              <w:rPr>
                <w:rFonts w:ascii="Arial" w:cs="Arial" w:eastAsia="Arial" w:hAnsi="Arial"/>
                <w:sz w:val="18"/>
                <w:szCs w:val="18"/>
                <w:color w:val="auto"/>
                <w:w w:val="97"/>
              </w:rPr>
              <w:t>Repurchase agreements / reverse repurchase agreements</w:t>
            </w:r>
          </w:p>
        </w:tc>
        <w:tc>
          <w:tcPr>
            <w:tcW w:w="1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325,000</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(265,000)</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60,000</w:t>
            </w:r>
          </w:p>
        </w:tc>
        <w:tc>
          <w:tcPr>
            <w:tcW w:w="8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60,000</w:t>
            </w:r>
          </w:p>
        </w:tc>
        <w:tc>
          <w:tcPr>
            <w:tcW w:w="0" w:type="dxa"/>
            <w:vAlign w:val="bottom"/>
          </w:tcPr>
          <w:p>
            <w:pPr>
              <w:spacing w:after="0"/>
              <w:rPr>
                <w:sz w:val="1"/>
                <w:szCs w:val="1"/>
                <w:color w:val="auto"/>
              </w:rPr>
            </w:pPr>
          </w:p>
        </w:tc>
      </w:tr>
      <w:tr>
        <w:trPr>
          <w:trHeight w:val="214"/>
        </w:trPr>
        <w:tc>
          <w:tcPr>
            <w:tcW w:w="4640" w:type="dxa"/>
            <w:vAlign w:val="bottom"/>
          </w:tcPr>
          <w:p>
            <w:pPr>
              <w:ind w:left="60"/>
              <w:spacing w:after="0"/>
              <w:rPr>
                <w:sz w:val="20"/>
                <w:szCs w:val="20"/>
                <w:color w:val="auto"/>
              </w:rPr>
            </w:pPr>
            <w:r>
              <w:rPr>
                <w:rFonts w:ascii="Arial" w:cs="Arial" w:eastAsia="Arial" w:hAnsi="Arial"/>
                <w:sz w:val="18"/>
                <w:szCs w:val="18"/>
                <w:color w:val="auto"/>
              </w:rPr>
              <w:t>Securities lending transactions</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50,000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(50,000)</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5"/>
        </w:trPr>
        <w:tc>
          <w:tcPr>
            <w:tcW w:w="4640" w:type="dxa"/>
            <w:vAlign w:val="bottom"/>
          </w:tcPr>
          <w:p>
            <w:pPr>
              <w:ind w:left="60"/>
              <w:spacing w:after="0"/>
              <w:rPr>
                <w:sz w:val="20"/>
                <w:szCs w:val="20"/>
                <w:color w:val="auto"/>
              </w:rPr>
            </w:pPr>
            <w:r>
              <w:rPr>
                <w:rFonts w:ascii="Arial" w:cs="Arial" w:eastAsia="Arial" w:hAnsi="Arial"/>
                <w:sz w:val="18"/>
                <w:szCs w:val="18"/>
                <w:color w:val="auto"/>
              </w:rPr>
              <w:t>Derivatives</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8"/>
                <w:szCs w:val="18"/>
                <w:color w:val="auto"/>
              </w:rPr>
              <w:t>658</w:t>
            </w: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658</w:t>
            </w:r>
          </w:p>
        </w:tc>
        <w:tc>
          <w:tcPr>
            <w:tcW w:w="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658</w:t>
            </w:r>
          </w:p>
        </w:tc>
        <w:tc>
          <w:tcPr>
            <w:tcW w:w="0" w:type="dxa"/>
            <w:vAlign w:val="bottom"/>
          </w:tcPr>
          <w:p>
            <w:pPr>
              <w:spacing w:after="0"/>
              <w:rPr>
                <w:sz w:val="1"/>
                <w:szCs w:val="1"/>
                <w:color w:val="auto"/>
              </w:rPr>
            </w:pPr>
          </w:p>
        </w:tc>
      </w:tr>
      <w:tr>
        <w:trPr>
          <w:trHeight w:val="214"/>
        </w:trPr>
        <w:tc>
          <w:tcPr>
            <w:tcW w:w="4640" w:type="dxa"/>
            <w:vAlign w:val="bottom"/>
          </w:tcPr>
          <w:p>
            <w:pPr>
              <w:ind w:left="280"/>
              <w:spacing w:after="0"/>
              <w:rPr>
                <w:sz w:val="20"/>
                <w:szCs w:val="20"/>
                <w:color w:val="auto"/>
              </w:rPr>
            </w:pPr>
            <w:r>
              <w:rPr>
                <w:rFonts w:ascii="Arial" w:cs="Arial" w:eastAsia="Arial" w:hAnsi="Arial"/>
                <w:sz w:val="18"/>
                <w:szCs w:val="18"/>
                <w:color w:val="auto"/>
              </w:rPr>
              <w:t>Total</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375,658</w:t>
            </w:r>
          </w:p>
        </w:tc>
        <w:tc>
          <w:tcPr>
            <w:tcW w:w="16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(315,000)</w:t>
            </w:r>
          </w:p>
        </w:tc>
        <w:tc>
          <w:tcPr>
            <w:tcW w:w="8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60,658</w:t>
            </w:r>
          </w:p>
        </w:tc>
        <w:tc>
          <w:tcPr>
            <w:tcW w:w="8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60,658</w:t>
            </w:r>
          </w:p>
        </w:tc>
        <w:tc>
          <w:tcPr>
            <w:tcW w:w="0" w:type="dxa"/>
            <w:vAlign w:val="bottom"/>
          </w:tcPr>
          <w:p>
            <w:pPr>
              <w:spacing w:after="0"/>
              <w:rPr>
                <w:sz w:val="1"/>
                <w:szCs w:val="1"/>
                <w:color w:val="auto"/>
              </w:rPr>
            </w:pPr>
          </w:p>
        </w:tc>
      </w:tr>
      <w:tr>
        <w:trPr>
          <w:trHeight w:val="20"/>
        </w:trPr>
        <w:tc>
          <w:tcPr>
            <w:tcW w:w="4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0"/>
        </w:trPr>
        <w:tc>
          <w:tcPr>
            <w:tcW w:w="4640" w:type="dxa"/>
            <w:vAlign w:val="bottom"/>
          </w:tcPr>
          <w:p>
            <w:pPr>
              <w:ind w:left="40"/>
              <w:spacing w:after="0"/>
              <w:rPr>
                <w:sz w:val="20"/>
                <w:szCs w:val="20"/>
                <w:color w:val="auto"/>
              </w:rPr>
            </w:pPr>
            <w:r>
              <w:rPr>
                <w:rFonts w:ascii="Arial" w:cs="Arial" w:eastAsia="Arial" w:hAnsi="Arial"/>
                <w:sz w:val="18"/>
                <w:szCs w:val="18"/>
                <w:color w:val="auto"/>
                <w:w w:val="87"/>
              </w:rPr>
              <w:t>Weighted average interest rate of reverse repurchase agreements</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1.18%</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4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4"/>
              </w:rPr>
              <w:t>Gross</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4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9"/>
              </w:rPr>
              <w:t>Amounts</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180" w:type="dxa"/>
            <w:vAlign w:val="bottom"/>
            <w:gridSpan w:val="5"/>
            <w:vMerge w:val="restart"/>
          </w:tcPr>
          <w:p>
            <w:pPr>
              <w:jc w:val="center"/>
              <w:ind w:right="160"/>
              <w:spacing w:after="0"/>
              <w:rPr>
                <w:sz w:val="20"/>
                <w:szCs w:val="20"/>
                <w:color w:val="auto"/>
              </w:rPr>
            </w:pPr>
            <w:r>
              <w:rPr>
                <w:rFonts w:ascii="Arial" w:cs="Arial" w:eastAsia="Arial" w:hAnsi="Arial"/>
                <w:sz w:val="18"/>
                <w:szCs w:val="18"/>
                <w:b w:val="1"/>
                <w:bCs w:val="1"/>
                <w:color w:val="auto"/>
                <w:w w:val="87"/>
              </w:rPr>
              <w:t>Gross Amounts not Offset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7"/>
        </w:trPr>
        <w:tc>
          <w:tcPr>
            <w:tcW w:w="464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120" w:type="dxa"/>
            <w:vAlign w:val="bottom"/>
            <w:gridSpan w:val="3"/>
            <w:vMerge w:val="restart"/>
          </w:tcPr>
          <w:p>
            <w:pPr>
              <w:jc w:val="center"/>
              <w:ind w:right="340"/>
              <w:spacing w:after="0"/>
              <w:rPr>
                <w:sz w:val="20"/>
                <w:szCs w:val="20"/>
                <w:color w:val="auto"/>
              </w:rPr>
            </w:pPr>
            <w:r>
              <w:rPr>
                <w:rFonts w:ascii="Arial" w:cs="Arial" w:eastAsia="Arial" w:hAnsi="Arial"/>
                <w:sz w:val="18"/>
                <w:szCs w:val="18"/>
                <w:b w:val="1"/>
                <w:bCs w:val="1"/>
                <w:color w:val="auto"/>
                <w:w w:val="88"/>
              </w:rPr>
              <w:t>Gross</w:t>
            </w:r>
          </w:p>
        </w:tc>
        <w:tc>
          <w:tcPr>
            <w:tcW w:w="100" w:type="dxa"/>
            <w:vAlign w:val="bottom"/>
          </w:tcPr>
          <w:p>
            <w:pPr>
              <w:spacing w:after="0"/>
              <w:rPr>
                <w:sz w:val="9"/>
                <w:szCs w:val="9"/>
                <w:color w:val="auto"/>
              </w:rPr>
            </w:pPr>
          </w:p>
        </w:tc>
        <w:tc>
          <w:tcPr>
            <w:tcW w:w="920" w:type="dxa"/>
            <w:vAlign w:val="bottom"/>
            <w:gridSpan w:val="2"/>
            <w:vMerge w:val="restart"/>
          </w:tcPr>
          <w:p>
            <w:pPr>
              <w:jc w:val="center"/>
              <w:ind w:right="180"/>
              <w:spacing w:after="0"/>
              <w:rPr>
                <w:sz w:val="20"/>
                <w:szCs w:val="20"/>
                <w:color w:val="auto"/>
              </w:rPr>
            </w:pPr>
            <w:r>
              <w:rPr>
                <w:rFonts w:ascii="Arial" w:cs="Arial" w:eastAsia="Arial" w:hAnsi="Arial"/>
                <w:sz w:val="18"/>
                <w:szCs w:val="18"/>
                <w:b w:val="1"/>
                <w:bCs w:val="1"/>
                <w:color w:val="auto"/>
                <w:w w:val="88"/>
              </w:rPr>
              <w:t>Offset on</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9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180" w:type="dxa"/>
            <w:vAlign w:val="bottom"/>
            <w:gridSpan w:val="5"/>
            <w:vMerge w:val="continue"/>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464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120" w:type="dxa"/>
            <w:vAlign w:val="bottom"/>
            <w:gridSpan w:val="3"/>
            <w:vMerge w:val="continue"/>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9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180" w:type="dxa"/>
            <w:vAlign w:val="bottom"/>
            <w:gridSpan w:val="5"/>
            <w:vMerge w:val="restart"/>
          </w:tcPr>
          <w:p>
            <w:pPr>
              <w:jc w:val="center"/>
              <w:ind w:right="160"/>
              <w:spacing w:after="0"/>
              <w:rPr>
                <w:sz w:val="20"/>
                <w:szCs w:val="20"/>
                <w:color w:val="auto"/>
              </w:rPr>
            </w:pPr>
            <w:r>
              <w:rPr>
                <w:rFonts w:ascii="Arial" w:cs="Arial" w:eastAsia="Arial" w:hAnsi="Arial"/>
                <w:sz w:val="18"/>
                <w:szCs w:val="18"/>
                <w:b w:val="1"/>
                <w:bCs w:val="1"/>
                <w:color w:val="auto"/>
                <w:w w:val="87"/>
              </w:rPr>
              <w:t>in the Balance Sheet</w:t>
            </w: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2"/>
        </w:trPr>
        <w:tc>
          <w:tcPr>
            <w:tcW w:w="4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0" w:type="dxa"/>
            <w:vAlign w:val="bottom"/>
            <w:gridSpan w:val="4"/>
            <w:vMerge w:val="restart"/>
          </w:tcPr>
          <w:p>
            <w:pPr>
              <w:jc w:val="center"/>
              <w:ind w:right="260"/>
              <w:spacing w:after="0"/>
              <w:rPr>
                <w:sz w:val="20"/>
                <w:szCs w:val="20"/>
                <w:color w:val="auto"/>
              </w:rPr>
            </w:pPr>
            <w:r>
              <w:rPr>
                <w:rFonts w:ascii="Arial" w:cs="Arial" w:eastAsia="Arial" w:hAnsi="Arial"/>
                <w:sz w:val="18"/>
                <w:szCs w:val="18"/>
                <w:b w:val="1"/>
                <w:bCs w:val="1"/>
                <w:color w:val="auto"/>
                <w:w w:val="89"/>
              </w:rPr>
              <w:t>Amounts of</w:t>
            </w:r>
          </w:p>
        </w:tc>
        <w:tc>
          <w:tcPr>
            <w:tcW w:w="100" w:type="dxa"/>
            <w:vAlign w:val="bottom"/>
          </w:tcPr>
          <w:p>
            <w:pPr>
              <w:spacing w:after="0"/>
              <w:rPr>
                <w:sz w:val="11"/>
                <w:szCs w:val="11"/>
                <w:color w:val="auto"/>
              </w:rPr>
            </w:pPr>
          </w:p>
        </w:tc>
        <w:tc>
          <w:tcPr>
            <w:tcW w:w="920" w:type="dxa"/>
            <w:vAlign w:val="bottom"/>
            <w:gridSpan w:val="2"/>
            <w:vMerge w:val="restart"/>
          </w:tcPr>
          <w:p>
            <w:pPr>
              <w:jc w:val="center"/>
              <w:ind w:right="200"/>
              <w:spacing w:after="0"/>
              <w:rPr>
                <w:sz w:val="20"/>
                <w:szCs w:val="20"/>
                <w:color w:val="auto"/>
              </w:rPr>
            </w:pPr>
            <w:r>
              <w:rPr>
                <w:rFonts w:ascii="Arial" w:cs="Arial" w:eastAsia="Arial" w:hAnsi="Arial"/>
                <w:sz w:val="18"/>
                <w:szCs w:val="18"/>
                <w:b w:val="1"/>
                <w:bCs w:val="1"/>
                <w:color w:val="auto"/>
                <w:w w:val="88"/>
              </w:rPr>
              <w:t>the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gridSpan w:val="2"/>
            <w:vMerge w:val="restart"/>
          </w:tcPr>
          <w:p>
            <w:pPr>
              <w:jc w:val="center"/>
              <w:ind w:right="260"/>
              <w:spacing w:after="0"/>
              <w:rPr>
                <w:sz w:val="20"/>
                <w:szCs w:val="20"/>
                <w:color w:val="auto"/>
              </w:rPr>
            </w:pPr>
            <w:r>
              <w:rPr>
                <w:rFonts w:ascii="Arial" w:cs="Arial" w:eastAsia="Arial" w:hAnsi="Arial"/>
                <w:sz w:val="18"/>
                <w:szCs w:val="18"/>
                <w:b w:val="1"/>
                <w:bCs w:val="1"/>
                <w:color w:val="auto"/>
                <w:w w:val="96"/>
              </w:rPr>
              <w:t>Net</w:t>
            </w:r>
          </w:p>
        </w:tc>
        <w:tc>
          <w:tcPr>
            <w:tcW w:w="80" w:type="dxa"/>
            <w:vAlign w:val="bottom"/>
            <w:tcBorders>
              <w:bottom w:val="single" w:sz="8" w:color="auto"/>
            </w:tcBorders>
          </w:tcPr>
          <w:p>
            <w:pPr>
              <w:spacing w:after="0"/>
              <w:rPr>
                <w:sz w:val="11"/>
                <w:szCs w:val="11"/>
                <w:color w:val="auto"/>
              </w:rPr>
            </w:pPr>
          </w:p>
        </w:tc>
        <w:tc>
          <w:tcPr>
            <w:tcW w:w="2180" w:type="dxa"/>
            <w:vAlign w:val="bottom"/>
            <w:tcBorders>
              <w:bottom w:val="single" w:sz="8" w:color="auto"/>
            </w:tcBorders>
            <w:gridSpan w:val="5"/>
            <w:vMerge w:val="continue"/>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2"/>
        </w:trPr>
        <w:tc>
          <w:tcPr>
            <w:tcW w:w="464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0" w:type="dxa"/>
            <w:vAlign w:val="bottom"/>
            <w:gridSpan w:val="4"/>
            <w:vMerge w:val="continue"/>
          </w:tcPr>
          <w:p>
            <w:pPr>
              <w:spacing w:after="0"/>
              <w:rPr>
                <w:sz w:val="5"/>
                <w:szCs w:val="5"/>
                <w:color w:val="auto"/>
              </w:rPr>
            </w:pPr>
          </w:p>
        </w:tc>
        <w:tc>
          <w:tcPr>
            <w:tcW w:w="100" w:type="dxa"/>
            <w:vAlign w:val="bottom"/>
          </w:tcPr>
          <w:p>
            <w:pPr>
              <w:spacing w:after="0"/>
              <w:rPr>
                <w:sz w:val="5"/>
                <w:szCs w:val="5"/>
                <w:color w:val="auto"/>
              </w:rPr>
            </w:pPr>
          </w:p>
        </w:tc>
        <w:tc>
          <w:tcPr>
            <w:tcW w:w="920" w:type="dxa"/>
            <w:vAlign w:val="bottom"/>
            <w:gridSpan w:val="2"/>
            <w:vMerge w:val="continue"/>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980" w:type="dxa"/>
            <w:vAlign w:val="bottom"/>
            <w:gridSpan w:val="2"/>
            <w:vMerge w:val="continue"/>
          </w:tcPr>
          <w:p>
            <w:pPr>
              <w:spacing w:after="0"/>
              <w:rPr>
                <w:sz w:val="5"/>
                <w:szCs w:val="5"/>
                <w:color w:val="auto"/>
              </w:rPr>
            </w:pPr>
          </w:p>
        </w:tc>
        <w:tc>
          <w:tcPr>
            <w:tcW w:w="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9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8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4"/>
        </w:trPr>
        <w:tc>
          <w:tcPr>
            <w:tcW w:w="4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0" w:type="dxa"/>
            <w:vAlign w:val="bottom"/>
            <w:gridSpan w:val="4"/>
          </w:tcPr>
          <w:p>
            <w:pPr>
              <w:jc w:val="center"/>
              <w:ind w:right="260"/>
              <w:spacing w:after="0"/>
              <w:rPr>
                <w:sz w:val="20"/>
                <w:szCs w:val="20"/>
                <w:color w:val="auto"/>
              </w:rPr>
            </w:pPr>
            <w:r>
              <w:rPr>
                <w:rFonts w:ascii="Arial" w:cs="Arial" w:eastAsia="Arial" w:hAnsi="Arial"/>
                <w:sz w:val="18"/>
                <w:szCs w:val="18"/>
                <w:b w:val="1"/>
                <w:bCs w:val="1"/>
                <w:color w:val="auto"/>
                <w:w w:val="85"/>
              </w:rPr>
              <w:t>Recognized</w:t>
            </w:r>
          </w:p>
        </w:tc>
        <w:tc>
          <w:tcPr>
            <w:tcW w:w="100" w:type="dxa"/>
            <w:vAlign w:val="bottom"/>
          </w:tcPr>
          <w:p>
            <w:pPr>
              <w:spacing w:after="0"/>
              <w:rPr>
                <w:sz w:val="18"/>
                <w:szCs w:val="18"/>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6"/>
              </w:rPr>
              <w:t>Balance</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4"/>
              </w:rPr>
              <w:t>Liability</w:t>
            </w:r>
          </w:p>
        </w:tc>
        <w:tc>
          <w:tcPr>
            <w:tcW w:w="80" w:type="dxa"/>
            <w:vAlign w:val="bottom"/>
          </w:tcPr>
          <w:p>
            <w:pPr>
              <w:spacing w:after="0"/>
              <w:rPr>
                <w:sz w:val="18"/>
                <w:szCs w:val="18"/>
                <w:color w:val="auto"/>
              </w:rPr>
            </w:pPr>
          </w:p>
        </w:tc>
        <w:tc>
          <w:tcPr>
            <w:tcW w:w="1020" w:type="dxa"/>
            <w:vAlign w:val="bottom"/>
          </w:tcPr>
          <w:p>
            <w:pPr>
              <w:jc w:val="center"/>
              <w:ind w:right="71"/>
              <w:spacing w:after="0"/>
              <w:rPr>
                <w:sz w:val="20"/>
                <w:szCs w:val="20"/>
                <w:color w:val="auto"/>
              </w:rPr>
            </w:pPr>
            <w:r>
              <w:rPr>
                <w:rFonts w:ascii="Arial" w:cs="Arial" w:eastAsia="Arial" w:hAnsi="Arial"/>
                <w:sz w:val="18"/>
                <w:szCs w:val="18"/>
                <w:b w:val="1"/>
                <w:bCs w:val="1"/>
                <w:color w:val="auto"/>
                <w:w w:val="89"/>
              </w:rPr>
              <w:t>Financial</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2"/>
              </w:rPr>
              <w:t>Collateral</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center"/>
              <w:ind w:right="91"/>
              <w:spacing w:after="0"/>
              <w:rPr>
                <w:sz w:val="20"/>
                <w:szCs w:val="20"/>
                <w:color w:val="auto"/>
              </w:rPr>
            </w:pPr>
            <w:r>
              <w:rPr>
                <w:rFonts w:ascii="Arial" w:cs="Arial" w:eastAsia="Arial" w:hAnsi="Arial"/>
                <w:sz w:val="18"/>
                <w:szCs w:val="18"/>
                <w:b w:val="1"/>
                <w:bCs w:val="1"/>
                <w:color w:val="auto"/>
                <w:w w:val="89"/>
              </w:rPr>
              <w:t>Net</w:t>
            </w:r>
          </w:p>
        </w:tc>
        <w:tc>
          <w:tcPr>
            <w:tcW w:w="0" w:type="dxa"/>
            <w:vAlign w:val="bottom"/>
          </w:tcPr>
          <w:p>
            <w:pPr>
              <w:spacing w:after="0"/>
              <w:rPr>
                <w:sz w:val="1"/>
                <w:szCs w:val="1"/>
                <w:color w:val="auto"/>
              </w:rPr>
            </w:pPr>
          </w:p>
        </w:tc>
      </w:tr>
      <w:tr>
        <w:trPr>
          <w:trHeight w:val="239"/>
        </w:trPr>
        <w:tc>
          <w:tcPr>
            <w:tcW w:w="46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8"/>
                <w:szCs w:val="18"/>
                <w:b w:val="1"/>
                <w:bCs w:val="1"/>
                <w:color w:val="auto"/>
                <w:w w:val="93"/>
              </w:rPr>
              <w:t>Liabilities</w:t>
            </w: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gridSpan w:val="2"/>
          </w:tcPr>
          <w:p>
            <w:pPr>
              <w:jc w:val="center"/>
              <w:ind w:right="180"/>
              <w:spacing w:after="0"/>
              <w:rPr>
                <w:sz w:val="20"/>
                <w:szCs w:val="20"/>
                <w:color w:val="auto"/>
              </w:rPr>
            </w:pPr>
            <w:r>
              <w:rPr>
                <w:rFonts w:ascii="Arial" w:cs="Arial" w:eastAsia="Arial" w:hAnsi="Arial"/>
                <w:sz w:val="18"/>
                <w:szCs w:val="18"/>
                <w:b w:val="1"/>
                <w:bCs w:val="1"/>
                <w:color w:val="auto"/>
                <w:w w:val="85"/>
              </w:rPr>
              <w:t>Sheet</w:t>
            </w:r>
          </w:p>
        </w:tc>
        <w:tc>
          <w:tcPr>
            <w:tcW w:w="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ind w:right="91"/>
              <w:spacing w:after="0"/>
              <w:rPr>
                <w:sz w:val="20"/>
                <w:szCs w:val="20"/>
                <w:color w:val="auto"/>
              </w:rPr>
            </w:pPr>
            <w:r>
              <w:rPr>
                <w:rFonts w:ascii="Arial" w:cs="Arial" w:eastAsia="Arial" w:hAnsi="Arial"/>
                <w:sz w:val="18"/>
                <w:szCs w:val="18"/>
                <w:b w:val="1"/>
                <w:bCs w:val="1"/>
                <w:color w:val="auto"/>
                <w:w w:val="86"/>
              </w:rPr>
              <w:t>Balance</w:t>
            </w:r>
          </w:p>
        </w:tc>
        <w:tc>
          <w:tcPr>
            <w:tcW w:w="80" w:type="dxa"/>
            <w:vAlign w:val="bottom"/>
          </w:tcPr>
          <w:p>
            <w:pPr>
              <w:spacing w:after="0"/>
              <w:rPr>
                <w:sz w:val="20"/>
                <w:szCs w:val="20"/>
                <w:color w:val="auto"/>
              </w:rPr>
            </w:pPr>
          </w:p>
        </w:tc>
        <w:tc>
          <w:tcPr>
            <w:tcW w:w="110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1"/>
              </w:rPr>
              <w:t>Instruments</w:t>
            </w: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gridSpan w:val="2"/>
          </w:tcPr>
          <w:p>
            <w:pPr>
              <w:jc w:val="center"/>
              <w:ind w:right="180"/>
              <w:spacing w:after="0"/>
              <w:rPr>
                <w:sz w:val="20"/>
                <w:szCs w:val="20"/>
                <w:color w:val="auto"/>
              </w:rPr>
            </w:pPr>
            <w:r>
              <w:rPr>
                <w:rFonts w:ascii="Arial" w:cs="Arial" w:eastAsia="Arial" w:hAnsi="Arial"/>
                <w:sz w:val="18"/>
                <w:szCs w:val="18"/>
                <w:b w:val="1"/>
                <w:bCs w:val="1"/>
                <w:color w:val="auto"/>
                <w:w w:val="85"/>
              </w:rPr>
              <w:t>Pledged</w:t>
            </w:r>
          </w:p>
        </w:tc>
        <w:tc>
          <w:tcPr>
            <w:tcW w:w="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center"/>
              <w:ind w:right="91"/>
              <w:spacing w:after="0"/>
              <w:rPr>
                <w:sz w:val="20"/>
                <w:szCs w:val="20"/>
                <w:color w:val="auto"/>
              </w:rPr>
            </w:pPr>
            <w:r>
              <w:rPr>
                <w:rFonts w:ascii="Arial" w:cs="Arial" w:eastAsia="Arial" w:hAnsi="Arial"/>
                <w:sz w:val="18"/>
                <w:szCs w:val="18"/>
                <w:b w:val="1"/>
                <w:bCs w:val="1"/>
                <w:color w:val="auto"/>
                <w:w w:val="91"/>
              </w:rPr>
              <w:t>Amount</w:t>
            </w:r>
          </w:p>
        </w:tc>
        <w:tc>
          <w:tcPr>
            <w:tcW w:w="0" w:type="dxa"/>
            <w:vAlign w:val="bottom"/>
          </w:tcPr>
          <w:p>
            <w:pPr>
              <w:spacing w:after="0"/>
              <w:rPr>
                <w:sz w:val="1"/>
                <w:szCs w:val="1"/>
                <w:color w:val="auto"/>
              </w:rPr>
            </w:pPr>
          </w:p>
        </w:tc>
      </w:tr>
      <w:tr>
        <w:trPr>
          <w:trHeight w:val="414"/>
        </w:trPr>
        <w:tc>
          <w:tcPr>
            <w:tcW w:w="4640" w:type="dxa"/>
            <w:vAlign w:val="bottom"/>
          </w:tcPr>
          <w:p>
            <w:pPr>
              <w:ind w:left="60"/>
              <w:spacing w:after="0"/>
              <w:rPr>
                <w:sz w:val="20"/>
                <w:szCs w:val="20"/>
                <w:color w:val="auto"/>
              </w:rPr>
            </w:pPr>
            <w:r>
              <w:rPr>
                <w:rFonts w:ascii="Arial" w:cs="Arial" w:eastAsia="Arial" w:hAnsi="Arial"/>
                <w:sz w:val="18"/>
                <w:szCs w:val="18"/>
                <w:color w:val="auto"/>
                <w:w w:val="97"/>
              </w:rPr>
              <w:t>Repurchase agreements / reverse repurchase agreements</w:t>
            </w:r>
          </w:p>
        </w:tc>
        <w:tc>
          <w:tcPr>
            <w:tcW w:w="1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265,000</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(265,000)</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4"/>
        </w:trPr>
        <w:tc>
          <w:tcPr>
            <w:tcW w:w="4640" w:type="dxa"/>
            <w:vAlign w:val="bottom"/>
          </w:tcPr>
          <w:p>
            <w:pPr>
              <w:ind w:left="60"/>
              <w:spacing w:after="0"/>
              <w:rPr>
                <w:sz w:val="20"/>
                <w:szCs w:val="20"/>
                <w:color w:val="auto"/>
              </w:rPr>
            </w:pPr>
            <w:r>
              <w:rPr>
                <w:rFonts w:ascii="Arial" w:cs="Arial" w:eastAsia="Arial" w:hAnsi="Arial"/>
                <w:sz w:val="18"/>
                <w:szCs w:val="18"/>
                <w:color w:val="auto"/>
              </w:rPr>
              <w:t>Securities lending transactions</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50,000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(50,000)</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5"/>
        </w:trPr>
        <w:tc>
          <w:tcPr>
            <w:tcW w:w="4640" w:type="dxa"/>
            <w:vAlign w:val="bottom"/>
          </w:tcPr>
          <w:p>
            <w:pPr>
              <w:ind w:left="60"/>
              <w:spacing w:after="0"/>
              <w:rPr>
                <w:sz w:val="20"/>
                <w:szCs w:val="20"/>
                <w:color w:val="auto"/>
              </w:rPr>
            </w:pPr>
            <w:r>
              <w:rPr>
                <w:rFonts w:ascii="Arial" w:cs="Arial" w:eastAsia="Arial" w:hAnsi="Arial"/>
                <w:sz w:val="18"/>
                <w:szCs w:val="18"/>
                <w:color w:val="auto"/>
              </w:rPr>
              <w:t>Derivatives</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8"/>
                <w:szCs w:val="18"/>
                <w:color w:val="auto"/>
              </w:rPr>
              <w:t>12,543</w:t>
            </w: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12,543</w:t>
            </w:r>
          </w:p>
        </w:tc>
        <w:tc>
          <w:tcPr>
            <w:tcW w:w="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11,493</w:t>
            </w:r>
          </w:p>
        </w:tc>
        <w:tc>
          <w:tcPr>
            <w:tcW w:w="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1,050</w:t>
            </w:r>
          </w:p>
        </w:tc>
        <w:tc>
          <w:tcPr>
            <w:tcW w:w="0" w:type="dxa"/>
            <w:vAlign w:val="bottom"/>
          </w:tcPr>
          <w:p>
            <w:pPr>
              <w:spacing w:after="0"/>
              <w:rPr>
                <w:sz w:val="1"/>
                <w:szCs w:val="1"/>
                <w:color w:val="auto"/>
              </w:rPr>
            </w:pPr>
          </w:p>
        </w:tc>
      </w:tr>
      <w:tr>
        <w:trPr>
          <w:trHeight w:val="214"/>
        </w:trPr>
        <w:tc>
          <w:tcPr>
            <w:tcW w:w="4640" w:type="dxa"/>
            <w:vAlign w:val="bottom"/>
          </w:tcPr>
          <w:p>
            <w:pPr>
              <w:ind w:left="280"/>
              <w:spacing w:after="0"/>
              <w:rPr>
                <w:sz w:val="20"/>
                <w:szCs w:val="20"/>
                <w:color w:val="auto"/>
              </w:rPr>
            </w:pPr>
            <w:r>
              <w:rPr>
                <w:rFonts w:ascii="Arial" w:cs="Arial" w:eastAsia="Arial" w:hAnsi="Arial"/>
                <w:sz w:val="18"/>
                <w:szCs w:val="18"/>
                <w:color w:val="auto"/>
              </w:rPr>
              <w:t>Total</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327,543</w:t>
            </w:r>
          </w:p>
        </w:tc>
        <w:tc>
          <w:tcPr>
            <w:tcW w:w="16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(315,000)</w:t>
            </w:r>
          </w:p>
        </w:tc>
        <w:tc>
          <w:tcPr>
            <w:tcW w:w="8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12,543</w:t>
            </w:r>
          </w:p>
        </w:tc>
        <w:tc>
          <w:tcPr>
            <w:tcW w:w="8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11,493</w:t>
            </w:r>
          </w:p>
        </w:tc>
        <w:tc>
          <w:tcPr>
            <w:tcW w:w="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1,050</w:t>
            </w:r>
          </w:p>
        </w:tc>
        <w:tc>
          <w:tcPr>
            <w:tcW w:w="0" w:type="dxa"/>
            <w:vAlign w:val="bottom"/>
          </w:tcPr>
          <w:p>
            <w:pPr>
              <w:spacing w:after="0"/>
              <w:rPr>
                <w:sz w:val="1"/>
                <w:szCs w:val="1"/>
                <w:color w:val="auto"/>
              </w:rPr>
            </w:pPr>
          </w:p>
        </w:tc>
      </w:tr>
      <w:tr>
        <w:trPr>
          <w:trHeight w:val="20"/>
        </w:trPr>
        <w:tc>
          <w:tcPr>
            <w:tcW w:w="4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0"/>
        </w:trPr>
        <w:tc>
          <w:tcPr>
            <w:tcW w:w="4640" w:type="dxa"/>
            <w:vAlign w:val="bottom"/>
          </w:tcPr>
          <w:p>
            <w:pPr>
              <w:ind w:left="40"/>
              <w:spacing w:after="0"/>
              <w:rPr>
                <w:sz w:val="20"/>
                <w:szCs w:val="20"/>
                <w:color w:val="auto"/>
              </w:rPr>
            </w:pPr>
            <w:r>
              <w:rPr>
                <w:rFonts w:ascii="Arial" w:cs="Arial" w:eastAsia="Arial" w:hAnsi="Arial"/>
                <w:sz w:val="18"/>
                <w:szCs w:val="18"/>
                <w:color w:val="auto"/>
                <w:w w:val="99"/>
              </w:rPr>
              <w:t>Weighted average interest rate of repurchase agreements</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.43%</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4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4"/>
              </w:rPr>
              <w:t>Gross</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4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9"/>
              </w:rPr>
              <w:t>Amounts</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180" w:type="dxa"/>
            <w:vAlign w:val="bottom"/>
            <w:gridSpan w:val="5"/>
            <w:vMerge w:val="restart"/>
          </w:tcPr>
          <w:p>
            <w:pPr>
              <w:jc w:val="center"/>
              <w:ind w:right="160"/>
              <w:spacing w:after="0"/>
              <w:rPr>
                <w:sz w:val="20"/>
                <w:szCs w:val="20"/>
                <w:color w:val="auto"/>
              </w:rPr>
            </w:pPr>
            <w:r>
              <w:rPr>
                <w:rFonts w:ascii="Arial" w:cs="Arial" w:eastAsia="Arial" w:hAnsi="Arial"/>
                <w:sz w:val="18"/>
                <w:szCs w:val="18"/>
                <w:b w:val="1"/>
                <w:bCs w:val="1"/>
                <w:color w:val="auto"/>
                <w:w w:val="87"/>
              </w:rPr>
              <w:t>Gross Amounts not Offset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7"/>
        </w:trPr>
        <w:tc>
          <w:tcPr>
            <w:tcW w:w="464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120" w:type="dxa"/>
            <w:vAlign w:val="bottom"/>
            <w:gridSpan w:val="3"/>
            <w:vMerge w:val="restart"/>
          </w:tcPr>
          <w:p>
            <w:pPr>
              <w:jc w:val="center"/>
              <w:ind w:right="340"/>
              <w:spacing w:after="0"/>
              <w:rPr>
                <w:sz w:val="20"/>
                <w:szCs w:val="20"/>
                <w:color w:val="auto"/>
              </w:rPr>
            </w:pPr>
            <w:r>
              <w:rPr>
                <w:rFonts w:ascii="Arial" w:cs="Arial" w:eastAsia="Arial" w:hAnsi="Arial"/>
                <w:sz w:val="18"/>
                <w:szCs w:val="18"/>
                <w:b w:val="1"/>
                <w:bCs w:val="1"/>
                <w:color w:val="auto"/>
                <w:w w:val="88"/>
              </w:rPr>
              <w:t>Gross</w:t>
            </w:r>
          </w:p>
        </w:tc>
        <w:tc>
          <w:tcPr>
            <w:tcW w:w="100" w:type="dxa"/>
            <w:vAlign w:val="bottom"/>
          </w:tcPr>
          <w:p>
            <w:pPr>
              <w:spacing w:after="0"/>
              <w:rPr>
                <w:sz w:val="9"/>
                <w:szCs w:val="9"/>
                <w:color w:val="auto"/>
              </w:rPr>
            </w:pPr>
          </w:p>
        </w:tc>
        <w:tc>
          <w:tcPr>
            <w:tcW w:w="920" w:type="dxa"/>
            <w:vAlign w:val="bottom"/>
            <w:gridSpan w:val="2"/>
            <w:vMerge w:val="restart"/>
          </w:tcPr>
          <w:p>
            <w:pPr>
              <w:jc w:val="center"/>
              <w:ind w:right="180"/>
              <w:spacing w:after="0"/>
              <w:rPr>
                <w:sz w:val="20"/>
                <w:szCs w:val="20"/>
                <w:color w:val="auto"/>
              </w:rPr>
            </w:pPr>
            <w:r>
              <w:rPr>
                <w:rFonts w:ascii="Arial" w:cs="Arial" w:eastAsia="Arial" w:hAnsi="Arial"/>
                <w:sz w:val="18"/>
                <w:szCs w:val="18"/>
                <w:b w:val="1"/>
                <w:bCs w:val="1"/>
                <w:color w:val="auto"/>
                <w:w w:val="88"/>
              </w:rPr>
              <w:t>Offset on</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9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180" w:type="dxa"/>
            <w:vAlign w:val="bottom"/>
            <w:gridSpan w:val="5"/>
            <w:vMerge w:val="continue"/>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464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120" w:type="dxa"/>
            <w:vAlign w:val="bottom"/>
            <w:gridSpan w:val="3"/>
            <w:vMerge w:val="continue"/>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9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180" w:type="dxa"/>
            <w:vAlign w:val="bottom"/>
            <w:gridSpan w:val="5"/>
            <w:vMerge w:val="restart"/>
          </w:tcPr>
          <w:p>
            <w:pPr>
              <w:jc w:val="center"/>
              <w:ind w:right="160"/>
              <w:spacing w:after="0"/>
              <w:rPr>
                <w:sz w:val="20"/>
                <w:szCs w:val="20"/>
                <w:color w:val="auto"/>
              </w:rPr>
            </w:pPr>
            <w:r>
              <w:rPr>
                <w:rFonts w:ascii="Arial" w:cs="Arial" w:eastAsia="Arial" w:hAnsi="Arial"/>
                <w:sz w:val="18"/>
                <w:szCs w:val="18"/>
                <w:b w:val="1"/>
                <w:bCs w:val="1"/>
                <w:color w:val="auto"/>
                <w:w w:val="87"/>
              </w:rPr>
              <w:t>in the Balance Sheet</w:t>
            </w: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2"/>
        </w:trPr>
        <w:tc>
          <w:tcPr>
            <w:tcW w:w="4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0" w:type="dxa"/>
            <w:vAlign w:val="bottom"/>
            <w:gridSpan w:val="4"/>
            <w:vMerge w:val="restart"/>
          </w:tcPr>
          <w:p>
            <w:pPr>
              <w:jc w:val="center"/>
              <w:ind w:right="260"/>
              <w:spacing w:after="0"/>
              <w:rPr>
                <w:sz w:val="20"/>
                <w:szCs w:val="20"/>
                <w:color w:val="auto"/>
              </w:rPr>
            </w:pPr>
            <w:r>
              <w:rPr>
                <w:rFonts w:ascii="Arial" w:cs="Arial" w:eastAsia="Arial" w:hAnsi="Arial"/>
                <w:sz w:val="18"/>
                <w:szCs w:val="18"/>
                <w:b w:val="1"/>
                <w:bCs w:val="1"/>
                <w:color w:val="auto"/>
                <w:w w:val="89"/>
              </w:rPr>
              <w:t>Amounts of</w:t>
            </w:r>
          </w:p>
        </w:tc>
        <w:tc>
          <w:tcPr>
            <w:tcW w:w="100" w:type="dxa"/>
            <w:vAlign w:val="bottom"/>
          </w:tcPr>
          <w:p>
            <w:pPr>
              <w:spacing w:after="0"/>
              <w:rPr>
                <w:sz w:val="11"/>
                <w:szCs w:val="11"/>
                <w:color w:val="auto"/>
              </w:rPr>
            </w:pPr>
          </w:p>
        </w:tc>
        <w:tc>
          <w:tcPr>
            <w:tcW w:w="920" w:type="dxa"/>
            <w:vAlign w:val="bottom"/>
            <w:gridSpan w:val="2"/>
            <w:vMerge w:val="restart"/>
          </w:tcPr>
          <w:p>
            <w:pPr>
              <w:jc w:val="center"/>
              <w:ind w:right="200"/>
              <w:spacing w:after="0"/>
              <w:rPr>
                <w:sz w:val="20"/>
                <w:szCs w:val="20"/>
                <w:color w:val="auto"/>
              </w:rPr>
            </w:pPr>
            <w:r>
              <w:rPr>
                <w:rFonts w:ascii="Arial" w:cs="Arial" w:eastAsia="Arial" w:hAnsi="Arial"/>
                <w:sz w:val="18"/>
                <w:szCs w:val="18"/>
                <w:b w:val="1"/>
                <w:bCs w:val="1"/>
                <w:color w:val="auto"/>
                <w:w w:val="88"/>
              </w:rPr>
              <w:t>the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180" w:type="dxa"/>
            <w:vAlign w:val="bottom"/>
            <w:tcBorders>
              <w:bottom w:val="single" w:sz="8" w:color="auto"/>
            </w:tcBorders>
            <w:gridSpan w:val="5"/>
            <w:vMerge w:val="continue"/>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2"/>
        </w:trPr>
        <w:tc>
          <w:tcPr>
            <w:tcW w:w="464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0" w:type="dxa"/>
            <w:vAlign w:val="bottom"/>
            <w:gridSpan w:val="4"/>
            <w:vMerge w:val="continue"/>
          </w:tcPr>
          <w:p>
            <w:pPr>
              <w:spacing w:after="0"/>
              <w:rPr>
                <w:sz w:val="5"/>
                <w:szCs w:val="5"/>
                <w:color w:val="auto"/>
              </w:rPr>
            </w:pPr>
          </w:p>
        </w:tc>
        <w:tc>
          <w:tcPr>
            <w:tcW w:w="100" w:type="dxa"/>
            <w:vAlign w:val="bottom"/>
          </w:tcPr>
          <w:p>
            <w:pPr>
              <w:spacing w:after="0"/>
              <w:rPr>
                <w:sz w:val="5"/>
                <w:szCs w:val="5"/>
                <w:color w:val="auto"/>
              </w:rPr>
            </w:pPr>
          </w:p>
        </w:tc>
        <w:tc>
          <w:tcPr>
            <w:tcW w:w="920" w:type="dxa"/>
            <w:vAlign w:val="bottom"/>
            <w:gridSpan w:val="2"/>
            <w:vMerge w:val="continue"/>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9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9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8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4"/>
        </w:trPr>
        <w:tc>
          <w:tcPr>
            <w:tcW w:w="4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0" w:type="dxa"/>
            <w:vAlign w:val="bottom"/>
            <w:gridSpan w:val="4"/>
          </w:tcPr>
          <w:p>
            <w:pPr>
              <w:jc w:val="center"/>
              <w:ind w:right="260"/>
              <w:spacing w:after="0"/>
              <w:rPr>
                <w:sz w:val="20"/>
                <w:szCs w:val="20"/>
                <w:color w:val="auto"/>
              </w:rPr>
            </w:pPr>
            <w:r>
              <w:rPr>
                <w:rFonts w:ascii="Arial" w:cs="Arial" w:eastAsia="Arial" w:hAnsi="Arial"/>
                <w:sz w:val="18"/>
                <w:szCs w:val="18"/>
                <w:b w:val="1"/>
                <w:bCs w:val="1"/>
                <w:color w:val="auto"/>
                <w:w w:val="85"/>
              </w:rPr>
              <w:t>Recognized</w:t>
            </w:r>
          </w:p>
        </w:tc>
        <w:tc>
          <w:tcPr>
            <w:tcW w:w="100" w:type="dxa"/>
            <w:vAlign w:val="bottom"/>
          </w:tcPr>
          <w:p>
            <w:pPr>
              <w:spacing w:after="0"/>
              <w:rPr>
                <w:sz w:val="18"/>
                <w:szCs w:val="18"/>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6"/>
              </w:rPr>
              <w:t>Balance</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6"/>
              </w:rPr>
              <w:t>Net Asset</w:t>
            </w:r>
          </w:p>
        </w:tc>
        <w:tc>
          <w:tcPr>
            <w:tcW w:w="80" w:type="dxa"/>
            <w:vAlign w:val="bottom"/>
          </w:tcPr>
          <w:p>
            <w:pPr>
              <w:spacing w:after="0"/>
              <w:rPr>
                <w:sz w:val="18"/>
                <w:szCs w:val="18"/>
                <w:color w:val="auto"/>
              </w:rPr>
            </w:pPr>
          </w:p>
        </w:tc>
        <w:tc>
          <w:tcPr>
            <w:tcW w:w="1020" w:type="dxa"/>
            <w:vAlign w:val="bottom"/>
          </w:tcPr>
          <w:p>
            <w:pPr>
              <w:jc w:val="center"/>
              <w:ind w:right="71"/>
              <w:spacing w:after="0"/>
              <w:rPr>
                <w:sz w:val="20"/>
                <w:szCs w:val="20"/>
                <w:color w:val="auto"/>
              </w:rPr>
            </w:pPr>
            <w:r>
              <w:rPr>
                <w:rFonts w:ascii="Arial" w:cs="Arial" w:eastAsia="Arial" w:hAnsi="Arial"/>
                <w:sz w:val="18"/>
                <w:szCs w:val="18"/>
                <w:b w:val="1"/>
                <w:bCs w:val="1"/>
                <w:color w:val="auto"/>
                <w:w w:val="89"/>
              </w:rPr>
              <w:t>Financial</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2"/>
              </w:rPr>
              <w:t>Collateral</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center"/>
              <w:ind w:right="91"/>
              <w:spacing w:after="0"/>
              <w:rPr>
                <w:sz w:val="20"/>
                <w:szCs w:val="20"/>
                <w:color w:val="auto"/>
              </w:rPr>
            </w:pPr>
            <w:r>
              <w:rPr>
                <w:rFonts w:ascii="Arial" w:cs="Arial" w:eastAsia="Arial" w:hAnsi="Arial"/>
                <w:sz w:val="18"/>
                <w:szCs w:val="18"/>
                <w:b w:val="1"/>
                <w:bCs w:val="1"/>
                <w:color w:val="auto"/>
                <w:w w:val="89"/>
              </w:rPr>
              <w:t>Net</w:t>
            </w:r>
          </w:p>
        </w:tc>
        <w:tc>
          <w:tcPr>
            <w:tcW w:w="0" w:type="dxa"/>
            <w:vAlign w:val="bottom"/>
          </w:tcPr>
          <w:p>
            <w:pPr>
              <w:spacing w:after="0"/>
              <w:rPr>
                <w:sz w:val="1"/>
                <w:szCs w:val="1"/>
                <w:color w:val="auto"/>
              </w:rPr>
            </w:pPr>
          </w:p>
        </w:tc>
      </w:tr>
      <w:tr>
        <w:trPr>
          <w:trHeight w:val="239"/>
        </w:trPr>
        <w:tc>
          <w:tcPr>
            <w:tcW w:w="464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rPr>
              <w:t>June 30, 2012</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8"/>
                <w:szCs w:val="18"/>
                <w:b w:val="1"/>
                <w:bCs w:val="1"/>
                <w:color w:val="auto"/>
                <w:w w:val="77"/>
              </w:rPr>
              <w:t>Assets</w:t>
            </w: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gridSpan w:val="2"/>
          </w:tcPr>
          <w:p>
            <w:pPr>
              <w:jc w:val="center"/>
              <w:ind w:right="180"/>
              <w:spacing w:after="0"/>
              <w:rPr>
                <w:sz w:val="20"/>
                <w:szCs w:val="20"/>
                <w:color w:val="auto"/>
              </w:rPr>
            </w:pPr>
            <w:r>
              <w:rPr>
                <w:rFonts w:ascii="Arial" w:cs="Arial" w:eastAsia="Arial" w:hAnsi="Arial"/>
                <w:sz w:val="18"/>
                <w:szCs w:val="18"/>
                <w:b w:val="1"/>
                <w:bCs w:val="1"/>
                <w:color w:val="auto"/>
                <w:w w:val="85"/>
              </w:rPr>
              <w:t>Sheet</w:t>
            </w:r>
          </w:p>
        </w:tc>
        <w:tc>
          <w:tcPr>
            <w:tcW w:w="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center"/>
              <w:ind w:right="91"/>
              <w:spacing w:after="0"/>
              <w:rPr>
                <w:sz w:val="20"/>
                <w:szCs w:val="20"/>
                <w:color w:val="auto"/>
              </w:rPr>
            </w:pPr>
            <w:r>
              <w:rPr>
                <w:rFonts w:ascii="Arial" w:cs="Arial" w:eastAsia="Arial" w:hAnsi="Arial"/>
                <w:sz w:val="18"/>
                <w:szCs w:val="18"/>
                <w:b w:val="1"/>
                <w:bCs w:val="1"/>
                <w:color w:val="auto"/>
                <w:w w:val="86"/>
              </w:rPr>
              <w:t>Balance</w:t>
            </w:r>
          </w:p>
        </w:tc>
        <w:tc>
          <w:tcPr>
            <w:tcW w:w="80" w:type="dxa"/>
            <w:vAlign w:val="bottom"/>
          </w:tcPr>
          <w:p>
            <w:pPr>
              <w:spacing w:after="0"/>
              <w:rPr>
                <w:sz w:val="20"/>
                <w:szCs w:val="20"/>
                <w:color w:val="auto"/>
              </w:rPr>
            </w:pPr>
          </w:p>
        </w:tc>
        <w:tc>
          <w:tcPr>
            <w:tcW w:w="110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1"/>
              </w:rPr>
              <w:t>Instruments</w:t>
            </w: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gridSpan w:val="2"/>
          </w:tcPr>
          <w:p>
            <w:pPr>
              <w:jc w:val="center"/>
              <w:ind w:right="180"/>
              <w:spacing w:after="0"/>
              <w:rPr>
                <w:sz w:val="20"/>
                <w:szCs w:val="20"/>
                <w:color w:val="auto"/>
              </w:rPr>
            </w:pPr>
            <w:r>
              <w:rPr>
                <w:rFonts w:ascii="Arial" w:cs="Arial" w:eastAsia="Arial" w:hAnsi="Arial"/>
                <w:sz w:val="18"/>
                <w:szCs w:val="18"/>
                <w:b w:val="1"/>
                <w:bCs w:val="1"/>
                <w:color w:val="auto"/>
                <w:w w:val="85"/>
              </w:rPr>
              <w:t>Received</w:t>
            </w:r>
          </w:p>
        </w:tc>
        <w:tc>
          <w:tcPr>
            <w:tcW w:w="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center"/>
              <w:ind w:right="91"/>
              <w:spacing w:after="0"/>
              <w:rPr>
                <w:sz w:val="20"/>
                <w:szCs w:val="20"/>
                <w:color w:val="auto"/>
              </w:rPr>
            </w:pPr>
            <w:r>
              <w:rPr>
                <w:rFonts w:ascii="Arial" w:cs="Arial" w:eastAsia="Arial" w:hAnsi="Arial"/>
                <w:sz w:val="18"/>
                <w:szCs w:val="18"/>
                <w:b w:val="1"/>
                <w:bCs w:val="1"/>
                <w:color w:val="auto"/>
                <w:w w:val="91"/>
              </w:rPr>
              <w:t>Amount</w:t>
            </w:r>
          </w:p>
        </w:tc>
        <w:tc>
          <w:tcPr>
            <w:tcW w:w="0" w:type="dxa"/>
            <w:vAlign w:val="bottom"/>
          </w:tcPr>
          <w:p>
            <w:pPr>
              <w:spacing w:after="0"/>
              <w:rPr>
                <w:sz w:val="1"/>
                <w:szCs w:val="1"/>
                <w:color w:val="auto"/>
              </w:rPr>
            </w:pPr>
          </w:p>
        </w:tc>
      </w:tr>
      <w:tr>
        <w:trPr>
          <w:trHeight w:val="414"/>
        </w:trPr>
        <w:tc>
          <w:tcPr>
            <w:tcW w:w="4640" w:type="dxa"/>
            <w:vAlign w:val="bottom"/>
          </w:tcPr>
          <w:p>
            <w:pPr>
              <w:ind w:left="60"/>
              <w:spacing w:after="0"/>
              <w:rPr>
                <w:sz w:val="20"/>
                <w:szCs w:val="20"/>
                <w:color w:val="auto"/>
              </w:rPr>
            </w:pPr>
            <w:r>
              <w:rPr>
                <w:rFonts w:ascii="Arial" w:cs="Arial" w:eastAsia="Arial" w:hAnsi="Arial"/>
                <w:sz w:val="18"/>
                <w:szCs w:val="18"/>
                <w:color w:val="auto"/>
                <w:w w:val="97"/>
              </w:rPr>
              <w:t>Repurchase agreements / reverse repurchase agreements</w:t>
            </w:r>
          </w:p>
        </w:tc>
        <w:tc>
          <w:tcPr>
            <w:tcW w:w="1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320,000</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(200,000)</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120,000</w:t>
            </w:r>
          </w:p>
        </w:tc>
        <w:tc>
          <w:tcPr>
            <w:tcW w:w="8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120,000</w:t>
            </w:r>
          </w:p>
        </w:tc>
        <w:tc>
          <w:tcPr>
            <w:tcW w:w="0" w:type="dxa"/>
            <w:vAlign w:val="bottom"/>
          </w:tcPr>
          <w:p>
            <w:pPr>
              <w:spacing w:after="0"/>
              <w:rPr>
                <w:sz w:val="1"/>
                <w:szCs w:val="1"/>
                <w:color w:val="auto"/>
              </w:rPr>
            </w:pPr>
          </w:p>
        </w:tc>
      </w:tr>
      <w:tr>
        <w:trPr>
          <w:trHeight w:val="235"/>
        </w:trPr>
        <w:tc>
          <w:tcPr>
            <w:tcW w:w="4640" w:type="dxa"/>
            <w:vAlign w:val="bottom"/>
          </w:tcPr>
          <w:p>
            <w:pPr>
              <w:ind w:left="60"/>
              <w:spacing w:after="0"/>
              <w:rPr>
                <w:sz w:val="20"/>
                <w:szCs w:val="20"/>
                <w:color w:val="auto"/>
              </w:rPr>
            </w:pPr>
            <w:r>
              <w:rPr>
                <w:rFonts w:ascii="Arial" w:cs="Arial" w:eastAsia="Arial" w:hAnsi="Arial"/>
                <w:sz w:val="18"/>
                <w:szCs w:val="18"/>
                <w:color w:val="auto"/>
              </w:rPr>
              <w:t>Derivatives</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8"/>
                <w:szCs w:val="18"/>
                <w:color w:val="auto"/>
              </w:rPr>
              <w:t>223</w:t>
            </w: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w:t>
            </w:r>
          </w:p>
        </w:tc>
        <w:tc>
          <w:tcPr>
            <w:tcW w:w="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w:t>
            </w:r>
          </w:p>
        </w:tc>
        <w:tc>
          <w:tcPr>
            <w:tcW w:w="0" w:type="dxa"/>
            <w:vAlign w:val="bottom"/>
          </w:tcPr>
          <w:p>
            <w:pPr>
              <w:spacing w:after="0"/>
              <w:rPr>
                <w:sz w:val="1"/>
                <w:szCs w:val="1"/>
                <w:color w:val="auto"/>
              </w:rPr>
            </w:pPr>
          </w:p>
        </w:tc>
      </w:tr>
      <w:tr>
        <w:trPr>
          <w:trHeight w:val="214"/>
        </w:trPr>
        <w:tc>
          <w:tcPr>
            <w:tcW w:w="4640" w:type="dxa"/>
            <w:vAlign w:val="bottom"/>
          </w:tcPr>
          <w:p>
            <w:pPr>
              <w:ind w:left="280"/>
              <w:spacing w:after="0"/>
              <w:rPr>
                <w:sz w:val="20"/>
                <w:szCs w:val="20"/>
                <w:color w:val="auto"/>
              </w:rPr>
            </w:pPr>
            <w:r>
              <w:rPr>
                <w:rFonts w:ascii="Arial" w:cs="Arial" w:eastAsia="Arial" w:hAnsi="Arial"/>
                <w:sz w:val="18"/>
                <w:szCs w:val="18"/>
                <w:color w:val="auto"/>
              </w:rPr>
              <w:t>Total</w:t>
            </w:r>
          </w:p>
        </w:tc>
        <w:tc>
          <w:tcPr>
            <w:tcW w:w="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320,223</w:t>
            </w:r>
          </w:p>
        </w:tc>
        <w:tc>
          <w:tcPr>
            <w:tcW w:w="16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(200,000)</w:t>
            </w:r>
          </w:p>
        </w:tc>
        <w:tc>
          <w:tcPr>
            <w:tcW w:w="8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120,223</w:t>
            </w:r>
          </w:p>
        </w:tc>
        <w:tc>
          <w:tcPr>
            <w:tcW w:w="8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120,223</w:t>
            </w:r>
          </w:p>
        </w:tc>
        <w:tc>
          <w:tcPr>
            <w:tcW w:w="0" w:type="dxa"/>
            <w:vAlign w:val="bottom"/>
          </w:tcPr>
          <w:p>
            <w:pPr>
              <w:spacing w:after="0"/>
              <w:rPr>
                <w:sz w:val="1"/>
                <w:szCs w:val="1"/>
                <w:color w:val="auto"/>
              </w:rPr>
            </w:pPr>
          </w:p>
        </w:tc>
      </w:tr>
      <w:tr>
        <w:trPr>
          <w:trHeight w:val="20"/>
        </w:trPr>
        <w:tc>
          <w:tcPr>
            <w:tcW w:w="4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12" w:right="239" w:bottom="0" w:gutter="0" w:footer="0" w:header="0"/>
        </w:sectPr>
      </w:pPr>
    </w:p>
    <w:bookmarkStart w:id="11" w:name="page12"/>
    <w:bookmarkEnd w:id="1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4660" w:type="dxa"/>
            <w:vAlign w:val="bottom"/>
          </w:tcPr>
          <w:p>
            <w:pPr>
              <w:ind w:left="40"/>
              <w:spacing w:after="0"/>
              <w:rPr>
                <w:sz w:val="20"/>
                <w:szCs w:val="20"/>
                <w:color w:val="auto"/>
              </w:rPr>
            </w:pPr>
            <w:r>
              <w:rPr>
                <w:rFonts w:ascii="Arial" w:cs="Arial" w:eastAsia="Arial" w:hAnsi="Arial"/>
                <w:sz w:val="18"/>
                <w:szCs w:val="18"/>
                <w:color w:val="auto"/>
                <w:w w:val="87"/>
              </w:rPr>
              <w:t>Weighted average interest rate of reverse repurchase agreements</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1.27%</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412"/>
        </w:trPr>
        <w:tc>
          <w:tcPr>
            <w:tcW w:w="4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jc w:val="center"/>
              <w:ind w:right="111"/>
              <w:spacing w:after="0"/>
              <w:rPr>
                <w:sz w:val="20"/>
                <w:szCs w:val="20"/>
                <w:color w:val="auto"/>
              </w:rPr>
            </w:pPr>
            <w:r>
              <w:rPr>
                <w:rFonts w:ascii="Arial" w:cs="Arial" w:eastAsia="Arial" w:hAnsi="Arial"/>
                <w:sz w:val="18"/>
                <w:szCs w:val="18"/>
                <w:b w:val="1"/>
                <w:bCs w:val="1"/>
                <w:color w:val="auto"/>
                <w:w w:val="84"/>
              </w:rPr>
              <w:t>Gross</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14"/>
        </w:trPr>
        <w:tc>
          <w:tcPr>
            <w:tcW w:w="4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center"/>
              <w:ind w:right="91"/>
              <w:spacing w:after="0"/>
              <w:rPr>
                <w:sz w:val="20"/>
                <w:szCs w:val="20"/>
                <w:color w:val="auto"/>
              </w:rPr>
            </w:pPr>
            <w:r>
              <w:rPr>
                <w:rFonts w:ascii="Arial" w:cs="Arial" w:eastAsia="Arial" w:hAnsi="Arial"/>
                <w:sz w:val="18"/>
                <w:szCs w:val="18"/>
                <w:b w:val="1"/>
                <w:bCs w:val="1"/>
                <w:color w:val="auto"/>
                <w:w w:val="89"/>
              </w:rPr>
              <w:t>Amounts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180" w:type="dxa"/>
            <w:vAlign w:val="bottom"/>
            <w:gridSpan w:val="4"/>
          </w:tcPr>
          <w:p>
            <w:pPr>
              <w:jc w:val="right"/>
              <w:ind w:right="91"/>
              <w:spacing w:after="0"/>
              <w:rPr>
                <w:sz w:val="20"/>
                <w:szCs w:val="20"/>
                <w:color w:val="auto"/>
              </w:rPr>
            </w:pPr>
            <w:r>
              <w:rPr>
                <w:rFonts w:ascii="Arial" w:cs="Arial" w:eastAsia="Arial" w:hAnsi="Arial"/>
                <w:sz w:val="18"/>
                <w:szCs w:val="18"/>
                <w:b w:val="1"/>
                <w:bCs w:val="1"/>
                <w:color w:val="auto"/>
                <w:w w:val="87"/>
              </w:rPr>
              <w:t>Gross Amounts not Offset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39"/>
        </w:trPr>
        <w:tc>
          <w:tcPr>
            <w:tcW w:w="46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jc w:val="center"/>
              <w:ind w:right="171"/>
              <w:spacing w:after="0"/>
              <w:rPr>
                <w:sz w:val="20"/>
                <w:szCs w:val="20"/>
                <w:color w:val="auto"/>
              </w:rPr>
            </w:pPr>
            <w:r>
              <w:rPr>
                <w:rFonts w:ascii="Arial" w:cs="Arial" w:eastAsia="Arial" w:hAnsi="Arial"/>
                <w:sz w:val="18"/>
                <w:szCs w:val="18"/>
                <w:b w:val="1"/>
                <w:bCs w:val="1"/>
                <w:color w:val="auto"/>
                <w:w w:val="88"/>
              </w:rPr>
              <w:t>Gross</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jc w:val="center"/>
              <w:ind w:right="91"/>
              <w:spacing w:after="0"/>
              <w:rPr>
                <w:sz w:val="20"/>
                <w:szCs w:val="20"/>
                <w:color w:val="auto"/>
              </w:rPr>
            </w:pPr>
            <w:r>
              <w:rPr>
                <w:rFonts w:ascii="Arial" w:cs="Arial" w:eastAsia="Arial" w:hAnsi="Arial"/>
                <w:sz w:val="18"/>
                <w:szCs w:val="18"/>
                <w:b w:val="1"/>
                <w:bCs w:val="1"/>
                <w:color w:val="auto"/>
                <w:w w:val="88"/>
              </w:rPr>
              <w:t>Offset on</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180" w:type="dxa"/>
            <w:vAlign w:val="bottom"/>
            <w:tcBorders>
              <w:bottom w:val="single" w:sz="8" w:color="auto"/>
            </w:tcBorders>
            <w:gridSpan w:val="4"/>
          </w:tcPr>
          <w:p>
            <w:pPr>
              <w:jc w:val="right"/>
              <w:ind w:right="311"/>
              <w:spacing w:after="0"/>
              <w:rPr>
                <w:sz w:val="20"/>
                <w:szCs w:val="20"/>
                <w:color w:val="auto"/>
              </w:rPr>
            </w:pPr>
            <w:r>
              <w:rPr>
                <w:rFonts w:ascii="Arial" w:cs="Arial" w:eastAsia="Arial" w:hAnsi="Arial"/>
                <w:sz w:val="18"/>
                <w:szCs w:val="18"/>
                <w:b w:val="1"/>
                <w:bCs w:val="1"/>
                <w:color w:val="auto"/>
                <w:w w:val="99"/>
              </w:rPr>
              <w:t>in the Balance Sheet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169"/>
        </w:trPr>
        <w:tc>
          <w:tcPr>
            <w:tcW w:w="4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40" w:type="dxa"/>
            <w:vAlign w:val="bottom"/>
            <w:gridSpan w:val="2"/>
          </w:tcPr>
          <w:p>
            <w:pPr>
              <w:jc w:val="center"/>
              <w:ind w:right="71"/>
              <w:spacing w:after="0" w:line="170" w:lineRule="exact"/>
              <w:rPr>
                <w:sz w:val="20"/>
                <w:szCs w:val="20"/>
                <w:color w:val="auto"/>
              </w:rPr>
            </w:pPr>
            <w:r>
              <w:rPr>
                <w:rFonts w:ascii="Arial" w:cs="Arial" w:eastAsia="Arial" w:hAnsi="Arial"/>
                <w:sz w:val="18"/>
                <w:szCs w:val="18"/>
                <w:b w:val="1"/>
                <w:bCs w:val="1"/>
                <w:color w:val="auto"/>
                <w:w w:val="89"/>
              </w:rPr>
              <w:t>Amounts of</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jc w:val="center"/>
              <w:ind w:right="111"/>
              <w:spacing w:after="0" w:line="170" w:lineRule="exact"/>
              <w:rPr>
                <w:sz w:val="20"/>
                <w:szCs w:val="20"/>
                <w:color w:val="auto"/>
              </w:rPr>
            </w:pPr>
            <w:r>
              <w:rPr>
                <w:rFonts w:ascii="Arial" w:cs="Arial" w:eastAsia="Arial" w:hAnsi="Arial"/>
                <w:sz w:val="18"/>
                <w:szCs w:val="18"/>
                <w:b w:val="1"/>
                <w:bCs w:val="1"/>
                <w:color w:val="auto"/>
                <w:w w:val="88"/>
              </w:rPr>
              <w:t>the</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jc w:val="center"/>
              <w:ind w:right="111"/>
              <w:spacing w:after="0" w:line="170" w:lineRule="exact"/>
              <w:rPr>
                <w:sz w:val="20"/>
                <w:szCs w:val="20"/>
                <w:color w:val="auto"/>
              </w:rPr>
            </w:pPr>
            <w:r>
              <w:rPr>
                <w:rFonts w:ascii="Arial" w:cs="Arial" w:eastAsia="Arial" w:hAnsi="Arial"/>
                <w:sz w:val="18"/>
                <w:szCs w:val="18"/>
                <w:b w:val="1"/>
                <w:bCs w:val="1"/>
                <w:color w:val="auto"/>
                <w:w w:val="96"/>
              </w:rPr>
              <w:t>Net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214"/>
        </w:trPr>
        <w:tc>
          <w:tcPr>
            <w:tcW w:w="4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40" w:type="dxa"/>
            <w:vAlign w:val="bottom"/>
            <w:gridSpan w:val="2"/>
          </w:tcPr>
          <w:p>
            <w:pPr>
              <w:jc w:val="center"/>
              <w:ind w:right="71"/>
              <w:spacing w:after="0"/>
              <w:rPr>
                <w:sz w:val="20"/>
                <w:szCs w:val="20"/>
                <w:color w:val="auto"/>
              </w:rPr>
            </w:pPr>
            <w:r>
              <w:rPr>
                <w:rFonts w:ascii="Arial" w:cs="Arial" w:eastAsia="Arial" w:hAnsi="Arial"/>
                <w:sz w:val="18"/>
                <w:szCs w:val="18"/>
                <w:b w:val="1"/>
                <w:bCs w:val="1"/>
                <w:color w:val="auto"/>
                <w:w w:val="85"/>
              </w:rPr>
              <w:t>Recognized</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center"/>
              <w:ind w:right="111"/>
              <w:spacing w:after="0"/>
              <w:rPr>
                <w:sz w:val="20"/>
                <w:szCs w:val="20"/>
                <w:color w:val="auto"/>
              </w:rPr>
            </w:pPr>
            <w:r>
              <w:rPr>
                <w:rFonts w:ascii="Arial" w:cs="Arial" w:eastAsia="Arial" w:hAnsi="Arial"/>
                <w:sz w:val="18"/>
                <w:szCs w:val="18"/>
                <w:b w:val="1"/>
                <w:bCs w:val="1"/>
                <w:color w:val="auto"/>
                <w:w w:val="86"/>
              </w:rPr>
              <w:t>Balance</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center"/>
              <w:ind w:right="111"/>
              <w:spacing w:after="0"/>
              <w:rPr>
                <w:sz w:val="20"/>
                <w:szCs w:val="20"/>
                <w:color w:val="auto"/>
              </w:rPr>
            </w:pPr>
            <w:r>
              <w:rPr>
                <w:rFonts w:ascii="Arial" w:cs="Arial" w:eastAsia="Arial" w:hAnsi="Arial"/>
                <w:sz w:val="18"/>
                <w:szCs w:val="18"/>
                <w:b w:val="1"/>
                <w:bCs w:val="1"/>
                <w:color w:val="auto"/>
                <w:w w:val="94"/>
              </w:rPr>
              <w:t>Liability</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jc w:val="right"/>
              <w:ind w:right="151"/>
              <w:spacing w:after="0"/>
              <w:rPr>
                <w:sz w:val="20"/>
                <w:szCs w:val="20"/>
                <w:color w:val="auto"/>
              </w:rPr>
            </w:pPr>
            <w:r>
              <w:rPr>
                <w:rFonts w:ascii="Arial" w:cs="Arial" w:eastAsia="Arial" w:hAnsi="Arial"/>
                <w:sz w:val="18"/>
                <w:szCs w:val="18"/>
                <w:b w:val="1"/>
                <w:bCs w:val="1"/>
                <w:color w:val="auto"/>
                <w:w w:val="97"/>
              </w:rPr>
              <w:t>Financial</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ind w:right="111"/>
              <w:spacing w:after="0"/>
              <w:rPr>
                <w:sz w:val="20"/>
                <w:szCs w:val="20"/>
                <w:color w:val="auto"/>
              </w:rPr>
            </w:pPr>
            <w:r>
              <w:rPr>
                <w:rFonts w:ascii="Arial" w:cs="Arial" w:eastAsia="Arial" w:hAnsi="Arial"/>
                <w:sz w:val="18"/>
                <w:szCs w:val="18"/>
                <w:b w:val="1"/>
                <w:bCs w:val="1"/>
                <w:color w:val="auto"/>
                <w:w w:val="92"/>
              </w:rPr>
              <w:t>Collateral</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ind w:right="311"/>
              <w:spacing w:after="0"/>
              <w:rPr>
                <w:sz w:val="20"/>
                <w:szCs w:val="20"/>
                <w:color w:val="auto"/>
              </w:rPr>
            </w:pPr>
            <w:r>
              <w:rPr>
                <w:rFonts w:ascii="Arial" w:cs="Arial" w:eastAsia="Arial" w:hAnsi="Arial"/>
                <w:sz w:val="18"/>
                <w:szCs w:val="18"/>
                <w:b w:val="1"/>
                <w:bCs w:val="1"/>
                <w:color w:val="auto"/>
              </w:rPr>
              <w:t>Net</w:t>
            </w:r>
          </w:p>
        </w:tc>
      </w:tr>
      <w:tr>
        <w:trPr>
          <w:trHeight w:val="239"/>
        </w:trPr>
        <w:tc>
          <w:tcPr>
            <w:tcW w:w="46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171"/>
              <w:spacing w:after="0"/>
              <w:rPr>
                <w:sz w:val="20"/>
                <w:szCs w:val="20"/>
                <w:color w:val="auto"/>
              </w:rPr>
            </w:pPr>
            <w:r>
              <w:rPr>
                <w:rFonts w:ascii="Arial" w:cs="Arial" w:eastAsia="Arial" w:hAnsi="Arial"/>
                <w:sz w:val="18"/>
                <w:szCs w:val="18"/>
                <w:b w:val="1"/>
                <w:bCs w:val="1"/>
                <w:color w:val="auto"/>
                <w:w w:val="93"/>
              </w:rPr>
              <w:t>Liabilities</w:t>
            </w: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center"/>
              <w:ind w:right="91"/>
              <w:spacing w:after="0"/>
              <w:rPr>
                <w:sz w:val="20"/>
                <w:szCs w:val="20"/>
                <w:color w:val="auto"/>
              </w:rPr>
            </w:pPr>
            <w:r>
              <w:rPr>
                <w:rFonts w:ascii="Arial" w:cs="Arial" w:eastAsia="Arial" w:hAnsi="Arial"/>
                <w:sz w:val="18"/>
                <w:szCs w:val="18"/>
                <w:b w:val="1"/>
                <w:bCs w:val="1"/>
                <w:color w:val="auto"/>
                <w:w w:val="85"/>
              </w:rPr>
              <w:t>Sheet</w:t>
            </w: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center"/>
              <w:ind w:right="111"/>
              <w:spacing w:after="0"/>
              <w:rPr>
                <w:sz w:val="20"/>
                <w:szCs w:val="20"/>
                <w:color w:val="auto"/>
              </w:rPr>
            </w:pPr>
            <w:r>
              <w:rPr>
                <w:rFonts w:ascii="Arial" w:cs="Arial" w:eastAsia="Arial" w:hAnsi="Arial"/>
                <w:sz w:val="18"/>
                <w:szCs w:val="18"/>
                <w:b w:val="1"/>
                <w:bCs w:val="1"/>
                <w:color w:val="auto"/>
                <w:w w:val="86"/>
              </w:rPr>
              <w:t>Balance</w:t>
            </w:r>
          </w:p>
        </w:tc>
        <w:tc>
          <w:tcPr>
            <w:tcW w:w="80" w:type="dxa"/>
            <w:vAlign w:val="bottom"/>
          </w:tcPr>
          <w:p>
            <w:pPr>
              <w:spacing w:after="0"/>
              <w:rPr>
                <w:sz w:val="20"/>
                <w:szCs w:val="20"/>
                <w:color w:val="auto"/>
              </w:rPr>
            </w:pPr>
          </w:p>
        </w:tc>
        <w:tc>
          <w:tcPr>
            <w:tcW w:w="1100" w:type="dxa"/>
            <w:vAlign w:val="bottom"/>
            <w:tcBorders>
              <w:bottom w:val="single" w:sz="8" w:color="auto"/>
            </w:tcBorders>
            <w:gridSpan w:val="2"/>
          </w:tcPr>
          <w:p>
            <w:pPr>
              <w:jc w:val="right"/>
              <w:ind w:right="31"/>
              <w:spacing w:after="0"/>
              <w:rPr>
                <w:sz w:val="20"/>
                <w:szCs w:val="20"/>
                <w:color w:val="auto"/>
              </w:rPr>
            </w:pPr>
            <w:r>
              <w:rPr>
                <w:rFonts w:ascii="Arial" w:cs="Arial" w:eastAsia="Arial" w:hAnsi="Arial"/>
                <w:sz w:val="18"/>
                <w:szCs w:val="18"/>
                <w:b w:val="1"/>
                <w:bCs w:val="1"/>
                <w:color w:val="auto"/>
                <w:w w:val="93"/>
              </w:rPr>
              <w:t>Instruments</w:t>
            </w: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91"/>
              <w:spacing w:after="0"/>
              <w:rPr>
                <w:sz w:val="20"/>
                <w:szCs w:val="20"/>
                <w:color w:val="auto"/>
              </w:rPr>
            </w:pPr>
            <w:r>
              <w:rPr>
                <w:rFonts w:ascii="Arial" w:cs="Arial" w:eastAsia="Arial" w:hAnsi="Arial"/>
                <w:sz w:val="18"/>
                <w:szCs w:val="18"/>
                <w:b w:val="1"/>
                <w:bCs w:val="1"/>
                <w:color w:val="auto"/>
                <w:w w:val="97"/>
              </w:rPr>
              <w:t>Pledged</w:t>
            </w:r>
          </w:p>
        </w:tc>
        <w:tc>
          <w:tcPr>
            <w:tcW w:w="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b w:val="1"/>
                <w:bCs w:val="1"/>
                <w:color w:val="auto"/>
                <w:w w:val="94"/>
              </w:rPr>
              <w:t>Amount</w:t>
            </w:r>
          </w:p>
        </w:tc>
      </w:tr>
      <w:tr>
        <w:trPr>
          <w:trHeight w:val="414"/>
        </w:trPr>
        <w:tc>
          <w:tcPr>
            <w:tcW w:w="4660" w:type="dxa"/>
            <w:vAlign w:val="bottom"/>
          </w:tcPr>
          <w:p>
            <w:pPr>
              <w:ind w:left="60"/>
              <w:spacing w:after="0"/>
              <w:rPr>
                <w:sz w:val="20"/>
                <w:szCs w:val="20"/>
                <w:color w:val="auto"/>
              </w:rPr>
            </w:pPr>
            <w:r>
              <w:rPr>
                <w:rFonts w:ascii="Arial" w:cs="Arial" w:eastAsia="Arial" w:hAnsi="Arial"/>
                <w:sz w:val="18"/>
                <w:szCs w:val="18"/>
                <w:color w:val="auto"/>
                <w:w w:val="98"/>
              </w:rPr>
              <w:t>Repurchase agreements / reverse repurchase agreements</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71"/>
              <w:spacing w:after="0"/>
              <w:rPr>
                <w:sz w:val="20"/>
                <w:szCs w:val="20"/>
                <w:color w:val="auto"/>
              </w:rPr>
            </w:pPr>
            <w:r>
              <w:rPr>
                <w:rFonts w:ascii="Arial" w:cs="Arial" w:eastAsia="Arial" w:hAnsi="Arial"/>
                <w:sz w:val="18"/>
                <w:szCs w:val="18"/>
                <w:color w:val="auto"/>
              </w:rPr>
              <w:t>200,000</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(200,000)</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5"/>
        </w:trPr>
        <w:tc>
          <w:tcPr>
            <w:tcW w:w="4660" w:type="dxa"/>
            <w:vAlign w:val="bottom"/>
          </w:tcPr>
          <w:p>
            <w:pPr>
              <w:ind w:left="60"/>
              <w:spacing w:after="0"/>
              <w:rPr>
                <w:sz w:val="20"/>
                <w:szCs w:val="20"/>
                <w:color w:val="auto"/>
              </w:rPr>
            </w:pPr>
            <w:r>
              <w:rPr>
                <w:rFonts w:ascii="Arial" w:cs="Arial" w:eastAsia="Arial" w:hAnsi="Arial"/>
                <w:sz w:val="18"/>
                <w:szCs w:val="18"/>
                <w:color w:val="auto"/>
              </w:rPr>
              <w:t>Derivatives</w:t>
            </w:r>
          </w:p>
        </w:tc>
        <w:tc>
          <w:tcPr>
            <w:tcW w:w="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6,142</w:t>
            </w: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6,142</w:t>
            </w:r>
          </w:p>
        </w:tc>
        <w:tc>
          <w:tcPr>
            <w:tcW w:w="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5,405</w:t>
            </w:r>
          </w:p>
        </w:tc>
        <w:tc>
          <w:tcPr>
            <w:tcW w:w="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737</w:t>
            </w:r>
          </w:p>
        </w:tc>
      </w:tr>
      <w:tr>
        <w:trPr>
          <w:trHeight w:val="214"/>
        </w:trPr>
        <w:tc>
          <w:tcPr>
            <w:tcW w:w="4660" w:type="dxa"/>
            <w:vAlign w:val="bottom"/>
          </w:tcPr>
          <w:p>
            <w:pPr>
              <w:ind w:left="280"/>
              <w:spacing w:after="0"/>
              <w:rPr>
                <w:sz w:val="20"/>
                <w:szCs w:val="20"/>
                <w:color w:val="auto"/>
              </w:rPr>
            </w:pPr>
            <w:r>
              <w:rPr>
                <w:rFonts w:ascii="Arial" w:cs="Arial" w:eastAsia="Arial" w:hAnsi="Arial"/>
                <w:sz w:val="18"/>
                <w:szCs w:val="18"/>
                <w:color w:val="auto"/>
              </w:rPr>
              <w:t>Total</w:t>
            </w:r>
          </w:p>
        </w:tc>
        <w:tc>
          <w:tcPr>
            <w:tcW w:w="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206,142</w:t>
            </w:r>
          </w:p>
        </w:tc>
        <w:tc>
          <w:tcPr>
            <w:tcW w:w="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(200,000)</w:t>
            </w:r>
          </w:p>
        </w:tc>
        <w:tc>
          <w:tcPr>
            <w:tcW w:w="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6,142</w:t>
            </w:r>
          </w:p>
        </w:tc>
        <w:tc>
          <w:tcPr>
            <w:tcW w:w="8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5,405</w:t>
            </w:r>
          </w:p>
        </w:tc>
        <w:tc>
          <w:tcPr>
            <w:tcW w:w="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737</w:t>
            </w:r>
          </w:p>
        </w:tc>
      </w:tr>
      <w:tr>
        <w:trPr>
          <w:trHeight w:val="20"/>
        </w:trPr>
        <w:tc>
          <w:tcPr>
            <w:tcW w:w="4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420"/>
        </w:trPr>
        <w:tc>
          <w:tcPr>
            <w:tcW w:w="4660" w:type="dxa"/>
            <w:vAlign w:val="bottom"/>
          </w:tcPr>
          <w:p>
            <w:pPr>
              <w:ind w:left="40"/>
              <w:spacing w:after="0"/>
              <w:rPr>
                <w:sz w:val="20"/>
                <w:szCs w:val="20"/>
                <w:color w:val="auto"/>
              </w:rPr>
            </w:pPr>
            <w:r>
              <w:rPr>
                <w:rFonts w:ascii="Arial" w:cs="Arial" w:eastAsia="Arial" w:hAnsi="Arial"/>
                <w:sz w:val="18"/>
                <w:szCs w:val="18"/>
                <w:color w:val="auto"/>
                <w:w w:val="99"/>
              </w:rPr>
              <w:t>Weighted average interest rate of repurchase agreements</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.41%</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429"/>
        </w:trPr>
        <w:tc>
          <w:tcPr>
            <w:tcW w:w="4660" w:type="dxa"/>
            <w:vAlign w:val="bottom"/>
            <w:tcBorders>
              <w:bottom w:val="single" w:sz="8" w:color="DCDCDC"/>
            </w:tcBorders>
          </w:tcPr>
          <w:p>
            <w:pPr>
              <w:spacing w:after="0"/>
              <w:rPr>
                <w:sz w:val="24"/>
                <w:szCs w:val="24"/>
                <w:color w:val="auto"/>
              </w:rPr>
            </w:pPr>
          </w:p>
        </w:tc>
        <w:tc>
          <w:tcPr>
            <w:tcW w:w="40" w:type="dxa"/>
            <w:vAlign w:val="bottom"/>
            <w:tcBorders>
              <w:bottom w:val="single" w:sz="8" w:color="DCDCDC"/>
            </w:tcBorders>
          </w:tcPr>
          <w:p>
            <w:pPr>
              <w:spacing w:after="0"/>
              <w:rPr>
                <w:sz w:val="24"/>
                <w:szCs w:val="24"/>
                <w:color w:val="auto"/>
              </w:rPr>
            </w:pPr>
          </w:p>
        </w:tc>
        <w:tc>
          <w:tcPr>
            <w:tcW w:w="100" w:type="dxa"/>
            <w:vAlign w:val="bottom"/>
            <w:tcBorders>
              <w:bottom w:val="single" w:sz="8" w:color="DCDCDC"/>
            </w:tcBorders>
          </w:tcPr>
          <w:p>
            <w:pPr>
              <w:spacing w:after="0"/>
              <w:rPr>
                <w:sz w:val="24"/>
                <w:szCs w:val="24"/>
                <w:color w:val="auto"/>
              </w:rPr>
            </w:pPr>
          </w:p>
        </w:tc>
        <w:tc>
          <w:tcPr>
            <w:tcW w:w="1040" w:type="dxa"/>
            <w:vAlign w:val="bottom"/>
            <w:tcBorders>
              <w:bottom w:val="single" w:sz="8" w:color="DCDCDC"/>
            </w:tcBorders>
          </w:tcPr>
          <w:p>
            <w:pPr>
              <w:jc w:val="right"/>
              <w:spacing w:after="0"/>
              <w:rPr>
                <w:sz w:val="20"/>
                <w:szCs w:val="20"/>
                <w:color w:val="auto"/>
              </w:rPr>
            </w:pPr>
            <w:r>
              <w:rPr>
                <w:rFonts w:ascii="Arial" w:cs="Arial" w:eastAsia="Arial" w:hAnsi="Arial"/>
                <w:sz w:val="18"/>
                <w:szCs w:val="18"/>
                <w:color w:val="auto"/>
              </w:rPr>
              <w:t>9</w:t>
            </w:r>
          </w:p>
        </w:tc>
        <w:tc>
          <w:tcPr>
            <w:tcW w:w="80" w:type="dxa"/>
            <w:vAlign w:val="bottom"/>
            <w:tcBorders>
              <w:bottom w:val="single" w:sz="8" w:color="DCDCDC"/>
            </w:tcBorders>
          </w:tcPr>
          <w:p>
            <w:pPr>
              <w:spacing w:after="0"/>
              <w:rPr>
                <w:sz w:val="24"/>
                <w:szCs w:val="24"/>
                <w:color w:val="auto"/>
              </w:rPr>
            </w:pPr>
          </w:p>
        </w:tc>
        <w:tc>
          <w:tcPr>
            <w:tcW w:w="100" w:type="dxa"/>
            <w:vAlign w:val="bottom"/>
            <w:tcBorders>
              <w:bottom w:val="single" w:sz="8" w:color="DCDCDC"/>
            </w:tcBorders>
          </w:tcPr>
          <w:p>
            <w:pPr>
              <w:spacing w:after="0"/>
              <w:rPr>
                <w:sz w:val="24"/>
                <w:szCs w:val="24"/>
                <w:color w:val="auto"/>
              </w:rPr>
            </w:pPr>
          </w:p>
        </w:tc>
        <w:tc>
          <w:tcPr>
            <w:tcW w:w="920" w:type="dxa"/>
            <w:vAlign w:val="bottom"/>
            <w:tcBorders>
              <w:bottom w:val="single" w:sz="8" w:color="DCDCDC"/>
            </w:tcBorders>
          </w:tcPr>
          <w:p>
            <w:pPr>
              <w:spacing w:after="0"/>
              <w:rPr>
                <w:sz w:val="24"/>
                <w:szCs w:val="24"/>
                <w:color w:val="auto"/>
              </w:rPr>
            </w:pPr>
          </w:p>
        </w:tc>
        <w:tc>
          <w:tcPr>
            <w:tcW w:w="80" w:type="dxa"/>
            <w:vAlign w:val="bottom"/>
            <w:tcBorders>
              <w:bottom w:val="single" w:sz="8" w:color="DCDCDC"/>
            </w:tcBorders>
          </w:tcPr>
          <w:p>
            <w:pPr>
              <w:spacing w:after="0"/>
              <w:rPr>
                <w:sz w:val="24"/>
                <w:szCs w:val="24"/>
                <w:color w:val="auto"/>
              </w:rPr>
            </w:pPr>
          </w:p>
        </w:tc>
        <w:tc>
          <w:tcPr>
            <w:tcW w:w="100" w:type="dxa"/>
            <w:vAlign w:val="bottom"/>
            <w:tcBorders>
              <w:bottom w:val="single" w:sz="8" w:color="DCDCDC"/>
            </w:tcBorders>
          </w:tcPr>
          <w:p>
            <w:pPr>
              <w:spacing w:after="0"/>
              <w:rPr>
                <w:sz w:val="24"/>
                <w:szCs w:val="24"/>
                <w:color w:val="auto"/>
              </w:rPr>
            </w:pPr>
          </w:p>
        </w:tc>
        <w:tc>
          <w:tcPr>
            <w:tcW w:w="880" w:type="dxa"/>
            <w:vAlign w:val="bottom"/>
            <w:tcBorders>
              <w:bottom w:val="single" w:sz="8" w:color="DCDCDC"/>
            </w:tcBorders>
          </w:tcPr>
          <w:p>
            <w:pPr>
              <w:spacing w:after="0"/>
              <w:rPr>
                <w:sz w:val="24"/>
                <w:szCs w:val="24"/>
                <w:color w:val="auto"/>
              </w:rPr>
            </w:pPr>
          </w:p>
        </w:tc>
        <w:tc>
          <w:tcPr>
            <w:tcW w:w="80" w:type="dxa"/>
            <w:vAlign w:val="bottom"/>
            <w:tcBorders>
              <w:bottom w:val="single" w:sz="8" w:color="DCDCDC"/>
            </w:tcBorders>
          </w:tcPr>
          <w:p>
            <w:pPr>
              <w:spacing w:after="0"/>
              <w:rPr>
                <w:sz w:val="24"/>
                <w:szCs w:val="24"/>
                <w:color w:val="auto"/>
              </w:rPr>
            </w:pPr>
          </w:p>
        </w:tc>
        <w:tc>
          <w:tcPr>
            <w:tcW w:w="80" w:type="dxa"/>
            <w:vAlign w:val="bottom"/>
            <w:tcBorders>
              <w:bottom w:val="single" w:sz="8" w:color="DCDCDC"/>
            </w:tcBorders>
          </w:tcPr>
          <w:p>
            <w:pPr>
              <w:spacing w:after="0"/>
              <w:rPr>
                <w:sz w:val="24"/>
                <w:szCs w:val="24"/>
                <w:color w:val="auto"/>
              </w:rPr>
            </w:pPr>
          </w:p>
        </w:tc>
        <w:tc>
          <w:tcPr>
            <w:tcW w:w="1020" w:type="dxa"/>
            <w:vAlign w:val="bottom"/>
            <w:tcBorders>
              <w:bottom w:val="single" w:sz="8" w:color="DCDCDC"/>
            </w:tcBorders>
          </w:tcPr>
          <w:p>
            <w:pPr>
              <w:spacing w:after="0"/>
              <w:rPr>
                <w:sz w:val="24"/>
                <w:szCs w:val="24"/>
                <w:color w:val="auto"/>
              </w:rPr>
            </w:pPr>
          </w:p>
        </w:tc>
        <w:tc>
          <w:tcPr>
            <w:tcW w:w="80" w:type="dxa"/>
            <w:vAlign w:val="bottom"/>
            <w:tcBorders>
              <w:bottom w:val="single" w:sz="8" w:color="DCDCDC"/>
            </w:tcBorders>
          </w:tcPr>
          <w:p>
            <w:pPr>
              <w:spacing w:after="0"/>
              <w:rPr>
                <w:sz w:val="24"/>
                <w:szCs w:val="24"/>
                <w:color w:val="auto"/>
              </w:rPr>
            </w:pPr>
          </w:p>
        </w:tc>
        <w:tc>
          <w:tcPr>
            <w:tcW w:w="100" w:type="dxa"/>
            <w:vAlign w:val="bottom"/>
            <w:tcBorders>
              <w:bottom w:val="single" w:sz="8" w:color="DCDCDC"/>
            </w:tcBorders>
          </w:tcPr>
          <w:p>
            <w:pPr>
              <w:spacing w:after="0"/>
              <w:rPr>
                <w:sz w:val="24"/>
                <w:szCs w:val="24"/>
                <w:color w:val="auto"/>
              </w:rPr>
            </w:pPr>
          </w:p>
        </w:tc>
        <w:tc>
          <w:tcPr>
            <w:tcW w:w="980" w:type="dxa"/>
            <w:vAlign w:val="bottom"/>
            <w:tcBorders>
              <w:bottom w:val="single" w:sz="8" w:color="DCDCDC"/>
            </w:tcBorders>
          </w:tcPr>
          <w:p>
            <w:pPr>
              <w:spacing w:after="0"/>
              <w:rPr>
                <w:sz w:val="24"/>
                <w:szCs w:val="24"/>
                <w:color w:val="auto"/>
              </w:rPr>
            </w:pPr>
          </w:p>
        </w:tc>
        <w:tc>
          <w:tcPr>
            <w:tcW w:w="80" w:type="dxa"/>
            <w:vAlign w:val="bottom"/>
            <w:tcBorders>
              <w:bottom w:val="single" w:sz="8" w:color="DCDCDC"/>
            </w:tcBorders>
          </w:tcPr>
          <w:p>
            <w:pPr>
              <w:spacing w:after="0"/>
              <w:rPr>
                <w:sz w:val="24"/>
                <w:szCs w:val="24"/>
                <w:color w:val="auto"/>
              </w:rPr>
            </w:pPr>
          </w:p>
        </w:tc>
        <w:tc>
          <w:tcPr>
            <w:tcW w:w="120" w:type="dxa"/>
            <w:vAlign w:val="bottom"/>
            <w:tcBorders>
              <w:bottom w:val="single" w:sz="8" w:color="DCDCDC"/>
            </w:tcBorders>
          </w:tcPr>
          <w:p>
            <w:pPr>
              <w:spacing w:after="0"/>
              <w:rPr>
                <w:sz w:val="24"/>
                <w:szCs w:val="24"/>
                <w:color w:val="auto"/>
              </w:rPr>
            </w:pPr>
          </w:p>
        </w:tc>
        <w:tc>
          <w:tcPr>
            <w:tcW w:w="880" w:type="dxa"/>
            <w:vAlign w:val="bottom"/>
            <w:tcBorders>
              <w:bottom w:val="single" w:sz="8" w:color="DCDCDC"/>
            </w:tcBorders>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12" w:name="page13"/>
    <w:bookmarkEnd w:id="12"/>
    <w:p>
      <w:pPr>
        <w:jc w:val="center"/>
        <w:ind w:right="-19"/>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Securities</w:t>
      </w:r>
    </w:p>
    <w:p>
      <w:pPr>
        <w:spacing w:after="0" w:line="252"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 xml:space="preserve">Realized gains and losses are derived using the specific identification method for determining the cost of securities sold. The following table summarizes securities sales activity for the three and six month periods ended June 30, 2013 and 2012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72" w:lineRule="exact"/>
        <w:rPr>
          <w:sz w:val="20"/>
          <w:szCs w:val="20"/>
          <w:color w:val="auto"/>
        </w:rPr>
      </w:pPr>
    </w:p>
    <w:tbl>
      <w:tblPr>
        <w:tblLayout w:type="fixed"/>
        <w:tblInd w:w="300" w:type="dxa"/>
        <w:tblCellMar>
          <w:top w:w="0" w:type="dxa"/>
          <w:left w:w="0" w:type="dxa"/>
          <w:bottom w:w="0" w:type="dxa"/>
          <w:right w:w="0" w:type="dxa"/>
        </w:tblCellMar>
      </w:tblPr>
      <w:tr>
        <w:trPr>
          <w:trHeight w:val="214"/>
        </w:trPr>
        <w:tc>
          <w:tcPr>
            <w:tcW w:w="5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580" w:type="dxa"/>
            <w:vAlign w:val="bottom"/>
            <w:gridSpan w:val="5"/>
          </w:tcPr>
          <w:p>
            <w:pPr>
              <w:jc w:val="right"/>
              <w:ind w:right="451"/>
              <w:spacing w:after="0"/>
              <w:rPr>
                <w:sz w:val="20"/>
                <w:szCs w:val="20"/>
                <w:color w:val="auto"/>
              </w:rPr>
            </w:pPr>
            <w:r>
              <w:rPr>
                <w:rFonts w:ascii="Arial" w:cs="Arial" w:eastAsia="Arial" w:hAnsi="Arial"/>
                <w:sz w:val="18"/>
                <w:szCs w:val="18"/>
                <w:b w:val="1"/>
                <w:bCs w:val="1"/>
                <w:color w:val="auto"/>
              </w:rPr>
              <w:t>Three Months Ended</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20" w:type="dxa"/>
            <w:vAlign w:val="bottom"/>
            <w:gridSpan w:val="4"/>
          </w:tcPr>
          <w:p>
            <w:pPr>
              <w:jc w:val="right"/>
              <w:ind w:right="591"/>
              <w:spacing w:after="0"/>
              <w:rPr>
                <w:sz w:val="20"/>
                <w:szCs w:val="20"/>
                <w:color w:val="auto"/>
              </w:rPr>
            </w:pPr>
            <w:r>
              <w:rPr>
                <w:rFonts w:ascii="Arial" w:cs="Arial" w:eastAsia="Arial" w:hAnsi="Arial"/>
                <w:sz w:val="18"/>
                <w:szCs w:val="18"/>
                <w:b w:val="1"/>
                <w:bCs w:val="1"/>
                <w:color w:val="auto"/>
              </w:rPr>
              <w:t>Six Months Ended</w:t>
            </w:r>
          </w:p>
        </w:tc>
      </w:tr>
      <w:tr>
        <w:trPr>
          <w:trHeight w:val="239"/>
        </w:trPr>
        <w:tc>
          <w:tcPr>
            <w:tcW w:w="5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8"/>
                <w:szCs w:val="18"/>
                <w:b w:val="1"/>
                <w:bCs w:val="1"/>
                <w:color w:val="auto"/>
                <w:w w:val="97"/>
              </w:rPr>
              <w:t>June 30,</w:t>
            </w:r>
          </w:p>
        </w:tc>
        <w:tc>
          <w:tcPr>
            <w:tcW w:w="9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8"/>
                <w:szCs w:val="18"/>
                <w:b w:val="1"/>
                <w:bCs w:val="1"/>
                <w:color w:val="auto"/>
              </w:rPr>
              <w:t>June 30,</w:t>
            </w:r>
          </w:p>
        </w:tc>
        <w:tc>
          <w:tcPr>
            <w:tcW w:w="980" w:type="dxa"/>
            <w:vAlign w:val="bottom"/>
            <w:tcBorders>
              <w:bottom w:val="single" w:sz="8" w:color="auto"/>
            </w:tcBorders>
          </w:tcPr>
          <w:p>
            <w:pPr>
              <w:spacing w:after="0"/>
              <w:rPr>
                <w:sz w:val="20"/>
                <w:szCs w:val="20"/>
                <w:color w:val="auto"/>
              </w:rPr>
            </w:pPr>
          </w:p>
        </w:tc>
      </w:tr>
      <w:tr>
        <w:trPr>
          <w:trHeight w:val="221"/>
        </w:trPr>
        <w:tc>
          <w:tcPr>
            <w:tcW w:w="5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2013</w:t>
            </w:r>
          </w:p>
        </w:tc>
        <w:tc>
          <w:tcPr>
            <w:tcW w:w="4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411"/>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31"/>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51"/>
              <w:spacing w:after="0"/>
              <w:rPr>
                <w:sz w:val="20"/>
                <w:szCs w:val="20"/>
                <w:color w:val="auto"/>
              </w:rPr>
            </w:pPr>
            <w:r>
              <w:rPr>
                <w:rFonts w:ascii="Arial" w:cs="Arial" w:eastAsia="Arial" w:hAnsi="Arial"/>
                <w:sz w:val="18"/>
                <w:szCs w:val="18"/>
                <w:b w:val="1"/>
                <w:bCs w:val="1"/>
                <w:color w:val="auto"/>
              </w:rPr>
              <w:t>2012</w:t>
            </w:r>
          </w:p>
        </w:tc>
      </w:tr>
      <w:tr>
        <w:trPr>
          <w:trHeight w:val="428"/>
        </w:trPr>
        <w:tc>
          <w:tcPr>
            <w:tcW w:w="5480" w:type="dxa"/>
            <w:vAlign w:val="bottom"/>
          </w:tcPr>
          <w:p>
            <w:pPr>
              <w:spacing w:after="0"/>
              <w:rPr>
                <w:sz w:val="20"/>
                <w:szCs w:val="20"/>
                <w:color w:val="auto"/>
              </w:rPr>
            </w:pPr>
            <w:r>
              <w:rPr>
                <w:rFonts w:ascii="Arial" w:cs="Arial" w:eastAsia="Arial" w:hAnsi="Arial"/>
                <w:sz w:val="18"/>
                <w:szCs w:val="18"/>
                <w:color w:val="auto"/>
              </w:rPr>
              <w:t>Proceeds from sales</w:t>
            </w:r>
          </w:p>
        </w:tc>
        <w:tc>
          <w:tcPr>
            <w:tcW w:w="840" w:type="dxa"/>
            <w:vAlign w:val="bottom"/>
            <w:gridSpan w:val="2"/>
          </w:tcPr>
          <w:p>
            <w:pPr>
              <w:jc w:val="right"/>
              <w:ind w:right="651"/>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265,992</w:t>
            </w: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15,751</w:t>
            </w:r>
          </w:p>
        </w:tc>
        <w:tc>
          <w:tcPr>
            <w:tcW w:w="4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371,103</w:t>
            </w:r>
          </w:p>
        </w:tc>
      </w:tr>
      <w:tr>
        <w:trPr>
          <w:trHeight w:val="21"/>
        </w:trPr>
        <w:tc>
          <w:tcPr>
            <w:tcW w:w="54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r>
        <w:trPr>
          <w:trHeight w:val="408"/>
        </w:trPr>
        <w:tc>
          <w:tcPr>
            <w:tcW w:w="5480" w:type="dxa"/>
            <w:vAlign w:val="bottom"/>
          </w:tcPr>
          <w:p>
            <w:pPr>
              <w:spacing w:after="0"/>
              <w:rPr>
                <w:sz w:val="20"/>
                <w:szCs w:val="20"/>
                <w:color w:val="auto"/>
              </w:rPr>
            </w:pPr>
            <w:r>
              <w:rPr>
                <w:rFonts w:ascii="Arial" w:cs="Arial" w:eastAsia="Arial" w:hAnsi="Arial"/>
                <w:sz w:val="18"/>
                <w:szCs w:val="18"/>
                <w:color w:val="auto"/>
              </w:rPr>
              <w:t>Gross gains on sales</w:t>
            </w:r>
          </w:p>
        </w:tc>
        <w:tc>
          <w:tcPr>
            <w:tcW w:w="840" w:type="dxa"/>
            <w:vAlign w:val="bottom"/>
            <w:gridSpan w:val="2"/>
          </w:tcPr>
          <w:p>
            <w:pPr>
              <w:jc w:val="right"/>
              <w:ind w:right="651"/>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6,490</w:t>
            </w: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116</w:t>
            </w:r>
          </w:p>
        </w:tc>
        <w:tc>
          <w:tcPr>
            <w:tcW w:w="4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7,047</w:t>
            </w:r>
          </w:p>
        </w:tc>
      </w:tr>
      <w:tr>
        <w:trPr>
          <w:trHeight w:val="235"/>
        </w:trPr>
        <w:tc>
          <w:tcPr>
            <w:tcW w:w="5480" w:type="dxa"/>
            <w:vAlign w:val="bottom"/>
          </w:tcPr>
          <w:p>
            <w:pPr>
              <w:spacing w:after="0"/>
              <w:rPr>
                <w:sz w:val="20"/>
                <w:szCs w:val="20"/>
                <w:color w:val="auto"/>
              </w:rPr>
            </w:pPr>
            <w:r>
              <w:rPr>
                <w:rFonts w:ascii="Arial" w:cs="Arial" w:eastAsia="Arial" w:hAnsi="Arial"/>
                <w:sz w:val="18"/>
                <w:szCs w:val="18"/>
                <w:color w:val="auto"/>
              </w:rPr>
              <w:t>Gross losses on sales</w:t>
            </w:r>
          </w:p>
        </w:tc>
        <w:tc>
          <w:tcPr>
            <w:tcW w:w="20" w:type="dxa"/>
            <w:vAlign w:val="bottom"/>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w:t>
            </w:r>
          </w:p>
        </w:tc>
      </w:tr>
      <w:tr>
        <w:trPr>
          <w:trHeight w:val="428"/>
        </w:trPr>
        <w:tc>
          <w:tcPr>
            <w:tcW w:w="5480" w:type="dxa"/>
            <w:vAlign w:val="bottom"/>
          </w:tcPr>
          <w:p>
            <w:pPr>
              <w:ind w:left="120"/>
              <w:spacing w:after="0"/>
              <w:rPr>
                <w:sz w:val="20"/>
                <w:szCs w:val="20"/>
                <w:color w:val="auto"/>
              </w:rPr>
            </w:pPr>
            <w:r>
              <w:rPr>
                <w:rFonts w:ascii="Arial" w:cs="Arial" w:eastAsia="Arial" w:hAnsi="Arial"/>
                <w:sz w:val="18"/>
                <w:szCs w:val="18"/>
                <w:color w:val="auto"/>
              </w:rPr>
              <w:t>Net gains on sales of securities</w:t>
            </w:r>
          </w:p>
        </w:tc>
        <w:tc>
          <w:tcPr>
            <w:tcW w:w="840" w:type="dxa"/>
            <w:vAlign w:val="bottom"/>
            <w:gridSpan w:val="2"/>
          </w:tcPr>
          <w:p>
            <w:pPr>
              <w:jc w:val="right"/>
              <w:ind w:right="651"/>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6,490</w:t>
            </w: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116</w:t>
            </w:r>
          </w:p>
        </w:tc>
        <w:tc>
          <w:tcPr>
            <w:tcW w:w="4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7,047</w:t>
            </w:r>
          </w:p>
        </w:tc>
      </w:tr>
      <w:tr>
        <w:trPr>
          <w:trHeight w:val="21"/>
        </w:trPr>
        <w:tc>
          <w:tcPr>
            <w:tcW w:w="54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r>
        <w:trPr>
          <w:trHeight w:val="421"/>
        </w:trPr>
        <w:tc>
          <w:tcPr>
            <w:tcW w:w="5480" w:type="dxa"/>
            <w:vAlign w:val="bottom"/>
          </w:tcPr>
          <w:p>
            <w:pPr>
              <w:spacing w:after="0"/>
              <w:rPr>
                <w:sz w:val="20"/>
                <w:szCs w:val="20"/>
                <w:color w:val="auto"/>
              </w:rPr>
            </w:pPr>
            <w:r>
              <w:rPr>
                <w:rFonts w:ascii="Arial" w:cs="Arial" w:eastAsia="Arial" w:hAnsi="Arial"/>
                <w:sz w:val="18"/>
                <w:szCs w:val="18"/>
                <w:color w:val="auto"/>
              </w:rPr>
              <w:t>Income tax expense attributable to sales</w:t>
            </w:r>
          </w:p>
        </w:tc>
        <w:tc>
          <w:tcPr>
            <w:tcW w:w="840" w:type="dxa"/>
            <w:vAlign w:val="bottom"/>
            <w:gridSpan w:val="2"/>
          </w:tcPr>
          <w:p>
            <w:pPr>
              <w:jc w:val="right"/>
              <w:ind w:right="651"/>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2,425</w:t>
            </w: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45</w:t>
            </w:r>
          </w:p>
        </w:tc>
        <w:tc>
          <w:tcPr>
            <w:tcW w:w="4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2,631</w:t>
            </w:r>
          </w:p>
        </w:tc>
      </w:tr>
      <w:tr>
        <w:trPr>
          <w:trHeight w:val="21"/>
        </w:trPr>
        <w:tc>
          <w:tcPr>
            <w:tcW w:w="54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227"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Securities with a carrying value of $1.30 billion, $1.40 billion, and $1.29 billion were pledged to secure public deposits and other secured borrowings at June 30, 2013, December 31, 2012 and June 30, 2012, respectively. Substantial borrowing capacity remains available under borrowing arrangements with the FHLB with currently pledged securities.</w:t>
      </w:r>
    </w:p>
    <w:p>
      <w:pPr>
        <w:spacing w:after="0" w:line="211"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Securities are classified as held-to-maturity when management has the positive intent and ability to hold them until maturity. Securities held-to-maturity are carried at amortized cost.</w:t>
      </w:r>
    </w:p>
    <w:p>
      <w:pPr>
        <w:spacing w:after="0" w:line="202"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 xml:space="preserve">The amortized cost, gross unrealized gains and losses and fair value of securities held-to-maturity at June 30, 2013, December 31, 2012 and June 30, 2012 are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72" w:lineRule="exact"/>
        <w:rPr>
          <w:sz w:val="20"/>
          <w:szCs w:val="20"/>
          <w:color w:val="auto"/>
        </w:rPr>
      </w:pPr>
    </w:p>
    <w:tbl>
      <w:tblPr>
        <w:tblLayout w:type="fixed"/>
        <w:tblInd w:w="300" w:type="dxa"/>
        <w:tblCellMar>
          <w:top w:w="0" w:type="dxa"/>
          <w:left w:w="0" w:type="dxa"/>
          <w:bottom w:w="0" w:type="dxa"/>
          <w:right w:w="0" w:type="dxa"/>
        </w:tblCellMar>
      </w:tblPr>
      <w:tr>
        <w:trPr>
          <w:trHeight w:val="214"/>
        </w:trPr>
        <w:tc>
          <w:tcPr>
            <w:tcW w:w="1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center"/>
              <w:ind w:right="131"/>
              <w:spacing w:after="0"/>
              <w:rPr>
                <w:sz w:val="20"/>
                <w:szCs w:val="20"/>
                <w:color w:val="auto"/>
              </w:rPr>
            </w:pPr>
            <w:r>
              <w:rPr>
                <w:rFonts w:ascii="Arial" w:cs="Arial" w:eastAsia="Arial" w:hAnsi="Arial"/>
                <w:sz w:val="18"/>
                <w:szCs w:val="18"/>
                <w:b w:val="1"/>
                <w:bCs w:val="1"/>
                <w:color w:val="auto"/>
                <w:w w:val="84"/>
              </w:rPr>
              <w:t>Gross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center"/>
              <w:ind w:right="151"/>
              <w:spacing w:after="0"/>
              <w:rPr>
                <w:sz w:val="20"/>
                <w:szCs w:val="20"/>
                <w:color w:val="auto"/>
              </w:rPr>
            </w:pPr>
            <w:r>
              <w:rPr>
                <w:rFonts w:ascii="Arial" w:cs="Arial" w:eastAsia="Arial" w:hAnsi="Arial"/>
                <w:sz w:val="18"/>
                <w:szCs w:val="18"/>
                <w:b w:val="1"/>
                <w:bCs w:val="1"/>
                <w:color w:val="auto"/>
                <w:w w:val="88"/>
              </w:rPr>
              <w:t>Gross</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ind w:right="171"/>
              <w:spacing w:after="0"/>
              <w:rPr>
                <w:sz w:val="20"/>
                <w:szCs w:val="20"/>
                <w:color w:val="auto"/>
              </w:rPr>
            </w:pPr>
            <w:r>
              <w:rPr>
                <w:rFonts w:ascii="Arial" w:cs="Arial" w:eastAsia="Arial" w:hAnsi="Arial"/>
                <w:sz w:val="18"/>
                <w:szCs w:val="18"/>
                <w:b w:val="1"/>
                <w:bCs w:val="1"/>
                <w:color w:val="auto"/>
                <w:w w:val="93"/>
              </w:rPr>
              <w:t>Amortized</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center"/>
              <w:ind w:right="131"/>
              <w:spacing w:after="0"/>
              <w:rPr>
                <w:sz w:val="20"/>
                <w:szCs w:val="20"/>
                <w:color w:val="auto"/>
              </w:rPr>
            </w:pPr>
            <w:r>
              <w:rPr>
                <w:rFonts w:ascii="Arial" w:cs="Arial" w:eastAsia="Arial" w:hAnsi="Arial"/>
                <w:sz w:val="18"/>
                <w:szCs w:val="18"/>
                <w:b w:val="1"/>
                <w:bCs w:val="1"/>
                <w:color w:val="auto"/>
                <w:w w:val="92"/>
              </w:rPr>
              <w:t>Unrealized</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center"/>
              <w:ind w:right="151"/>
              <w:spacing w:after="0"/>
              <w:rPr>
                <w:sz w:val="20"/>
                <w:szCs w:val="20"/>
                <w:color w:val="auto"/>
              </w:rPr>
            </w:pPr>
            <w:r>
              <w:rPr>
                <w:rFonts w:ascii="Arial" w:cs="Arial" w:eastAsia="Arial" w:hAnsi="Arial"/>
                <w:sz w:val="18"/>
                <w:szCs w:val="18"/>
                <w:b w:val="1"/>
                <w:bCs w:val="1"/>
                <w:color w:val="auto"/>
                <w:w w:val="90"/>
              </w:rPr>
              <w:t>Unrealized</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ind w:right="471"/>
              <w:spacing w:after="0"/>
              <w:rPr>
                <w:sz w:val="20"/>
                <w:szCs w:val="20"/>
                <w:color w:val="auto"/>
              </w:rPr>
            </w:pPr>
            <w:r>
              <w:rPr>
                <w:rFonts w:ascii="Arial" w:cs="Arial" w:eastAsia="Arial" w:hAnsi="Arial"/>
                <w:sz w:val="18"/>
                <w:szCs w:val="18"/>
                <w:b w:val="1"/>
                <w:bCs w:val="1"/>
                <w:color w:val="auto"/>
              </w:rPr>
              <w:t>Fair</w:t>
            </w:r>
          </w:p>
        </w:tc>
        <w:tc>
          <w:tcPr>
            <w:tcW w:w="0" w:type="dxa"/>
            <w:vAlign w:val="bottom"/>
          </w:tcPr>
          <w:p>
            <w:pPr>
              <w:spacing w:after="0"/>
              <w:rPr>
                <w:sz w:val="1"/>
                <w:szCs w:val="1"/>
                <w:color w:val="auto"/>
              </w:rPr>
            </w:pPr>
          </w:p>
        </w:tc>
      </w:tr>
      <w:tr>
        <w:trPr>
          <w:trHeight w:val="193"/>
        </w:trPr>
        <w:tc>
          <w:tcPr>
            <w:tcW w:w="5480" w:type="dxa"/>
            <w:vAlign w:val="bottom"/>
            <w:gridSpan w:val="3"/>
          </w:tcPr>
          <w:p>
            <w:pPr>
              <w:spacing w:after="0" w:line="193" w:lineRule="exact"/>
              <w:rPr>
                <w:sz w:val="20"/>
                <w:szCs w:val="20"/>
                <w:color w:val="auto"/>
              </w:rPr>
            </w:pPr>
            <w:r>
              <w:rPr>
                <w:rFonts w:ascii="Arial" w:cs="Arial" w:eastAsia="Arial" w:hAnsi="Arial"/>
                <w:sz w:val="18"/>
                <w:szCs w:val="18"/>
                <w:color w:val="auto"/>
              </w:rPr>
              <w:t>As of June 30, 2013</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jc w:val="right"/>
              <w:ind w:right="411"/>
              <w:spacing w:after="0" w:line="193" w:lineRule="exact"/>
              <w:rPr>
                <w:sz w:val="20"/>
                <w:szCs w:val="20"/>
                <w:color w:val="auto"/>
              </w:rPr>
            </w:pPr>
            <w:r>
              <w:rPr>
                <w:rFonts w:ascii="Arial" w:cs="Arial" w:eastAsia="Arial" w:hAnsi="Arial"/>
                <w:sz w:val="18"/>
                <w:szCs w:val="18"/>
                <w:b w:val="1"/>
                <w:bCs w:val="1"/>
                <w:color w:val="auto"/>
              </w:rPr>
              <w:t>Cost</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jc w:val="center"/>
              <w:ind w:right="131"/>
              <w:spacing w:after="0" w:line="193" w:lineRule="exact"/>
              <w:rPr>
                <w:sz w:val="20"/>
                <w:szCs w:val="20"/>
                <w:color w:val="auto"/>
              </w:rPr>
            </w:pPr>
            <w:r>
              <w:rPr>
                <w:rFonts w:ascii="Arial" w:cs="Arial" w:eastAsia="Arial" w:hAnsi="Arial"/>
                <w:sz w:val="18"/>
                <w:szCs w:val="18"/>
                <w:b w:val="1"/>
                <w:bCs w:val="1"/>
                <w:color w:val="auto"/>
                <w:w w:val="87"/>
              </w:rPr>
              <w:t>Gains</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jc w:val="center"/>
              <w:ind w:right="151"/>
              <w:spacing w:after="0" w:line="193" w:lineRule="exact"/>
              <w:rPr>
                <w:sz w:val="20"/>
                <w:szCs w:val="20"/>
                <w:color w:val="auto"/>
              </w:rPr>
            </w:pPr>
            <w:r>
              <w:rPr>
                <w:rFonts w:ascii="Arial" w:cs="Arial" w:eastAsia="Arial" w:hAnsi="Arial"/>
                <w:sz w:val="18"/>
                <w:szCs w:val="18"/>
                <w:b w:val="1"/>
                <w:bCs w:val="1"/>
                <w:color w:val="auto"/>
                <w:w w:val="80"/>
              </w:rPr>
              <w:t>Losses</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jc w:val="right"/>
              <w:ind w:right="411"/>
              <w:spacing w:after="0" w:line="193" w:lineRule="exact"/>
              <w:rPr>
                <w:sz w:val="20"/>
                <w:szCs w:val="20"/>
                <w:color w:val="auto"/>
              </w:rPr>
            </w:pPr>
            <w:r>
              <w:rPr>
                <w:rFonts w:ascii="Arial" w:cs="Arial" w:eastAsia="Arial" w:hAnsi="Arial"/>
                <w:sz w:val="18"/>
                <w:szCs w:val="18"/>
                <w:b w:val="1"/>
                <w:bCs w:val="1"/>
                <w:color w:val="auto"/>
              </w:rPr>
              <w:t>Value</w:t>
            </w:r>
          </w:p>
        </w:tc>
        <w:tc>
          <w:tcPr>
            <w:tcW w:w="0" w:type="dxa"/>
            <w:vAlign w:val="bottom"/>
          </w:tcPr>
          <w:p>
            <w:pPr>
              <w:spacing w:after="0"/>
              <w:rPr>
                <w:sz w:val="1"/>
                <w:szCs w:val="1"/>
                <w:color w:val="auto"/>
              </w:rPr>
            </w:pPr>
          </w:p>
        </w:tc>
      </w:tr>
      <w:tr>
        <w:trPr>
          <w:trHeight w:val="27"/>
        </w:trPr>
        <w:tc>
          <w:tcPr>
            <w:tcW w:w="1420" w:type="dxa"/>
            <w:vAlign w:val="bottom"/>
            <w:tcBorders>
              <w:top w:val="single" w:sz="8" w:color="auto"/>
            </w:tcBorders>
          </w:tcPr>
          <w:p>
            <w:pPr>
              <w:spacing w:after="0"/>
              <w:rPr>
                <w:sz w:val="2"/>
                <w:szCs w:val="2"/>
                <w:color w:val="auto"/>
              </w:rPr>
            </w:pPr>
          </w:p>
        </w:tc>
        <w:tc>
          <w:tcPr>
            <w:tcW w:w="420" w:type="dxa"/>
            <w:vAlign w:val="bottom"/>
          </w:tcPr>
          <w:p>
            <w:pPr>
              <w:spacing w:after="0"/>
              <w:rPr>
                <w:sz w:val="2"/>
                <w:szCs w:val="2"/>
                <w:color w:val="auto"/>
              </w:rPr>
            </w:pPr>
          </w:p>
        </w:tc>
        <w:tc>
          <w:tcPr>
            <w:tcW w:w="36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14"/>
        </w:trPr>
        <w:tc>
          <w:tcPr>
            <w:tcW w:w="5480" w:type="dxa"/>
            <w:vAlign w:val="bottom"/>
            <w:gridSpan w:val="3"/>
          </w:tcPr>
          <w:p>
            <w:pPr>
              <w:ind w:left="360"/>
              <w:spacing w:after="0"/>
              <w:rPr>
                <w:sz w:val="20"/>
                <w:szCs w:val="20"/>
                <w:color w:val="auto"/>
              </w:rPr>
            </w:pPr>
            <w:r>
              <w:rPr>
                <w:rFonts w:ascii="Arial" w:cs="Arial" w:eastAsia="Arial" w:hAnsi="Arial"/>
                <w:sz w:val="18"/>
                <w:szCs w:val="18"/>
                <w:color w:val="auto"/>
              </w:rPr>
              <w:t>State and political subdivisions</w:t>
            </w:r>
          </w:p>
        </w:tc>
        <w:tc>
          <w:tcPr>
            <w:tcW w:w="140" w:type="dxa"/>
            <w:vAlign w:val="bottom"/>
            <w:gridSpan w:val="2"/>
          </w:tcPr>
          <w:p>
            <w:pPr>
              <w:jc w:val="right"/>
              <w:ind w:right="4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51,757</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4,332</w:t>
            </w: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4</w:t>
            </w:r>
          </w:p>
        </w:tc>
        <w:tc>
          <w:tcPr>
            <w:tcW w:w="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56,085</w:t>
            </w:r>
          </w:p>
        </w:tc>
        <w:tc>
          <w:tcPr>
            <w:tcW w:w="0" w:type="dxa"/>
            <w:vAlign w:val="bottom"/>
          </w:tcPr>
          <w:p>
            <w:pPr>
              <w:spacing w:after="0"/>
              <w:rPr>
                <w:sz w:val="1"/>
                <w:szCs w:val="1"/>
                <w:color w:val="auto"/>
              </w:rPr>
            </w:pPr>
          </w:p>
        </w:tc>
      </w:tr>
      <w:tr>
        <w:trPr>
          <w:trHeight w:val="235"/>
        </w:trPr>
        <w:tc>
          <w:tcPr>
            <w:tcW w:w="5480" w:type="dxa"/>
            <w:vAlign w:val="bottom"/>
            <w:gridSpan w:val="3"/>
          </w:tcPr>
          <w:p>
            <w:pPr>
              <w:ind w:left="360"/>
              <w:spacing w:after="0" w:line="228" w:lineRule="exact"/>
              <w:rPr>
                <w:sz w:val="20"/>
                <w:szCs w:val="20"/>
                <w:color w:val="auto"/>
              </w:rPr>
            </w:pPr>
            <w:r>
              <w:rPr>
                <w:rFonts w:ascii="Arial" w:cs="Arial" w:eastAsia="Arial" w:hAnsi="Arial"/>
                <w:sz w:val="18"/>
                <w:szCs w:val="18"/>
                <w:color w:val="auto"/>
              </w:rPr>
              <w:t xml:space="preserve">Mortgage-backed securities </w:t>
            </w:r>
            <w:r>
              <w:rPr>
                <w:rFonts w:ascii="Arial" w:cs="Arial" w:eastAsia="Arial" w:hAnsi="Arial"/>
                <w:sz w:val="24"/>
                <w:szCs w:val="24"/>
                <w:color w:val="auto"/>
                <w:vertAlign w:val="superscript"/>
              </w:rPr>
              <w:t>(1)</w:t>
            </w:r>
          </w:p>
        </w:tc>
        <w:tc>
          <w:tcPr>
            <w:tcW w:w="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163,190</w:t>
            </w: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7,658</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238</w:t>
            </w: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170,610</w:t>
            </w:r>
          </w:p>
        </w:tc>
        <w:tc>
          <w:tcPr>
            <w:tcW w:w="0" w:type="dxa"/>
            <w:vAlign w:val="bottom"/>
          </w:tcPr>
          <w:p>
            <w:pPr>
              <w:spacing w:after="0"/>
              <w:rPr>
                <w:sz w:val="1"/>
                <w:szCs w:val="1"/>
                <w:color w:val="auto"/>
              </w:rPr>
            </w:pPr>
          </w:p>
        </w:tc>
      </w:tr>
      <w:tr>
        <w:trPr>
          <w:trHeight w:val="427"/>
        </w:trPr>
        <w:tc>
          <w:tcPr>
            <w:tcW w:w="5480" w:type="dxa"/>
            <w:vAlign w:val="bottom"/>
            <w:gridSpan w:val="3"/>
          </w:tcPr>
          <w:p>
            <w:pPr>
              <w:ind w:left="480"/>
              <w:spacing w:after="0"/>
              <w:rPr>
                <w:sz w:val="20"/>
                <w:szCs w:val="20"/>
                <w:color w:val="auto"/>
              </w:rPr>
            </w:pPr>
            <w:r>
              <w:rPr>
                <w:rFonts w:ascii="Arial" w:cs="Arial" w:eastAsia="Arial" w:hAnsi="Arial"/>
                <w:sz w:val="18"/>
                <w:szCs w:val="18"/>
                <w:color w:val="auto"/>
              </w:rPr>
              <w:t>Total</w:t>
            </w:r>
          </w:p>
        </w:tc>
        <w:tc>
          <w:tcPr>
            <w:tcW w:w="140" w:type="dxa"/>
            <w:vAlign w:val="bottom"/>
            <w:gridSpan w:val="2"/>
          </w:tcPr>
          <w:p>
            <w:pPr>
              <w:jc w:val="right"/>
              <w:ind w:right="4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214,947</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11,990</w:t>
            </w: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242</w:t>
            </w:r>
          </w:p>
        </w:tc>
        <w:tc>
          <w:tcPr>
            <w:tcW w:w="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226,695</w:t>
            </w:r>
          </w:p>
        </w:tc>
        <w:tc>
          <w:tcPr>
            <w:tcW w:w="0" w:type="dxa"/>
            <w:vAlign w:val="bottom"/>
          </w:tcPr>
          <w:p>
            <w:pPr>
              <w:spacing w:after="0"/>
              <w:rPr>
                <w:sz w:val="1"/>
                <w:szCs w:val="1"/>
                <w:color w:val="auto"/>
              </w:rPr>
            </w:pPr>
          </w:p>
        </w:tc>
      </w:tr>
      <w:tr>
        <w:trPr>
          <w:trHeight w:val="22"/>
        </w:trPr>
        <w:tc>
          <w:tcPr>
            <w:tcW w:w="1840" w:type="dxa"/>
            <w:vAlign w:val="bottom"/>
            <w:gridSpan w:val="2"/>
            <w:vMerge w:val="restart"/>
          </w:tcPr>
          <w:p>
            <w:pPr>
              <w:spacing w:after="0"/>
              <w:rPr>
                <w:sz w:val="20"/>
                <w:szCs w:val="20"/>
                <w:color w:val="auto"/>
              </w:rPr>
            </w:pPr>
            <w:r>
              <w:rPr>
                <w:rFonts w:ascii="Arial" w:cs="Arial" w:eastAsia="Arial" w:hAnsi="Arial"/>
                <w:sz w:val="18"/>
                <w:szCs w:val="18"/>
                <w:color w:val="auto"/>
                <w:w w:val="89"/>
              </w:rPr>
              <w:t>As of December 31, 2012</w:t>
            </w:r>
          </w:p>
        </w:tc>
        <w:tc>
          <w:tcPr>
            <w:tcW w:w="3640" w:type="dxa"/>
            <w:vAlign w:val="bottom"/>
            <w:vMerge w:val="restart"/>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87"/>
        </w:trPr>
        <w:tc>
          <w:tcPr>
            <w:tcW w:w="1840" w:type="dxa"/>
            <w:vAlign w:val="bottom"/>
            <w:tcBorders>
              <w:bottom w:val="single" w:sz="8" w:color="auto"/>
            </w:tcBorders>
            <w:gridSpan w:val="2"/>
            <w:vMerge w:val="continue"/>
          </w:tcPr>
          <w:p>
            <w:pPr>
              <w:spacing w:after="0"/>
              <w:rPr>
                <w:sz w:val="24"/>
                <w:szCs w:val="24"/>
                <w:color w:val="auto"/>
              </w:rPr>
            </w:pPr>
          </w:p>
        </w:tc>
        <w:tc>
          <w:tcPr>
            <w:tcW w:w="364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5"/>
        </w:trPr>
        <w:tc>
          <w:tcPr>
            <w:tcW w:w="5480" w:type="dxa"/>
            <w:vAlign w:val="bottom"/>
            <w:gridSpan w:val="3"/>
          </w:tcPr>
          <w:p>
            <w:pPr>
              <w:ind w:left="360"/>
              <w:spacing w:after="0"/>
              <w:rPr>
                <w:sz w:val="20"/>
                <w:szCs w:val="20"/>
                <w:color w:val="auto"/>
              </w:rPr>
            </w:pPr>
            <w:r>
              <w:rPr>
                <w:rFonts w:ascii="Arial" w:cs="Arial" w:eastAsia="Arial" w:hAnsi="Arial"/>
                <w:sz w:val="18"/>
                <w:szCs w:val="18"/>
                <w:color w:val="auto"/>
              </w:rPr>
              <w:t>State and political subdivisions</w:t>
            </w:r>
          </w:p>
        </w:tc>
        <w:tc>
          <w:tcPr>
            <w:tcW w:w="140" w:type="dxa"/>
            <w:vAlign w:val="bottom"/>
            <w:gridSpan w:val="2"/>
          </w:tcPr>
          <w:p>
            <w:pPr>
              <w:jc w:val="right"/>
              <w:ind w:right="4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51,780</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5,486</w:t>
            </w: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57,266</w:t>
            </w:r>
          </w:p>
        </w:tc>
        <w:tc>
          <w:tcPr>
            <w:tcW w:w="0" w:type="dxa"/>
            <w:vAlign w:val="bottom"/>
          </w:tcPr>
          <w:p>
            <w:pPr>
              <w:spacing w:after="0"/>
              <w:rPr>
                <w:sz w:val="1"/>
                <w:szCs w:val="1"/>
                <w:color w:val="auto"/>
              </w:rPr>
            </w:pPr>
          </w:p>
        </w:tc>
      </w:tr>
      <w:tr>
        <w:trPr>
          <w:trHeight w:val="235"/>
        </w:trPr>
        <w:tc>
          <w:tcPr>
            <w:tcW w:w="5480" w:type="dxa"/>
            <w:vAlign w:val="bottom"/>
            <w:gridSpan w:val="3"/>
          </w:tcPr>
          <w:p>
            <w:pPr>
              <w:ind w:left="360"/>
              <w:spacing w:after="0" w:line="228" w:lineRule="exact"/>
              <w:rPr>
                <w:sz w:val="20"/>
                <w:szCs w:val="20"/>
                <w:color w:val="auto"/>
              </w:rPr>
            </w:pPr>
            <w:r>
              <w:rPr>
                <w:rFonts w:ascii="Arial" w:cs="Arial" w:eastAsia="Arial" w:hAnsi="Arial"/>
                <w:sz w:val="18"/>
                <w:szCs w:val="18"/>
                <w:color w:val="auto"/>
              </w:rPr>
              <w:t xml:space="preserve">Mortgage-backed securities </w:t>
            </w:r>
            <w:r>
              <w:rPr>
                <w:rFonts w:ascii="Arial" w:cs="Arial" w:eastAsia="Arial" w:hAnsi="Arial"/>
                <w:sz w:val="24"/>
                <w:szCs w:val="24"/>
                <w:color w:val="auto"/>
                <w:vertAlign w:val="superscript"/>
              </w:rPr>
              <w:t>(1)</w:t>
            </w:r>
          </w:p>
        </w:tc>
        <w:tc>
          <w:tcPr>
            <w:tcW w:w="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192,404</w:t>
            </w: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11,461</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203,865</w:t>
            </w:r>
          </w:p>
        </w:tc>
        <w:tc>
          <w:tcPr>
            <w:tcW w:w="0" w:type="dxa"/>
            <w:vAlign w:val="bottom"/>
          </w:tcPr>
          <w:p>
            <w:pPr>
              <w:spacing w:after="0"/>
              <w:rPr>
                <w:sz w:val="1"/>
                <w:szCs w:val="1"/>
                <w:color w:val="auto"/>
              </w:rPr>
            </w:pPr>
          </w:p>
        </w:tc>
      </w:tr>
      <w:tr>
        <w:trPr>
          <w:trHeight w:val="427"/>
        </w:trPr>
        <w:tc>
          <w:tcPr>
            <w:tcW w:w="5480" w:type="dxa"/>
            <w:vAlign w:val="bottom"/>
            <w:gridSpan w:val="3"/>
          </w:tcPr>
          <w:p>
            <w:pPr>
              <w:ind w:left="480"/>
              <w:spacing w:after="0"/>
              <w:rPr>
                <w:sz w:val="20"/>
                <w:szCs w:val="20"/>
                <w:color w:val="auto"/>
              </w:rPr>
            </w:pPr>
            <w:r>
              <w:rPr>
                <w:rFonts w:ascii="Arial" w:cs="Arial" w:eastAsia="Arial" w:hAnsi="Arial"/>
                <w:sz w:val="18"/>
                <w:szCs w:val="18"/>
                <w:color w:val="auto"/>
              </w:rPr>
              <w:t>Total</w:t>
            </w:r>
          </w:p>
        </w:tc>
        <w:tc>
          <w:tcPr>
            <w:tcW w:w="140" w:type="dxa"/>
            <w:vAlign w:val="bottom"/>
            <w:gridSpan w:val="2"/>
          </w:tcPr>
          <w:p>
            <w:pPr>
              <w:jc w:val="right"/>
              <w:ind w:right="4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244,184</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16,947</w:t>
            </w: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261,131</w:t>
            </w:r>
          </w:p>
        </w:tc>
        <w:tc>
          <w:tcPr>
            <w:tcW w:w="0" w:type="dxa"/>
            <w:vAlign w:val="bottom"/>
          </w:tcPr>
          <w:p>
            <w:pPr>
              <w:spacing w:after="0"/>
              <w:rPr>
                <w:sz w:val="1"/>
                <w:szCs w:val="1"/>
                <w:color w:val="auto"/>
              </w:rPr>
            </w:pPr>
          </w:p>
        </w:tc>
      </w:tr>
      <w:tr>
        <w:trPr>
          <w:trHeight w:val="22"/>
        </w:trPr>
        <w:tc>
          <w:tcPr>
            <w:tcW w:w="5480" w:type="dxa"/>
            <w:vAlign w:val="bottom"/>
            <w:gridSpan w:val="3"/>
            <w:vMerge w:val="restart"/>
          </w:tcPr>
          <w:p>
            <w:pPr>
              <w:spacing w:after="0"/>
              <w:rPr>
                <w:sz w:val="20"/>
                <w:szCs w:val="20"/>
                <w:color w:val="auto"/>
              </w:rPr>
            </w:pPr>
            <w:r>
              <w:rPr>
                <w:rFonts w:ascii="Arial" w:cs="Arial" w:eastAsia="Arial" w:hAnsi="Arial"/>
                <w:sz w:val="18"/>
                <w:szCs w:val="18"/>
                <w:color w:val="auto"/>
              </w:rPr>
              <w:t>As of June 30, 2012</w:t>
            </w: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82"/>
        </w:trPr>
        <w:tc>
          <w:tcPr>
            <w:tcW w:w="5480" w:type="dxa"/>
            <w:vAlign w:val="bottom"/>
            <w:gridSpan w:val="3"/>
            <w:vMerge w:val="continue"/>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420" w:type="dxa"/>
            <w:vAlign w:val="bottom"/>
            <w:shd w:val="clear" w:color="auto" w:fill="000000"/>
          </w:tcPr>
          <w:p>
            <w:pPr>
              <w:spacing w:after="0" w:line="20" w:lineRule="exact"/>
              <w:rPr>
                <w:sz w:val="1"/>
                <w:szCs w:val="1"/>
                <w:color w:val="auto"/>
              </w:rPr>
            </w:pPr>
          </w:p>
        </w:tc>
        <w:tc>
          <w:tcPr>
            <w:tcW w:w="406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5"/>
        </w:trPr>
        <w:tc>
          <w:tcPr>
            <w:tcW w:w="5480" w:type="dxa"/>
            <w:vAlign w:val="bottom"/>
            <w:gridSpan w:val="3"/>
          </w:tcPr>
          <w:p>
            <w:pPr>
              <w:ind w:left="360"/>
              <w:spacing w:after="0"/>
              <w:rPr>
                <w:sz w:val="20"/>
                <w:szCs w:val="20"/>
                <w:color w:val="auto"/>
              </w:rPr>
            </w:pPr>
            <w:r>
              <w:rPr>
                <w:rFonts w:ascii="Arial" w:cs="Arial" w:eastAsia="Arial" w:hAnsi="Arial"/>
                <w:sz w:val="18"/>
                <w:szCs w:val="18"/>
                <w:color w:val="auto"/>
              </w:rPr>
              <w:t>State and political subdivisions</w:t>
            </w:r>
          </w:p>
        </w:tc>
        <w:tc>
          <w:tcPr>
            <w:tcW w:w="140" w:type="dxa"/>
            <w:vAlign w:val="bottom"/>
            <w:gridSpan w:val="2"/>
          </w:tcPr>
          <w:p>
            <w:pPr>
              <w:jc w:val="right"/>
              <w:ind w:right="4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51,801</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5,586</w:t>
            </w: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57,387</w:t>
            </w:r>
          </w:p>
        </w:tc>
        <w:tc>
          <w:tcPr>
            <w:tcW w:w="0" w:type="dxa"/>
            <w:vAlign w:val="bottom"/>
          </w:tcPr>
          <w:p>
            <w:pPr>
              <w:spacing w:after="0"/>
              <w:rPr>
                <w:sz w:val="1"/>
                <w:szCs w:val="1"/>
                <w:color w:val="auto"/>
              </w:rPr>
            </w:pPr>
          </w:p>
        </w:tc>
      </w:tr>
      <w:tr>
        <w:trPr>
          <w:trHeight w:val="235"/>
        </w:trPr>
        <w:tc>
          <w:tcPr>
            <w:tcW w:w="5480" w:type="dxa"/>
            <w:vAlign w:val="bottom"/>
            <w:gridSpan w:val="3"/>
          </w:tcPr>
          <w:p>
            <w:pPr>
              <w:ind w:left="360"/>
              <w:spacing w:after="0" w:line="228" w:lineRule="exact"/>
              <w:rPr>
                <w:sz w:val="20"/>
                <w:szCs w:val="20"/>
                <w:color w:val="auto"/>
              </w:rPr>
            </w:pPr>
            <w:r>
              <w:rPr>
                <w:rFonts w:ascii="Arial" w:cs="Arial" w:eastAsia="Arial" w:hAnsi="Arial"/>
                <w:sz w:val="18"/>
                <w:szCs w:val="18"/>
                <w:color w:val="auto"/>
              </w:rPr>
              <w:t xml:space="preserve">Mortgage-backed securities </w:t>
            </w:r>
            <w:r>
              <w:rPr>
                <w:rFonts w:ascii="Arial" w:cs="Arial" w:eastAsia="Arial" w:hAnsi="Arial"/>
                <w:sz w:val="24"/>
                <w:szCs w:val="24"/>
                <w:color w:val="auto"/>
                <w:vertAlign w:val="superscript"/>
              </w:rPr>
              <w:t>(1)</w:t>
            </w:r>
          </w:p>
        </w:tc>
        <w:tc>
          <w:tcPr>
            <w:tcW w:w="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230,949</w:t>
            </w: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11,635</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242,584</w:t>
            </w:r>
          </w:p>
        </w:tc>
        <w:tc>
          <w:tcPr>
            <w:tcW w:w="0" w:type="dxa"/>
            <w:vAlign w:val="bottom"/>
          </w:tcPr>
          <w:p>
            <w:pPr>
              <w:spacing w:after="0"/>
              <w:rPr>
                <w:sz w:val="1"/>
                <w:szCs w:val="1"/>
                <w:color w:val="auto"/>
              </w:rPr>
            </w:pPr>
          </w:p>
        </w:tc>
      </w:tr>
      <w:tr>
        <w:trPr>
          <w:trHeight w:val="428"/>
        </w:trPr>
        <w:tc>
          <w:tcPr>
            <w:tcW w:w="5480" w:type="dxa"/>
            <w:vAlign w:val="bottom"/>
            <w:gridSpan w:val="3"/>
          </w:tcPr>
          <w:p>
            <w:pPr>
              <w:ind w:left="480"/>
              <w:spacing w:after="0"/>
              <w:rPr>
                <w:sz w:val="20"/>
                <w:szCs w:val="20"/>
                <w:color w:val="auto"/>
              </w:rPr>
            </w:pPr>
            <w:r>
              <w:rPr>
                <w:rFonts w:ascii="Arial" w:cs="Arial" w:eastAsia="Arial" w:hAnsi="Arial"/>
                <w:sz w:val="18"/>
                <w:szCs w:val="18"/>
                <w:color w:val="auto"/>
              </w:rPr>
              <w:t>Total</w:t>
            </w:r>
          </w:p>
        </w:tc>
        <w:tc>
          <w:tcPr>
            <w:tcW w:w="140" w:type="dxa"/>
            <w:vAlign w:val="bottom"/>
            <w:gridSpan w:val="2"/>
          </w:tcPr>
          <w:p>
            <w:pPr>
              <w:jc w:val="right"/>
              <w:ind w:right="4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282,750</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17,221</w:t>
            </w: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299,971</w:t>
            </w:r>
          </w:p>
        </w:tc>
        <w:tc>
          <w:tcPr>
            <w:tcW w:w="0" w:type="dxa"/>
            <w:vAlign w:val="bottom"/>
          </w:tcPr>
          <w:p>
            <w:pPr>
              <w:spacing w:after="0"/>
              <w:rPr>
                <w:sz w:val="1"/>
                <w:szCs w:val="1"/>
                <w:color w:val="auto"/>
              </w:rPr>
            </w:pPr>
          </w:p>
        </w:tc>
      </w:tr>
      <w:tr>
        <w:trPr>
          <w:trHeight w:val="21"/>
        </w:trPr>
        <w:tc>
          <w:tcPr>
            <w:tcW w:w="1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0" w:lineRule="exact"/>
        <w:rPr>
          <w:sz w:val="20"/>
          <w:szCs w:val="20"/>
          <w:color w:val="auto"/>
        </w:rPr>
      </w:pPr>
    </w:p>
    <w:p>
      <w:pPr>
        <w:ind w:left="660" w:hanging="365"/>
        <w:spacing w:after="0"/>
        <w:tabs>
          <w:tab w:leader="none" w:pos="660" w:val="left"/>
        </w:tabs>
        <w:numPr>
          <w:ilvl w:val="0"/>
          <w:numId w:val="3"/>
        </w:numPr>
        <w:rPr>
          <w:rFonts w:ascii="Arial" w:cs="Arial" w:eastAsia="Arial" w:hAnsi="Arial"/>
          <w:sz w:val="25"/>
          <w:szCs w:val="25"/>
          <w:color w:val="auto"/>
          <w:vertAlign w:val="superscript"/>
        </w:rPr>
      </w:pPr>
      <w:r>
        <w:rPr>
          <w:rFonts w:ascii="Arial" w:cs="Arial" w:eastAsia="Arial" w:hAnsi="Arial"/>
          <w:sz w:val="18"/>
          <w:szCs w:val="18"/>
          <w:color w:val="auto"/>
        </w:rPr>
        <w:t>All are residential type mortgage-backed securities</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13970</wp:posOffset>
            </wp:positionV>
            <wp:extent cx="724789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7890" cy="8255"/>
                    </a:xfrm>
                    <a:prstGeom prst="rect">
                      <a:avLst/>
                    </a:prstGeom>
                    <a:noFill/>
                  </pic:spPr>
                </pic:pic>
              </a:graphicData>
            </a:graphic>
          </wp:anchor>
        </w:drawing>
      </w:r>
    </w:p>
    <w:p>
      <w:pPr>
        <w:sectPr>
          <w:pgSz w:w="11900" w:h="16838" w:orient="portrait"/>
          <w:cols w:equalWidth="0" w:num="1">
            <w:col w:w="11420"/>
          </w:cols>
          <w:pgMar w:left="240" w:top="912" w:right="2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6"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 xml:space="preserve">The cost basis, unrealized gains and losses, and fair value of securities available-for-sale at June 30, 2013, December 31, 2012 and June 30, 2012 are presented below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72" w:lineRule="exact"/>
        <w:rPr>
          <w:sz w:val="20"/>
          <w:szCs w:val="20"/>
          <w:color w:val="auto"/>
        </w:rPr>
      </w:pPr>
    </w:p>
    <w:tbl>
      <w:tblPr>
        <w:tblLayout w:type="fixed"/>
        <w:tblInd w:w="580" w:type="dxa"/>
        <w:tblCellMar>
          <w:top w:w="0" w:type="dxa"/>
          <w:left w:w="0" w:type="dxa"/>
          <w:bottom w:w="0" w:type="dxa"/>
          <w:right w:w="0" w:type="dxa"/>
        </w:tblCellMar>
      </w:tblPr>
      <w:tr>
        <w:trPr>
          <w:trHeight w:val="214"/>
        </w:trPr>
        <w:tc>
          <w:tcPr>
            <w:tcW w:w="1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center"/>
              <w:ind w:right="151"/>
              <w:spacing w:after="0"/>
              <w:rPr>
                <w:sz w:val="20"/>
                <w:szCs w:val="20"/>
                <w:color w:val="auto"/>
              </w:rPr>
            </w:pPr>
            <w:r>
              <w:rPr>
                <w:rFonts w:ascii="Arial" w:cs="Arial" w:eastAsia="Arial" w:hAnsi="Arial"/>
                <w:sz w:val="18"/>
                <w:szCs w:val="18"/>
                <w:b w:val="1"/>
                <w:bCs w:val="1"/>
                <w:color w:val="auto"/>
                <w:w w:val="84"/>
              </w:rPr>
              <w:t>Gross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center"/>
              <w:ind w:right="131"/>
              <w:spacing w:after="0"/>
              <w:rPr>
                <w:sz w:val="20"/>
                <w:szCs w:val="20"/>
                <w:color w:val="auto"/>
              </w:rPr>
            </w:pPr>
            <w:r>
              <w:rPr>
                <w:rFonts w:ascii="Arial" w:cs="Arial" w:eastAsia="Arial" w:hAnsi="Arial"/>
                <w:sz w:val="18"/>
                <w:szCs w:val="18"/>
                <w:b w:val="1"/>
                <w:bCs w:val="1"/>
                <w:color w:val="auto"/>
                <w:w w:val="84"/>
              </w:rPr>
              <w:t>Gross</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ind w:right="171"/>
              <w:spacing w:after="0"/>
              <w:rPr>
                <w:sz w:val="20"/>
                <w:szCs w:val="20"/>
                <w:color w:val="auto"/>
              </w:rPr>
            </w:pPr>
            <w:r>
              <w:rPr>
                <w:rFonts w:ascii="Arial" w:cs="Arial" w:eastAsia="Arial" w:hAnsi="Arial"/>
                <w:sz w:val="18"/>
                <w:szCs w:val="18"/>
                <w:b w:val="1"/>
                <w:bCs w:val="1"/>
                <w:color w:val="auto"/>
                <w:w w:val="95"/>
              </w:rPr>
              <w:t>Amortized</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center"/>
              <w:ind w:right="151"/>
              <w:spacing w:after="0"/>
              <w:rPr>
                <w:sz w:val="20"/>
                <w:szCs w:val="20"/>
                <w:color w:val="auto"/>
              </w:rPr>
            </w:pPr>
            <w:r>
              <w:rPr>
                <w:rFonts w:ascii="Arial" w:cs="Arial" w:eastAsia="Arial" w:hAnsi="Arial"/>
                <w:sz w:val="18"/>
                <w:szCs w:val="18"/>
                <w:b w:val="1"/>
                <w:bCs w:val="1"/>
                <w:color w:val="auto"/>
                <w:w w:val="92"/>
              </w:rPr>
              <w:t>Unrealized</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center"/>
              <w:ind w:right="131"/>
              <w:spacing w:after="0"/>
              <w:rPr>
                <w:sz w:val="20"/>
                <w:szCs w:val="20"/>
                <w:color w:val="auto"/>
              </w:rPr>
            </w:pPr>
            <w:r>
              <w:rPr>
                <w:rFonts w:ascii="Arial" w:cs="Arial" w:eastAsia="Arial" w:hAnsi="Arial"/>
                <w:sz w:val="18"/>
                <w:szCs w:val="18"/>
                <w:b w:val="1"/>
                <w:bCs w:val="1"/>
                <w:color w:val="auto"/>
                <w:w w:val="92"/>
              </w:rPr>
              <w:t>Unrealized</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ind w:right="411"/>
              <w:spacing w:after="0"/>
              <w:rPr>
                <w:sz w:val="20"/>
                <w:szCs w:val="20"/>
                <w:color w:val="auto"/>
              </w:rPr>
            </w:pPr>
            <w:r>
              <w:rPr>
                <w:rFonts w:ascii="Arial" w:cs="Arial" w:eastAsia="Arial" w:hAnsi="Arial"/>
                <w:sz w:val="18"/>
                <w:szCs w:val="18"/>
                <w:b w:val="1"/>
                <w:bCs w:val="1"/>
                <w:color w:val="auto"/>
              </w:rPr>
              <w:t>Fair</w:t>
            </w:r>
          </w:p>
        </w:tc>
        <w:tc>
          <w:tcPr>
            <w:tcW w:w="0" w:type="dxa"/>
            <w:vAlign w:val="bottom"/>
          </w:tcPr>
          <w:p>
            <w:pPr>
              <w:spacing w:after="0"/>
              <w:rPr>
                <w:sz w:val="1"/>
                <w:szCs w:val="1"/>
                <w:color w:val="auto"/>
              </w:rPr>
            </w:pPr>
          </w:p>
        </w:tc>
      </w:tr>
      <w:tr>
        <w:trPr>
          <w:trHeight w:val="193"/>
        </w:trPr>
        <w:tc>
          <w:tcPr>
            <w:tcW w:w="4960" w:type="dxa"/>
            <w:vAlign w:val="bottom"/>
            <w:gridSpan w:val="3"/>
          </w:tcPr>
          <w:p>
            <w:pPr>
              <w:spacing w:after="0" w:line="193" w:lineRule="exact"/>
              <w:rPr>
                <w:sz w:val="20"/>
                <w:szCs w:val="20"/>
                <w:color w:val="auto"/>
              </w:rPr>
            </w:pPr>
            <w:r>
              <w:rPr>
                <w:rFonts w:ascii="Arial" w:cs="Arial" w:eastAsia="Arial" w:hAnsi="Arial"/>
                <w:sz w:val="18"/>
                <w:szCs w:val="18"/>
                <w:color w:val="auto"/>
              </w:rPr>
              <w:t>As of June 30, 2013</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jc w:val="right"/>
              <w:ind w:right="411"/>
              <w:spacing w:after="0" w:line="193" w:lineRule="exact"/>
              <w:rPr>
                <w:sz w:val="20"/>
                <w:szCs w:val="20"/>
                <w:color w:val="auto"/>
              </w:rPr>
            </w:pPr>
            <w:r>
              <w:rPr>
                <w:rFonts w:ascii="Arial" w:cs="Arial" w:eastAsia="Arial" w:hAnsi="Arial"/>
                <w:sz w:val="18"/>
                <w:szCs w:val="18"/>
                <w:b w:val="1"/>
                <w:bCs w:val="1"/>
                <w:color w:val="auto"/>
              </w:rPr>
              <w:t>Cost</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jc w:val="center"/>
              <w:ind w:right="151"/>
              <w:spacing w:after="0" w:line="193" w:lineRule="exact"/>
              <w:rPr>
                <w:sz w:val="20"/>
                <w:szCs w:val="20"/>
                <w:color w:val="auto"/>
              </w:rPr>
            </w:pPr>
            <w:r>
              <w:rPr>
                <w:rFonts w:ascii="Arial" w:cs="Arial" w:eastAsia="Arial" w:hAnsi="Arial"/>
                <w:sz w:val="18"/>
                <w:szCs w:val="18"/>
                <w:b w:val="1"/>
                <w:bCs w:val="1"/>
                <w:color w:val="auto"/>
                <w:w w:val="87"/>
              </w:rPr>
              <w:t>Gains</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jc w:val="center"/>
              <w:ind w:right="151"/>
              <w:spacing w:after="0" w:line="193" w:lineRule="exact"/>
              <w:rPr>
                <w:sz w:val="20"/>
                <w:szCs w:val="20"/>
                <w:color w:val="auto"/>
              </w:rPr>
            </w:pPr>
            <w:r>
              <w:rPr>
                <w:rFonts w:ascii="Arial" w:cs="Arial" w:eastAsia="Arial" w:hAnsi="Arial"/>
                <w:sz w:val="18"/>
                <w:szCs w:val="18"/>
                <w:b w:val="1"/>
                <w:bCs w:val="1"/>
                <w:color w:val="auto"/>
                <w:w w:val="80"/>
              </w:rPr>
              <w:t>Losses</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jc w:val="right"/>
              <w:ind w:right="371"/>
              <w:spacing w:after="0" w:line="193" w:lineRule="exact"/>
              <w:rPr>
                <w:sz w:val="20"/>
                <w:szCs w:val="20"/>
                <w:color w:val="auto"/>
              </w:rPr>
            </w:pPr>
            <w:r>
              <w:rPr>
                <w:rFonts w:ascii="Arial" w:cs="Arial" w:eastAsia="Arial" w:hAnsi="Arial"/>
                <w:sz w:val="18"/>
                <w:szCs w:val="18"/>
                <w:b w:val="1"/>
                <w:bCs w:val="1"/>
                <w:color w:val="auto"/>
              </w:rPr>
              <w:t>Value</w:t>
            </w:r>
          </w:p>
        </w:tc>
        <w:tc>
          <w:tcPr>
            <w:tcW w:w="0" w:type="dxa"/>
            <w:vAlign w:val="bottom"/>
          </w:tcPr>
          <w:p>
            <w:pPr>
              <w:spacing w:after="0"/>
              <w:rPr>
                <w:sz w:val="1"/>
                <w:szCs w:val="1"/>
                <w:color w:val="auto"/>
              </w:rPr>
            </w:pPr>
          </w:p>
        </w:tc>
      </w:tr>
      <w:tr>
        <w:trPr>
          <w:trHeight w:val="27"/>
        </w:trPr>
        <w:tc>
          <w:tcPr>
            <w:tcW w:w="144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3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14"/>
        </w:trPr>
        <w:tc>
          <w:tcPr>
            <w:tcW w:w="4960" w:type="dxa"/>
            <w:vAlign w:val="bottom"/>
            <w:gridSpan w:val="3"/>
          </w:tcPr>
          <w:p>
            <w:pPr>
              <w:ind w:left="320"/>
              <w:spacing w:after="0"/>
              <w:rPr>
                <w:sz w:val="20"/>
                <w:szCs w:val="20"/>
                <w:color w:val="auto"/>
              </w:rPr>
            </w:pPr>
            <w:r>
              <w:rPr>
                <w:rFonts w:ascii="Arial" w:cs="Arial" w:eastAsia="Arial" w:hAnsi="Arial"/>
                <w:sz w:val="18"/>
                <w:szCs w:val="18"/>
                <w:color w:val="auto"/>
              </w:rPr>
              <w:t>State and political subdivisions</w:t>
            </w:r>
          </w:p>
        </w:tc>
        <w:tc>
          <w:tcPr>
            <w:tcW w:w="12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22,369</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1,112</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41</w:t>
            </w:r>
          </w:p>
        </w:tc>
        <w:tc>
          <w:tcPr>
            <w:tcW w:w="32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23,440</w:t>
            </w:r>
          </w:p>
        </w:tc>
        <w:tc>
          <w:tcPr>
            <w:tcW w:w="0" w:type="dxa"/>
            <w:vAlign w:val="bottom"/>
          </w:tcPr>
          <w:p>
            <w:pPr>
              <w:spacing w:after="0"/>
              <w:rPr>
                <w:sz w:val="1"/>
                <w:szCs w:val="1"/>
                <w:color w:val="auto"/>
              </w:rPr>
            </w:pPr>
          </w:p>
        </w:tc>
      </w:tr>
      <w:tr>
        <w:trPr>
          <w:trHeight w:val="214"/>
        </w:trPr>
        <w:tc>
          <w:tcPr>
            <w:tcW w:w="4960" w:type="dxa"/>
            <w:vAlign w:val="bottom"/>
            <w:gridSpan w:val="3"/>
          </w:tcPr>
          <w:p>
            <w:pPr>
              <w:ind w:left="320"/>
              <w:spacing w:after="0" w:line="214" w:lineRule="exact"/>
              <w:rPr>
                <w:sz w:val="20"/>
                <w:szCs w:val="20"/>
                <w:color w:val="auto"/>
              </w:rPr>
            </w:pPr>
            <w:r>
              <w:rPr>
                <w:rFonts w:ascii="Arial" w:cs="Arial" w:eastAsia="Arial" w:hAnsi="Arial"/>
                <w:sz w:val="18"/>
                <w:szCs w:val="18"/>
                <w:color w:val="auto"/>
              </w:rPr>
              <w:t xml:space="preserve">Mortgage-backed securities </w:t>
            </w:r>
            <w:r>
              <w:rPr>
                <w:rFonts w:ascii="Arial" w:cs="Arial" w:eastAsia="Arial" w:hAnsi="Arial"/>
                <w:sz w:val="24"/>
                <w:szCs w:val="24"/>
                <w:color w:val="auto"/>
                <w:vertAlign w:val="superscript"/>
              </w:rPr>
              <w:t>(1)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1,410,189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15,935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13,538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1,412,586</w:t>
            </w:r>
          </w:p>
        </w:tc>
        <w:tc>
          <w:tcPr>
            <w:tcW w:w="0" w:type="dxa"/>
            <w:vAlign w:val="bottom"/>
          </w:tcPr>
          <w:p>
            <w:pPr>
              <w:spacing w:after="0"/>
              <w:rPr>
                <w:sz w:val="1"/>
                <w:szCs w:val="1"/>
                <w:color w:val="auto"/>
              </w:rPr>
            </w:pPr>
          </w:p>
        </w:tc>
      </w:tr>
      <w:tr>
        <w:trPr>
          <w:trHeight w:val="214"/>
        </w:trPr>
        <w:tc>
          <w:tcPr>
            <w:tcW w:w="4960" w:type="dxa"/>
            <w:vAlign w:val="bottom"/>
            <w:gridSpan w:val="3"/>
          </w:tcPr>
          <w:p>
            <w:pPr>
              <w:ind w:left="320"/>
              <w:spacing w:after="0"/>
              <w:rPr>
                <w:sz w:val="20"/>
                <w:szCs w:val="20"/>
                <w:color w:val="auto"/>
              </w:rPr>
            </w:pPr>
            <w:r>
              <w:rPr>
                <w:rFonts w:ascii="Arial" w:cs="Arial" w:eastAsia="Arial" w:hAnsi="Arial"/>
                <w:sz w:val="18"/>
                <w:szCs w:val="18"/>
                <w:color w:val="auto"/>
              </w:rPr>
              <w:t>Corporate bonds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260,464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1,585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8,181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253,868</w:t>
            </w:r>
          </w:p>
        </w:tc>
        <w:tc>
          <w:tcPr>
            <w:tcW w:w="0" w:type="dxa"/>
            <w:vAlign w:val="bottom"/>
          </w:tcPr>
          <w:p>
            <w:pPr>
              <w:spacing w:after="0"/>
              <w:rPr>
                <w:sz w:val="1"/>
                <w:szCs w:val="1"/>
                <w:color w:val="auto"/>
              </w:rPr>
            </w:pPr>
          </w:p>
        </w:tc>
      </w:tr>
      <w:tr>
        <w:trPr>
          <w:trHeight w:val="214"/>
        </w:trPr>
        <w:tc>
          <w:tcPr>
            <w:tcW w:w="4960" w:type="dxa"/>
            <w:vAlign w:val="bottom"/>
            <w:gridSpan w:val="3"/>
          </w:tcPr>
          <w:p>
            <w:pPr>
              <w:ind w:left="320"/>
              <w:spacing w:after="0"/>
              <w:rPr>
                <w:sz w:val="20"/>
                <w:szCs w:val="20"/>
                <w:color w:val="auto"/>
              </w:rPr>
            </w:pPr>
            <w:r>
              <w:rPr>
                <w:rFonts w:ascii="Arial" w:cs="Arial" w:eastAsia="Arial" w:hAnsi="Arial"/>
                <w:sz w:val="18"/>
                <w:szCs w:val="18"/>
                <w:color w:val="auto"/>
              </w:rPr>
              <w:t>Asset-backed securities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242,690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2,645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491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244,844</w:t>
            </w:r>
          </w:p>
        </w:tc>
        <w:tc>
          <w:tcPr>
            <w:tcW w:w="0" w:type="dxa"/>
            <w:vAlign w:val="bottom"/>
          </w:tcPr>
          <w:p>
            <w:pPr>
              <w:spacing w:after="0"/>
              <w:rPr>
                <w:sz w:val="1"/>
                <w:szCs w:val="1"/>
                <w:color w:val="auto"/>
              </w:rPr>
            </w:pPr>
          </w:p>
        </w:tc>
      </w:tr>
      <w:tr>
        <w:trPr>
          <w:trHeight w:val="235"/>
        </w:trPr>
        <w:tc>
          <w:tcPr>
            <w:tcW w:w="4960" w:type="dxa"/>
            <w:vAlign w:val="bottom"/>
            <w:gridSpan w:val="3"/>
          </w:tcPr>
          <w:p>
            <w:pPr>
              <w:ind w:left="320"/>
              <w:spacing w:after="0"/>
              <w:rPr>
                <w:sz w:val="20"/>
                <w:szCs w:val="20"/>
                <w:color w:val="auto"/>
              </w:rPr>
            </w:pPr>
            <w:r>
              <w:rPr>
                <w:rFonts w:ascii="Arial" w:cs="Arial" w:eastAsia="Arial" w:hAnsi="Arial"/>
                <w:sz w:val="18"/>
                <w:szCs w:val="18"/>
                <w:color w:val="auto"/>
              </w:rPr>
              <w:t>Other</w:t>
            </w:r>
          </w:p>
        </w:tc>
        <w:tc>
          <w:tcPr>
            <w:tcW w:w="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2,526</w:t>
            </w: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2,526</w:t>
            </w:r>
          </w:p>
        </w:tc>
        <w:tc>
          <w:tcPr>
            <w:tcW w:w="0" w:type="dxa"/>
            <w:vAlign w:val="bottom"/>
          </w:tcPr>
          <w:p>
            <w:pPr>
              <w:spacing w:after="0"/>
              <w:rPr>
                <w:sz w:val="1"/>
                <w:szCs w:val="1"/>
                <w:color w:val="auto"/>
              </w:rPr>
            </w:pPr>
          </w:p>
        </w:tc>
      </w:tr>
      <w:tr>
        <w:trPr>
          <w:trHeight w:val="214"/>
        </w:trPr>
        <w:tc>
          <w:tcPr>
            <w:tcW w:w="4960" w:type="dxa"/>
            <w:vAlign w:val="bottom"/>
            <w:gridSpan w:val="3"/>
          </w:tcPr>
          <w:p>
            <w:pPr>
              <w:ind w:left="480"/>
              <w:spacing w:after="0"/>
              <w:rPr>
                <w:sz w:val="20"/>
                <w:szCs w:val="20"/>
                <w:color w:val="auto"/>
              </w:rPr>
            </w:pPr>
            <w:r>
              <w:rPr>
                <w:rFonts w:ascii="Arial" w:cs="Arial" w:eastAsia="Arial" w:hAnsi="Arial"/>
                <w:sz w:val="18"/>
                <w:szCs w:val="18"/>
                <w:color w:val="auto"/>
              </w:rPr>
              <w:t>Total</w:t>
            </w:r>
          </w:p>
        </w:tc>
        <w:tc>
          <w:tcPr>
            <w:tcW w:w="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1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1,938,238</w:t>
            </w:r>
          </w:p>
        </w:tc>
        <w:tc>
          <w:tcPr>
            <w:tcW w:w="1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21,277</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22,251</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1,937,264</w:t>
            </w:r>
          </w:p>
        </w:tc>
        <w:tc>
          <w:tcPr>
            <w:tcW w:w="0" w:type="dxa"/>
            <w:vAlign w:val="bottom"/>
          </w:tcPr>
          <w:p>
            <w:pPr>
              <w:spacing w:after="0"/>
              <w:rPr>
                <w:sz w:val="1"/>
                <w:szCs w:val="1"/>
                <w:color w:val="auto"/>
              </w:rPr>
            </w:pPr>
          </w:p>
        </w:tc>
      </w:tr>
      <w:tr>
        <w:trPr>
          <w:trHeight w:val="20"/>
        </w:trPr>
        <w:tc>
          <w:tcPr>
            <w:tcW w:w="4960" w:type="dxa"/>
            <w:vAlign w:val="bottom"/>
            <w:gridSpan w:val="3"/>
            <w:vMerge w:val="restart"/>
          </w:tcPr>
          <w:p>
            <w:pPr>
              <w:spacing w:after="0"/>
              <w:rPr>
                <w:sz w:val="20"/>
                <w:szCs w:val="20"/>
                <w:color w:val="auto"/>
              </w:rPr>
            </w:pPr>
            <w:r>
              <w:rPr>
                <w:rFonts w:ascii="Arial" w:cs="Arial" w:eastAsia="Arial" w:hAnsi="Arial"/>
                <w:sz w:val="18"/>
                <w:szCs w:val="18"/>
                <w:color w:val="auto"/>
              </w:rPr>
              <w:t>As of December 31, 2012</w:t>
            </w: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82"/>
        </w:trPr>
        <w:tc>
          <w:tcPr>
            <w:tcW w:w="4960" w:type="dxa"/>
            <w:vAlign w:val="bottom"/>
            <w:gridSpan w:val="3"/>
            <w:vMerge w:val="continue"/>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840" w:type="dxa"/>
            <w:vAlign w:val="bottom"/>
            <w:gridSpan w:val="2"/>
            <w:shd w:val="clear" w:color="auto" w:fill="000000"/>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5"/>
        </w:trPr>
        <w:tc>
          <w:tcPr>
            <w:tcW w:w="4960" w:type="dxa"/>
            <w:vAlign w:val="bottom"/>
            <w:gridSpan w:val="3"/>
          </w:tcPr>
          <w:p>
            <w:pPr>
              <w:ind w:left="320"/>
              <w:spacing w:after="0"/>
              <w:rPr>
                <w:sz w:val="20"/>
                <w:szCs w:val="20"/>
                <w:color w:val="auto"/>
              </w:rPr>
            </w:pPr>
            <w:r>
              <w:rPr>
                <w:rFonts w:ascii="Arial" w:cs="Arial" w:eastAsia="Arial" w:hAnsi="Arial"/>
                <w:sz w:val="18"/>
                <w:szCs w:val="18"/>
                <w:color w:val="auto"/>
              </w:rPr>
              <w:t>State and political subdivisions</w:t>
            </w:r>
          </w:p>
        </w:tc>
        <w:tc>
          <w:tcPr>
            <w:tcW w:w="12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27,717</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1,354</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19</w:t>
            </w:r>
          </w:p>
        </w:tc>
        <w:tc>
          <w:tcPr>
            <w:tcW w:w="32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29,052</w:t>
            </w:r>
          </w:p>
        </w:tc>
        <w:tc>
          <w:tcPr>
            <w:tcW w:w="0" w:type="dxa"/>
            <w:vAlign w:val="bottom"/>
          </w:tcPr>
          <w:p>
            <w:pPr>
              <w:spacing w:after="0"/>
              <w:rPr>
                <w:sz w:val="1"/>
                <w:szCs w:val="1"/>
                <w:color w:val="auto"/>
              </w:rPr>
            </w:pPr>
          </w:p>
        </w:tc>
      </w:tr>
      <w:tr>
        <w:trPr>
          <w:trHeight w:val="214"/>
        </w:trPr>
        <w:tc>
          <w:tcPr>
            <w:tcW w:w="4960" w:type="dxa"/>
            <w:vAlign w:val="bottom"/>
            <w:gridSpan w:val="3"/>
          </w:tcPr>
          <w:p>
            <w:pPr>
              <w:ind w:left="320"/>
              <w:spacing w:after="0" w:line="214" w:lineRule="exact"/>
              <w:rPr>
                <w:sz w:val="20"/>
                <w:szCs w:val="20"/>
                <w:color w:val="auto"/>
              </w:rPr>
            </w:pPr>
            <w:r>
              <w:rPr>
                <w:rFonts w:ascii="Arial" w:cs="Arial" w:eastAsia="Arial" w:hAnsi="Arial"/>
                <w:sz w:val="18"/>
                <w:szCs w:val="18"/>
                <w:color w:val="auto"/>
              </w:rPr>
              <w:t xml:space="preserve">Mortgage-backed securities </w:t>
            </w:r>
            <w:r>
              <w:rPr>
                <w:rFonts w:ascii="Arial" w:cs="Arial" w:eastAsia="Arial" w:hAnsi="Arial"/>
                <w:sz w:val="24"/>
                <w:szCs w:val="24"/>
                <w:color w:val="auto"/>
                <w:vertAlign w:val="superscript"/>
              </w:rPr>
              <w:t>(1)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1,408,042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22,552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2,092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1,428,502</w:t>
            </w:r>
          </w:p>
        </w:tc>
        <w:tc>
          <w:tcPr>
            <w:tcW w:w="0" w:type="dxa"/>
            <w:vAlign w:val="bottom"/>
          </w:tcPr>
          <w:p>
            <w:pPr>
              <w:spacing w:after="0"/>
              <w:rPr>
                <w:sz w:val="1"/>
                <w:szCs w:val="1"/>
                <w:color w:val="auto"/>
              </w:rPr>
            </w:pPr>
          </w:p>
        </w:tc>
      </w:tr>
      <w:tr>
        <w:trPr>
          <w:trHeight w:val="214"/>
        </w:trPr>
        <w:tc>
          <w:tcPr>
            <w:tcW w:w="4960" w:type="dxa"/>
            <w:vAlign w:val="bottom"/>
            <w:gridSpan w:val="3"/>
          </w:tcPr>
          <w:p>
            <w:pPr>
              <w:ind w:left="320"/>
              <w:spacing w:after="0"/>
              <w:rPr>
                <w:sz w:val="20"/>
                <w:szCs w:val="20"/>
                <w:color w:val="auto"/>
              </w:rPr>
            </w:pPr>
            <w:r>
              <w:rPr>
                <w:rFonts w:ascii="Arial" w:cs="Arial" w:eastAsia="Arial" w:hAnsi="Arial"/>
                <w:sz w:val="18"/>
                <w:szCs w:val="18"/>
                <w:color w:val="auto"/>
              </w:rPr>
              <w:t>Corporate bonds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169,783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1,052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7,173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163,662</w:t>
            </w:r>
          </w:p>
        </w:tc>
        <w:tc>
          <w:tcPr>
            <w:tcW w:w="0" w:type="dxa"/>
            <w:vAlign w:val="bottom"/>
          </w:tcPr>
          <w:p>
            <w:pPr>
              <w:spacing w:after="0"/>
              <w:rPr>
                <w:sz w:val="1"/>
                <w:szCs w:val="1"/>
                <w:color w:val="auto"/>
              </w:rPr>
            </w:pPr>
          </w:p>
        </w:tc>
      </w:tr>
      <w:tr>
        <w:trPr>
          <w:trHeight w:val="214"/>
        </w:trPr>
        <w:tc>
          <w:tcPr>
            <w:tcW w:w="4960" w:type="dxa"/>
            <w:vAlign w:val="bottom"/>
            <w:gridSpan w:val="3"/>
          </w:tcPr>
          <w:p>
            <w:pPr>
              <w:ind w:left="320"/>
              <w:spacing w:after="0"/>
              <w:rPr>
                <w:sz w:val="20"/>
                <w:szCs w:val="20"/>
                <w:color w:val="auto"/>
              </w:rPr>
            </w:pPr>
            <w:r>
              <w:rPr>
                <w:rFonts w:ascii="Arial" w:cs="Arial" w:eastAsia="Arial" w:hAnsi="Arial"/>
                <w:sz w:val="18"/>
                <w:szCs w:val="18"/>
                <w:color w:val="auto"/>
              </w:rPr>
              <w:t>Asset-backed securities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209,411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1,894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749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210,556</w:t>
            </w:r>
          </w:p>
        </w:tc>
        <w:tc>
          <w:tcPr>
            <w:tcW w:w="0" w:type="dxa"/>
            <w:vAlign w:val="bottom"/>
          </w:tcPr>
          <w:p>
            <w:pPr>
              <w:spacing w:after="0"/>
              <w:rPr>
                <w:sz w:val="1"/>
                <w:szCs w:val="1"/>
                <w:color w:val="auto"/>
              </w:rPr>
            </w:pPr>
          </w:p>
        </w:tc>
      </w:tr>
      <w:tr>
        <w:trPr>
          <w:trHeight w:val="235"/>
        </w:trPr>
        <w:tc>
          <w:tcPr>
            <w:tcW w:w="4960" w:type="dxa"/>
            <w:vAlign w:val="bottom"/>
            <w:gridSpan w:val="3"/>
          </w:tcPr>
          <w:p>
            <w:pPr>
              <w:ind w:left="320"/>
              <w:spacing w:after="0"/>
              <w:rPr>
                <w:sz w:val="20"/>
                <w:szCs w:val="20"/>
                <w:color w:val="auto"/>
              </w:rPr>
            </w:pPr>
            <w:r>
              <w:rPr>
                <w:rFonts w:ascii="Arial" w:cs="Arial" w:eastAsia="Arial" w:hAnsi="Arial"/>
                <w:sz w:val="18"/>
                <w:szCs w:val="18"/>
                <w:color w:val="auto"/>
              </w:rPr>
              <w:t>Other</w:t>
            </w:r>
          </w:p>
        </w:tc>
        <w:tc>
          <w:tcPr>
            <w:tcW w:w="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2,821</w:t>
            </w: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2,821</w:t>
            </w:r>
          </w:p>
        </w:tc>
        <w:tc>
          <w:tcPr>
            <w:tcW w:w="0" w:type="dxa"/>
            <w:vAlign w:val="bottom"/>
          </w:tcPr>
          <w:p>
            <w:pPr>
              <w:spacing w:after="0"/>
              <w:rPr>
                <w:sz w:val="1"/>
                <w:szCs w:val="1"/>
                <w:color w:val="auto"/>
              </w:rPr>
            </w:pPr>
          </w:p>
        </w:tc>
      </w:tr>
      <w:tr>
        <w:trPr>
          <w:trHeight w:val="214"/>
        </w:trPr>
        <w:tc>
          <w:tcPr>
            <w:tcW w:w="4960" w:type="dxa"/>
            <w:vAlign w:val="bottom"/>
            <w:gridSpan w:val="3"/>
          </w:tcPr>
          <w:p>
            <w:pPr>
              <w:ind w:left="480"/>
              <w:spacing w:after="0"/>
              <w:rPr>
                <w:sz w:val="20"/>
                <w:szCs w:val="20"/>
                <w:color w:val="auto"/>
              </w:rPr>
            </w:pPr>
            <w:r>
              <w:rPr>
                <w:rFonts w:ascii="Arial" w:cs="Arial" w:eastAsia="Arial" w:hAnsi="Arial"/>
                <w:sz w:val="18"/>
                <w:szCs w:val="18"/>
                <w:color w:val="auto"/>
              </w:rPr>
              <w:t>Total</w:t>
            </w:r>
          </w:p>
        </w:tc>
        <w:tc>
          <w:tcPr>
            <w:tcW w:w="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1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1,817,774</w:t>
            </w:r>
          </w:p>
        </w:tc>
        <w:tc>
          <w:tcPr>
            <w:tcW w:w="1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26,852</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10,033</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1,834,593</w:t>
            </w:r>
          </w:p>
        </w:tc>
        <w:tc>
          <w:tcPr>
            <w:tcW w:w="0" w:type="dxa"/>
            <w:vAlign w:val="bottom"/>
          </w:tcPr>
          <w:p>
            <w:pPr>
              <w:spacing w:after="0"/>
              <w:rPr>
                <w:sz w:val="1"/>
                <w:szCs w:val="1"/>
                <w:color w:val="auto"/>
              </w:rPr>
            </w:pPr>
          </w:p>
        </w:tc>
      </w:tr>
      <w:tr>
        <w:trPr>
          <w:trHeight w:val="20"/>
        </w:trPr>
        <w:tc>
          <w:tcPr>
            <w:tcW w:w="1440" w:type="dxa"/>
            <w:vAlign w:val="bottom"/>
            <w:vMerge w:val="restart"/>
          </w:tcPr>
          <w:p>
            <w:pPr>
              <w:spacing w:after="0"/>
              <w:rPr>
                <w:sz w:val="20"/>
                <w:szCs w:val="20"/>
                <w:color w:val="auto"/>
              </w:rPr>
            </w:pPr>
            <w:r>
              <w:rPr>
                <w:rFonts w:ascii="Arial" w:cs="Arial" w:eastAsia="Arial" w:hAnsi="Arial"/>
                <w:sz w:val="18"/>
                <w:szCs w:val="18"/>
                <w:color w:val="auto"/>
                <w:w w:val="88"/>
              </w:rPr>
              <w:t>As of June 30, 2012</w:t>
            </w:r>
          </w:p>
        </w:tc>
        <w:tc>
          <w:tcPr>
            <w:tcW w:w="3520" w:type="dxa"/>
            <w:vAlign w:val="bottom"/>
            <w:gridSpan w:val="2"/>
            <w:vMerge w:val="restart"/>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87"/>
        </w:trPr>
        <w:tc>
          <w:tcPr>
            <w:tcW w:w="1440" w:type="dxa"/>
            <w:vAlign w:val="bottom"/>
            <w:tcBorders>
              <w:bottom w:val="single" w:sz="8" w:color="auto"/>
            </w:tcBorders>
            <w:vMerge w:val="continue"/>
          </w:tcPr>
          <w:p>
            <w:pPr>
              <w:spacing w:after="0"/>
              <w:rPr>
                <w:sz w:val="24"/>
                <w:szCs w:val="24"/>
                <w:color w:val="auto"/>
              </w:rPr>
            </w:pPr>
          </w:p>
        </w:tc>
        <w:tc>
          <w:tcPr>
            <w:tcW w:w="352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5"/>
        </w:trPr>
        <w:tc>
          <w:tcPr>
            <w:tcW w:w="4960" w:type="dxa"/>
            <w:vAlign w:val="bottom"/>
            <w:gridSpan w:val="3"/>
          </w:tcPr>
          <w:p>
            <w:pPr>
              <w:ind w:left="320"/>
              <w:spacing w:after="0"/>
              <w:rPr>
                <w:sz w:val="20"/>
                <w:szCs w:val="20"/>
                <w:color w:val="auto"/>
              </w:rPr>
            </w:pPr>
            <w:r>
              <w:rPr>
                <w:rFonts w:ascii="Arial" w:cs="Arial" w:eastAsia="Arial" w:hAnsi="Arial"/>
                <w:sz w:val="18"/>
                <w:szCs w:val="18"/>
                <w:color w:val="auto"/>
              </w:rPr>
              <w:t>U.S. Government agencies</w:t>
            </w:r>
          </w:p>
        </w:tc>
        <w:tc>
          <w:tcPr>
            <w:tcW w:w="12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43,618</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256</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43,874</w:t>
            </w:r>
          </w:p>
        </w:tc>
        <w:tc>
          <w:tcPr>
            <w:tcW w:w="0" w:type="dxa"/>
            <w:vAlign w:val="bottom"/>
          </w:tcPr>
          <w:p>
            <w:pPr>
              <w:spacing w:after="0"/>
              <w:rPr>
                <w:sz w:val="1"/>
                <w:szCs w:val="1"/>
                <w:color w:val="auto"/>
              </w:rPr>
            </w:pPr>
          </w:p>
        </w:tc>
      </w:tr>
      <w:tr>
        <w:trPr>
          <w:trHeight w:val="214"/>
        </w:trPr>
        <w:tc>
          <w:tcPr>
            <w:tcW w:w="4960" w:type="dxa"/>
            <w:vAlign w:val="bottom"/>
            <w:gridSpan w:val="3"/>
          </w:tcPr>
          <w:p>
            <w:pPr>
              <w:ind w:left="320"/>
              <w:spacing w:after="0"/>
              <w:rPr>
                <w:sz w:val="20"/>
                <w:szCs w:val="20"/>
                <w:color w:val="auto"/>
              </w:rPr>
            </w:pPr>
            <w:r>
              <w:rPr>
                <w:rFonts w:ascii="Arial" w:cs="Arial" w:eastAsia="Arial" w:hAnsi="Arial"/>
                <w:sz w:val="18"/>
                <w:szCs w:val="18"/>
                <w:color w:val="auto"/>
              </w:rPr>
              <w:t>State and political subdivisions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25,704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1,462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27,159</w:t>
            </w:r>
          </w:p>
        </w:tc>
        <w:tc>
          <w:tcPr>
            <w:tcW w:w="0" w:type="dxa"/>
            <w:vAlign w:val="bottom"/>
          </w:tcPr>
          <w:p>
            <w:pPr>
              <w:spacing w:after="0"/>
              <w:rPr>
                <w:sz w:val="1"/>
                <w:szCs w:val="1"/>
                <w:color w:val="auto"/>
              </w:rPr>
            </w:pPr>
          </w:p>
        </w:tc>
      </w:tr>
      <w:tr>
        <w:trPr>
          <w:trHeight w:val="214"/>
        </w:trPr>
        <w:tc>
          <w:tcPr>
            <w:tcW w:w="4960" w:type="dxa"/>
            <w:vAlign w:val="bottom"/>
            <w:gridSpan w:val="3"/>
          </w:tcPr>
          <w:p>
            <w:pPr>
              <w:ind w:left="320"/>
              <w:spacing w:after="0"/>
              <w:rPr>
                <w:sz w:val="20"/>
                <w:szCs w:val="20"/>
                <w:color w:val="auto"/>
              </w:rPr>
            </w:pPr>
            <w:r>
              <w:rPr>
                <w:rFonts w:ascii="Arial" w:cs="Arial" w:eastAsia="Arial" w:hAnsi="Arial"/>
                <w:sz w:val="18"/>
                <w:szCs w:val="18"/>
                <w:color w:val="auto"/>
              </w:rPr>
              <w:t xml:space="preserve">Mortgage-backed securities </w:t>
            </w:r>
            <w:r>
              <w:rPr>
                <w:rFonts w:ascii="Arial" w:cs="Arial" w:eastAsia="Arial" w:hAnsi="Arial"/>
                <w:sz w:val="18"/>
                <w:szCs w:val="18"/>
                <w:color w:val="auto"/>
                <w:vertAlign w:val="superscript"/>
              </w:rPr>
              <w:t>(1)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1,408,047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25,723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339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1,433,431</w:t>
            </w:r>
          </w:p>
        </w:tc>
        <w:tc>
          <w:tcPr>
            <w:tcW w:w="0" w:type="dxa"/>
            <w:vAlign w:val="bottom"/>
          </w:tcPr>
          <w:p>
            <w:pPr>
              <w:spacing w:after="0"/>
              <w:rPr>
                <w:sz w:val="1"/>
                <w:szCs w:val="1"/>
                <w:color w:val="auto"/>
              </w:rPr>
            </w:pPr>
          </w:p>
        </w:tc>
      </w:tr>
      <w:tr>
        <w:trPr>
          <w:trHeight w:val="214"/>
        </w:trPr>
        <w:tc>
          <w:tcPr>
            <w:tcW w:w="4960" w:type="dxa"/>
            <w:vAlign w:val="bottom"/>
            <w:gridSpan w:val="3"/>
          </w:tcPr>
          <w:p>
            <w:pPr>
              <w:ind w:left="320"/>
              <w:spacing w:after="0"/>
              <w:rPr>
                <w:sz w:val="20"/>
                <w:szCs w:val="20"/>
                <w:color w:val="auto"/>
              </w:rPr>
            </w:pPr>
            <w:r>
              <w:rPr>
                <w:rFonts w:ascii="Arial" w:cs="Arial" w:eastAsia="Arial" w:hAnsi="Arial"/>
                <w:sz w:val="18"/>
                <w:szCs w:val="18"/>
                <w:color w:val="auto"/>
              </w:rPr>
              <w:t>Corporate bonds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119,198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9,160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110,038</w:t>
            </w:r>
          </w:p>
        </w:tc>
        <w:tc>
          <w:tcPr>
            <w:tcW w:w="0" w:type="dxa"/>
            <w:vAlign w:val="bottom"/>
          </w:tcPr>
          <w:p>
            <w:pPr>
              <w:spacing w:after="0"/>
              <w:rPr>
                <w:sz w:val="1"/>
                <w:szCs w:val="1"/>
                <w:color w:val="auto"/>
              </w:rPr>
            </w:pPr>
          </w:p>
        </w:tc>
      </w:tr>
      <w:tr>
        <w:trPr>
          <w:trHeight w:val="214"/>
        </w:trPr>
        <w:tc>
          <w:tcPr>
            <w:tcW w:w="4960" w:type="dxa"/>
            <w:vAlign w:val="bottom"/>
            <w:gridSpan w:val="3"/>
          </w:tcPr>
          <w:p>
            <w:pPr>
              <w:ind w:left="320"/>
              <w:spacing w:after="0"/>
              <w:rPr>
                <w:sz w:val="20"/>
                <w:szCs w:val="20"/>
                <w:color w:val="auto"/>
              </w:rPr>
            </w:pPr>
            <w:r>
              <w:rPr>
                <w:rFonts w:ascii="Arial" w:cs="Arial" w:eastAsia="Arial" w:hAnsi="Arial"/>
                <w:sz w:val="18"/>
                <w:szCs w:val="18"/>
                <w:color w:val="auto"/>
              </w:rPr>
              <w:t>Asset-backed securities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85,090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592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84,498</w:t>
            </w:r>
          </w:p>
        </w:tc>
        <w:tc>
          <w:tcPr>
            <w:tcW w:w="0" w:type="dxa"/>
            <w:vAlign w:val="bottom"/>
          </w:tcPr>
          <w:p>
            <w:pPr>
              <w:spacing w:after="0"/>
              <w:rPr>
                <w:sz w:val="1"/>
                <w:szCs w:val="1"/>
                <w:color w:val="auto"/>
              </w:rPr>
            </w:pPr>
          </w:p>
        </w:tc>
      </w:tr>
      <w:tr>
        <w:trPr>
          <w:trHeight w:val="235"/>
        </w:trPr>
        <w:tc>
          <w:tcPr>
            <w:tcW w:w="4960" w:type="dxa"/>
            <w:vAlign w:val="bottom"/>
            <w:gridSpan w:val="3"/>
          </w:tcPr>
          <w:p>
            <w:pPr>
              <w:ind w:left="320"/>
              <w:spacing w:after="0"/>
              <w:rPr>
                <w:sz w:val="20"/>
                <w:szCs w:val="20"/>
                <w:color w:val="auto"/>
              </w:rPr>
            </w:pPr>
            <w:r>
              <w:rPr>
                <w:rFonts w:ascii="Arial" w:cs="Arial" w:eastAsia="Arial" w:hAnsi="Arial"/>
                <w:sz w:val="18"/>
                <w:szCs w:val="18"/>
                <w:color w:val="auto"/>
              </w:rPr>
              <w:t>Other</w:t>
            </w:r>
          </w:p>
        </w:tc>
        <w:tc>
          <w:tcPr>
            <w:tcW w:w="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2,583</w:t>
            </w: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2,583</w:t>
            </w:r>
          </w:p>
        </w:tc>
        <w:tc>
          <w:tcPr>
            <w:tcW w:w="0" w:type="dxa"/>
            <w:vAlign w:val="bottom"/>
          </w:tcPr>
          <w:p>
            <w:pPr>
              <w:spacing w:after="0"/>
              <w:rPr>
                <w:sz w:val="1"/>
                <w:szCs w:val="1"/>
                <w:color w:val="auto"/>
              </w:rPr>
            </w:pPr>
          </w:p>
        </w:tc>
      </w:tr>
      <w:tr>
        <w:trPr>
          <w:trHeight w:val="214"/>
        </w:trPr>
        <w:tc>
          <w:tcPr>
            <w:tcW w:w="4960" w:type="dxa"/>
            <w:vAlign w:val="bottom"/>
            <w:gridSpan w:val="3"/>
          </w:tcPr>
          <w:p>
            <w:pPr>
              <w:ind w:left="480"/>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1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1,684,240</w:t>
            </w:r>
          </w:p>
        </w:tc>
        <w:tc>
          <w:tcPr>
            <w:tcW w:w="1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27,441</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10,098</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1,701,583</w:t>
            </w:r>
          </w:p>
        </w:tc>
        <w:tc>
          <w:tcPr>
            <w:tcW w:w="0" w:type="dxa"/>
            <w:vAlign w:val="bottom"/>
          </w:tcPr>
          <w:p>
            <w:pPr>
              <w:spacing w:after="0"/>
              <w:rPr>
                <w:sz w:val="1"/>
                <w:szCs w:val="1"/>
                <w:color w:val="auto"/>
              </w:rPr>
            </w:pPr>
          </w:p>
        </w:tc>
      </w:tr>
      <w:tr>
        <w:trPr>
          <w:trHeight w:val="20"/>
        </w:trPr>
        <w:tc>
          <w:tcPr>
            <w:tcW w:w="14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0" w:lineRule="exact"/>
        <w:rPr>
          <w:sz w:val="20"/>
          <w:szCs w:val="20"/>
          <w:color w:val="auto"/>
        </w:rPr>
      </w:pPr>
    </w:p>
    <w:p>
      <w:pPr>
        <w:ind w:left="900" w:hanging="272"/>
        <w:spacing w:after="0"/>
        <w:tabs>
          <w:tab w:leader="none" w:pos="900" w:val="left"/>
        </w:tabs>
        <w:numPr>
          <w:ilvl w:val="0"/>
          <w:numId w:val="4"/>
        </w:numPr>
        <w:rPr>
          <w:rFonts w:ascii="Arial" w:cs="Arial" w:eastAsia="Arial" w:hAnsi="Arial"/>
          <w:sz w:val="25"/>
          <w:szCs w:val="25"/>
          <w:color w:val="auto"/>
          <w:vertAlign w:val="superscript"/>
        </w:rPr>
      </w:pPr>
      <w:r>
        <w:rPr>
          <w:rFonts w:ascii="Arial" w:cs="Arial" w:eastAsia="Arial" w:hAnsi="Arial"/>
          <w:sz w:val="18"/>
          <w:szCs w:val="18"/>
          <w:color w:val="auto"/>
        </w:rPr>
        <w:t>All are residential type mortgage-backed securities</w:t>
      </w:r>
    </w:p>
    <w:p>
      <w:pPr>
        <w:spacing w:after="0" w:line="228"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color w:val="auto"/>
        </w:rPr>
        <w:t>The following table summarizes held-to-maturity securities in an unrealized loss position as of June 30, 2013 (</w:t>
      </w:r>
      <w:r>
        <w:rPr>
          <w:rFonts w:ascii="Arial" w:cs="Arial" w:eastAsia="Arial" w:hAnsi="Arial"/>
          <w:sz w:val="18"/>
          <w:szCs w:val="18"/>
          <w:i w:val="1"/>
          <w:iCs w:val="1"/>
          <w:color w:val="auto"/>
        </w:rPr>
        <w:t>thousands)</w:t>
      </w:r>
      <w:r>
        <w:rPr>
          <w:rFonts w:ascii="Arial" w:cs="Arial" w:eastAsia="Arial" w:hAnsi="Arial"/>
          <w:sz w:val="18"/>
          <w:szCs w:val="18"/>
          <w:color w:val="auto"/>
        </w:rPr>
        <w:t>. As of December 31, 2012 and June 30, 2012, there were no held-to-maturity securities in an unrealized loss position.</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144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540" w:type="dxa"/>
            <w:vAlign w:val="bottom"/>
            <w:tcBorders>
              <w:bottom w:val="single" w:sz="8" w:color="auto"/>
            </w:tcBorders>
            <w:gridSpan w:val="4"/>
          </w:tcPr>
          <w:p>
            <w:pPr>
              <w:jc w:val="right"/>
              <w:ind w:right="511"/>
              <w:spacing w:after="0"/>
              <w:rPr>
                <w:sz w:val="20"/>
                <w:szCs w:val="20"/>
                <w:color w:val="auto"/>
              </w:rPr>
            </w:pPr>
            <w:r>
              <w:rPr>
                <w:rFonts w:ascii="Arial" w:cs="Arial" w:eastAsia="Arial" w:hAnsi="Arial"/>
                <w:sz w:val="18"/>
                <w:szCs w:val="18"/>
                <w:b w:val="1"/>
                <w:bCs w:val="1"/>
                <w:color w:val="auto"/>
              </w:rPr>
              <w:t>Less than 12 Months</w:t>
            </w: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300" w:type="dxa"/>
            <w:vAlign w:val="bottom"/>
            <w:tcBorders>
              <w:bottom w:val="single" w:sz="8" w:color="auto"/>
            </w:tcBorders>
            <w:gridSpan w:val="3"/>
          </w:tcPr>
          <w:p>
            <w:pPr>
              <w:jc w:val="right"/>
              <w:ind w:right="331"/>
              <w:spacing w:after="0"/>
              <w:rPr>
                <w:sz w:val="20"/>
                <w:szCs w:val="20"/>
                <w:color w:val="auto"/>
              </w:rPr>
            </w:pPr>
            <w:r>
              <w:rPr>
                <w:rFonts w:ascii="Arial" w:cs="Arial" w:eastAsia="Arial" w:hAnsi="Arial"/>
                <w:sz w:val="18"/>
                <w:szCs w:val="18"/>
                <w:b w:val="1"/>
                <w:bCs w:val="1"/>
                <w:color w:val="auto"/>
              </w:rPr>
              <w:t>12 Months or More</w:t>
            </w:r>
          </w:p>
        </w:tc>
        <w:tc>
          <w:tcPr>
            <w:tcW w:w="2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Total</w:t>
            </w:r>
          </w:p>
        </w:tc>
        <w:tc>
          <w:tcPr>
            <w:tcW w:w="1120" w:type="dxa"/>
            <w:vAlign w:val="bottom"/>
            <w:tcBorders>
              <w:bottom w:val="single" w:sz="8" w:color="auto"/>
            </w:tcBorders>
          </w:tcPr>
          <w:p>
            <w:pPr>
              <w:spacing w:after="0"/>
              <w:rPr>
                <w:sz w:val="20"/>
                <w:szCs w:val="20"/>
                <w:color w:val="auto"/>
              </w:rPr>
            </w:pPr>
          </w:p>
        </w:tc>
      </w:tr>
      <w:tr>
        <w:trPr>
          <w:trHeight w:val="196"/>
        </w:trPr>
        <w:tc>
          <w:tcPr>
            <w:tcW w:w="144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jc w:val="right"/>
              <w:ind w:right="191"/>
              <w:spacing w:after="0" w:line="196" w:lineRule="exact"/>
              <w:rPr>
                <w:sz w:val="20"/>
                <w:szCs w:val="20"/>
                <w:color w:val="auto"/>
              </w:rPr>
            </w:pPr>
            <w:r>
              <w:rPr>
                <w:rFonts w:ascii="Arial" w:cs="Arial" w:eastAsia="Arial" w:hAnsi="Arial"/>
                <w:sz w:val="18"/>
                <w:szCs w:val="18"/>
                <w:b w:val="1"/>
                <w:bCs w:val="1"/>
                <w:color w:val="auto"/>
                <w:w w:val="94"/>
              </w:rPr>
              <w:t>Unrealized</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Unrealized</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right"/>
              <w:ind w:right="171"/>
              <w:spacing w:after="0" w:line="196" w:lineRule="exact"/>
              <w:rPr>
                <w:sz w:val="20"/>
                <w:szCs w:val="20"/>
                <w:color w:val="auto"/>
              </w:rPr>
            </w:pPr>
            <w:r>
              <w:rPr>
                <w:rFonts w:ascii="Arial" w:cs="Arial" w:eastAsia="Arial" w:hAnsi="Arial"/>
                <w:sz w:val="18"/>
                <w:szCs w:val="18"/>
                <w:b w:val="1"/>
                <w:bCs w:val="1"/>
                <w:color w:val="auto"/>
                <w:w w:val="92"/>
              </w:rPr>
              <w:t>Unrealized</w:t>
            </w:r>
          </w:p>
        </w:tc>
      </w:tr>
      <w:tr>
        <w:trPr>
          <w:trHeight w:val="193"/>
        </w:trPr>
        <w:tc>
          <w:tcPr>
            <w:tcW w:w="3320" w:type="dxa"/>
            <w:vAlign w:val="bottom"/>
            <w:gridSpan w:val="2"/>
          </w:tcPr>
          <w:p>
            <w:pPr>
              <w:spacing w:after="0" w:line="193" w:lineRule="exact"/>
              <w:rPr>
                <w:sz w:val="20"/>
                <w:szCs w:val="20"/>
                <w:color w:val="auto"/>
              </w:rPr>
            </w:pPr>
            <w:r>
              <w:rPr>
                <w:rFonts w:ascii="Arial" w:cs="Arial" w:eastAsia="Arial" w:hAnsi="Arial"/>
                <w:sz w:val="18"/>
                <w:szCs w:val="18"/>
                <w:color w:val="auto"/>
              </w:rPr>
              <w:t>As of June 30, 2013</w:t>
            </w:r>
          </w:p>
        </w:tc>
        <w:tc>
          <w:tcPr>
            <w:tcW w:w="140" w:type="dxa"/>
            <w:vAlign w:val="bottom"/>
          </w:tcPr>
          <w:p>
            <w:pPr>
              <w:spacing w:after="0"/>
              <w:rPr>
                <w:sz w:val="16"/>
                <w:szCs w:val="16"/>
                <w:color w:val="auto"/>
              </w:rPr>
            </w:pPr>
          </w:p>
        </w:tc>
        <w:tc>
          <w:tcPr>
            <w:tcW w:w="1140" w:type="dxa"/>
            <w:vAlign w:val="bottom"/>
          </w:tcPr>
          <w:p>
            <w:pPr>
              <w:jc w:val="right"/>
              <w:ind w:right="211"/>
              <w:spacing w:after="0" w:line="193" w:lineRule="exact"/>
              <w:rPr>
                <w:sz w:val="20"/>
                <w:szCs w:val="20"/>
                <w:color w:val="auto"/>
              </w:rPr>
            </w:pPr>
            <w:r>
              <w:rPr>
                <w:rFonts w:ascii="Arial" w:cs="Arial" w:eastAsia="Arial" w:hAnsi="Arial"/>
                <w:sz w:val="18"/>
                <w:szCs w:val="18"/>
                <w:b w:val="1"/>
                <w:bCs w:val="1"/>
                <w:color w:val="auto"/>
                <w:w w:val="95"/>
              </w:rPr>
              <w:t>Fair Value</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jc w:val="right"/>
              <w:ind w:right="431"/>
              <w:spacing w:after="0" w:line="193" w:lineRule="exact"/>
              <w:rPr>
                <w:sz w:val="20"/>
                <w:szCs w:val="20"/>
                <w:color w:val="auto"/>
              </w:rPr>
            </w:pPr>
            <w:r>
              <w:rPr>
                <w:rFonts w:ascii="Arial" w:cs="Arial" w:eastAsia="Arial" w:hAnsi="Arial"/>
                <w:sz w:val="18"/>
                <w:szCs w:val="18"/>
                <w:b w:val="1"/>
                <w:bCs w:val="1"/>
                <w:color w:val="auto"/>
              </w:rPr>
              <w:t>Loss</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jc w:val="right"/>
              <w:ind w:right="191"/>
              <w:spacing w:after="0" w:line="193" w:lineRule="exact"/>
              <w:rPr>
                <w:sz w:val="20"/>
                <w:szCs w:val="20"/>
                <w:color w:val="auto"/>
              </w:rPr>
            </w:pPr>
            <w:r>
              <w:rPr>
                <w:rFonts w:ascii="Arial" w:cs="Arial" w:eastAsia="Arial" w:hAnsi="Arial"/>
                <w:sz w:val="18"/>
                <w:szCs w:val="18"/>
                <w:b w:val="1"/>
                <w:bCs w:val="1"/>
                <w:color w:val="auto"/>
                <w:w w:val="97"/>
              </w:rPr>
              <w:t>Fair Value</w:t>
            </w:r>
          </w:p>
        </w:tc>
        <w:tc>
          <w:tcPr>
            <w:tcW w:w="120" w:type="dxa"/>
            <w:vAlign w:val="bottom"/>
          </w:tcPr>
          <w:p>
            <w:pPr>
              <w:spacing w:after="0"/>
              <w:rPr>
                <w:sz w:val="16"/>
                <w:szCs w:val="16"/>
                <w:color w:val="auto"/>
              </w:rPr>
            </w:pPr>
          </w:p>
        </w:tc>
        <w:tc>
          <w:tcPr>
            <w:tcW w:w="1040" w:type="dxa"/>
            <w:vAlign w:val="bottom"/>
          </w:tcPr>
          <w:p>
            <w:pPr>
              <w:jc w:val="right"/>
              <w:ind w:right="211"/>
              <w:spacing w:after="0" w:line="193" w:lineRule="exact"/>
              <w:rPr>
                <w:sz w:val="20"/>
                <w:szCs w:val="20"/>
                <w:color w:val="auto"/>
              </w:rPr>
            </w:pPr>
            <w:r>
              <w:rPr>
                <w:rFonts w:ascii="Arial" w:cs="Arial" w:eastAsia="Arial" w:hAnsi="Arial"/>
                <w:sz w:val="18"/>
                <w:szCs w:val="18"/>
                <w:b w:val="1"/>
                <w:bCs w:val="1"/>
                <w:color w:val="auto"/>
              </w:rPr>
              <w:t>Loss</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right"/>
              <w:ind w:right="171"/>
              <w:spacing w:after="0" w:line="193" w:lineRule="exact"/>
              <w:rPr>
                <w:sz w:val="20"/>
                <w:szCs w:val="20"/>
                <w:color w:val="auto"/>
              </w:rPr>
            </w:pPr>
            <w:r>
              <w:rPr>
                <w:rFonts w:ascii="Arial" w:cs="Arial" w:eastAsia="Arial" w:hAnsi="Arial"/>
                <w:sz w:val="18"/>
                <w:szCs w:val="18"/>
                <w:b w:val="1"/>
                <w:bCs w:val="1"/>
                <w:color w:val="auto"/>
                <w:w w:val="95"/>
              </w:rPr>
              <w:t>Fair Value</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jc w:val="right"/>
              <w:ind w:right="411"/>
              <w:spacing w:after="0" w:line="193" w:lineRule="exact"/>
              <w:rPr>
                <w:sz w:val="20"/>
                <w:szCs w:val="20"/>
                <w:color w:val="auto"/>
              </w:rPr>
            </w:pPr>
            <w:r>
              <w:rPr>
                <w:rFonts w:ascii="Arial" w:cs="Arial" w:eastAsia="Arial" w:hAnsi="Arial"/>
                <w:sz w:val="18"/>
                <w:szCs w:val="18"/>
                <w:b w:val="1"/>
                <w:bCs w:val="1"/>
                <w:color w:val="auto"/>
              </w:rPr>
              <w:t>Loss</w:t>
            </w:r>
          </w:p>
        </w:tc>
      </w:tr>
      <w:tr>
        <w:trPr>
          <w:trHeight w:val="27"/>
        </w:trPr>
        <w:tc>
          <w:tcPr>
            <w:tcW w:w="1440" w:type="dxa"/>
            <w:vAlign w:val="bottom"/>
            <w:tcBorders>
              <w:top w:val="single" w:sz="8" w:color="auto"/>
            </w:tcBorders>
          </w:tcPr>
          <w:p>
            <w:pPr>
              <w:spacing w:after="0"/>
              <w:rPr>
                <w:sz w:val="2"/>
                <w:szCs w:val="2"/>
                <w:color w:val="auto"/>
              </w:rPr>
            </w:pPr>
          </w:p>
        </w:tc>
        <w:tc>
          <w:tcPr>
            <w:tcW w:w="18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414"/>
        </w:trPr>
        <w:tc>
          <w:tcPr>
            <w:tcW w:w="3320" w:type="dxa"/>
            <w:vAlign w:val="bottom"/>
            <w:gridSpan w:val="2"/>
          </w:tcPr>
          <w:p>
            <w:pPr>
              <w:spacing w:after="0"/>
              <w:rPr>
                <w:sz w:val="20"/>
                <w:szCs w:val="20"/>
                <w:color w:val="auto"/>
              </w:rPr>
            </w:pPr>
            <w:r>
              <w:rPr>
                <w:rFonts w:ascii="Arial" w:cs="Arial" w:eastAsia="Arial" w:hAnsi="Arial"/>
                <w:sz w:val="18"/>
                <w:szCs w:val="18"/>
                <w:color w:val="auto"/>
              </w:rPr>
              <w:t>State and political subdivisions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374</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4</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851"/>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374</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w:t>
            </w:r>
          </w:p>
        </w:tc>
      </w:tr>
      <w:tr>
        <w:trPr>
          <w:trHeight w:val="235"/>
        </w:trPr>
        <w:tc>
          <w:tcPr>
            <w:tcW w:w="3320" w:type="dxa"/>
            <w:vAlign w:val="bottom"/>
            <w:gridSpan w:val="2"/>
          </w:tcPr>
          <w:p>
            <w:pPr>
              <w:spacing w:after="0"/>
              <w:rPr>
                <w:sz w:val="20"/>
                <w:szCs w:val="20"/>
                <w:color w:val="auto"/>
              </w:rPr>
            </w:pPr>
            <w:r>
              <w:rPr>
                <w:rFonts w:ascii="Arial" w:cs="Arial" w:eastAsia="Arial" w:hAnsi="Arial"/>
                <w:sz w:val="18"/>
                <w:szCs w:val="18"/>
                <w:color w:val="auto"/>
              </w:rPr>
              <w:t>Mortgage-backed securities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4,715</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238</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851"/>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4,715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238</w:t>
            </w:r>
          </w:p>
        </w:tc>
      </w:tr>
      <w:tr>
        <w:trPr>
          <w:trHeight w:val="214"/>
        </w:trPr>
        <w:tc>
          <w:tcPr>
            <w:tcW w:w="3320" w:type="dxa"/>
            <w:vAlign w:val="bottom"/>
            <w:gridSpan w:val="2"/>
          </w:tcPr>
          <w:p>
            <w:pPr>
              <w:ind w:left="220"/>
              <w:spacing w:after="0"/>
              <w:rPr>
                <w:sz w:val="20"/>
                <w:szCs w:val="20"/>
                <w:color w:val="auto"/>
              </w:rPr>
            </w:pPr>
            <w:r>
              <w:rPr>
                <w:rFonts w:ascii="Arial" w:cs="Arial" w:eastAsia="Arial" w:hAnsi="Arial"/>
                <w:sz w:val="18"/>
                <w:szCs w:val="18"/>
                <w:color w:val="auto"/>
              </w:rPr>
              <w:t>Total unrealized loss position</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5,089</w:t>
            </w:r>
          </w:p>
        </w:tc>
        <w:tc>
          <w:tcPr>
            <w:tcW w:w="1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242</w:t>
            </w:r>
          </w:p>
        </w:tc>
        <w:tc>
          <w:tcPr>
            <w:tcW w:w="1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40" w:type="dxa"/>
            <w:vAlign w:val="bottom"/>
            <w:tcBorders>
              <w:top w:val="single" w:sz="8" w:color="auto"/>
              <w:bottom w:val="single" w:sz="8" w:color="auto"/>
            </w:tcBorders>
          </w:tcPr>
          <w:p>
            <w:pPr>
              <w:jc w:val="right"/>
              <w:ind w:right="851"/>
              <w:spacing w:after="0"/>
              <w:rPr>
                <w:sz w:val="20"/>
                <w:szCs w:val="20"/>
                <w:color w:val="auto"/>
              </w:rPr>
            </w:pPr>
            <w:r>
              <w:rPr>
                <w:rFonts w:ascii="Arial" w:cs="Arial" w:eastAsia="Arial" w:hAnsi="Arial"/>
                <w:sz w:val="18"/>
                <w:szCs w:val="18"/>
                <w:color w:val="auto"/>
                <w:w w:val="79"/>
              </w:rPr>
              <w:t>$</w:t>
            </w:r>
          </w:p>
        </w:tc>
        <w:tc>
          <w:tcPr>
            <w:tcW w:w="2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5,089</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242</w:t>
            </w:r>
          </w:p>
        </w:tc>
      </w:tr>
      <w:tr>
        <w:trPr>
          <w:trHeight w:val="20"/>
        </w:trPr>
        <w:tc>
          <w:tcPr>
            <w:tcW w:w="14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421"/>
        </w:trPr>
        <w:tc>
          <w:tcPr>
            <w:tcW w:w="1440" w:type="dxa"/>
            <w:vAlign w:val="bottom"/>
            <w:tcBorders>
              <w:bottom w:val="single" w:sz="8" w:color="DCDCDC"/>
            </w:tcBorders>
          </w:tcPr>
          <w:p>
            <w:pPr>
              <w:spacing w:after="0"/>
              <w:rPr>
                <w:sz w:val="24"/>
                <w:szCs w:val="24"/>
                <w:color w:val="auto"/>
              </w:rPr>
            </w:pPr>
          </w:p>
        </w:tc>
        <w:tc>
          <w:tcPr>
            <w:tcW w:w="1880" w:type="dxa"/>
            <w:vAlign w:val="bottom"/>
            <w:tcBorders>
              <w:bottom w:val="single" w:sz="8" w:color="DCDCDC"/>
            </w:tcBorders>
          </w:tcPr>
          <w:p>
            <w:pPr>
              <w:spacing w:after="0"/>
              <w:rPr>
                <w:sz w:val="24"/>
                <w:szCs w:val="24"/>
                <w:color w:val="auto"/>
              </w:rPr>
            </w:pPr>
          </w:p>
        </w:tc>
        <w:tc>
          <w:tcPr>
            <w:tcW w:w="140" w:type="dxa"/>
            <w:vAlign w:val="bottom"/>
            <w:tcBorders>
              <w:bottom w:val="single" w:sz="8" w:color="DCDCDC"/>
            </w:tcBorders>
          </w:tcPr>
          <w:p>
            <w:pPr>
              <w:spacing w:after="0"/>
              <w:rPr>
                <w:sz w:val="24"/>
                <w:szCs w:val="24"/>
                <w:color w:val="auto"/>
              </w:rPr>
            </w:pPr>
          </w:p>
        </w:tc>
        <w:tc>
          <w:tcPr>
            <w:tcW w:w="1140" w:type="dxa"/>
            <w:vAlign w:val="bottom"/>
            <w:tcBorders>
              <w:bottom w:val="single" w:sz="8" w:color="DCDCDC"/>
            </w:tcBorders>
          </w:tcPr>
          <w:p>
            <w:pPr>
              <w:spacing w:after="0"/>
              <w:rPr>
                <w:sz w:val="24"/>
                <w:szCs w:val="24"/>
                <w:color w:val="auto"/>
              </w:rPr>
            </w:pPr>
          </w:p>
        </w:tc>
        <w:tc>
          <w:tcPr>
            <w:tcW w:w="120" w:type="dxa"/>
            <w:vAlign w:val="bottom"/>
            <w:tcBorders>
              <w:bottom w:val="single" w:sz="8" w:color="DCDCDC"/>
            </w:tcBorders>
          </w:tcPr>
          <w:p>
            <w:pPr>
              <w:spacing w:after="0"/>
              <w:rPr>
                <w:sz w:val="24"/>
                <w:szCs w:val="24"/>
                <w:color w:val="auto"/>
              </w:rPr>
            </w:pPr>
          </w:p>
        </w:tc>
        <w:tc>
          <w:tcPr>
            <w:tcW w:w="120" w:type="dxa"/>
            <w:vAlign w:val="bottom"/>
            <w:tcBorders>
              <w:bottom w:val="single" w:sz="8" w:color="DCDCDC"/>
            </w:tcBorders>
          </w:tcPr>
          <w:p>
            <w:pPr>
              <w:spacing w:after="0"/>
              <w:rPr>
                <w:sz w:val="24"/>
                <w:szCs w:val="24"/>
                <w:color w:val="auto"/>
              </w:rPr>
            </w:pPr>
          </w:p>
        </w:tc>
        <w:tc>
          <w:tcPr>
            <w:tcW w:w="1160" w:type="dxa"/>
            <w:vAlign w:val="bottom"/>
            <w:tcBorders>
              <w:bottom w:val="single" w:sz="8" w:color="DCDCDC"/>
            </w:tcBorders>
          </w:tcPr>
          <w:p>
            <w:pPr>
              <w:jc w:val="right"/>
              <w:ind w:right="111"/>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DCDCDC"/>
            </w:tcBorders>
          </w:tcPr>
          <w:p>
            <w:pPr>
              <w:spacing w:after="0"/>
              <w:rPr>
                <w:sz w:val="24"/>
                <w:szCs w:val="24"/>
                <w:color w:val="auto"/>
              </w:rPr>
            </w:pPr>
          </w:p>
        </w:tc>
        <w:tc>
          <w:tcPr>
            <w:tcW w:w="120" w:type="dxa"/>
            <w:vAlign w:val="bottom"/>
            <w:tcBorders>
              <w:bottom w:val="single" w:sz="8" w:color="DCDCDC"/>
            </w:tcBorders>
          </w:tcPr>
          <w:p>
            <w:pPr>
              <w:spacing w:after="0"/>
              <w:rPr>
                <w:sz w:val="24"/>
                <w:szCs w:val="24"/>
                <w:color w:val="auto"/>
              </w:rPr>
            </w:pPr>
          </w:p>
        </w:tc>
        <w:tc>
          <w:tcPr>
            <w:tcW w:w="1140" w:type="dxa"/>
            <w:vAlign w:val="bottom"/>
            <w:tcBorders>
              <w:bottom w:val="single" w:sz="8" w:color="DCDCDC"/>
            </w:tcBorders>
          </w:tcPr>
          <w:p>
            <w:pPr>
              <w:spacing w:after="0"/>
              <w:rPr>
                <w:sz w:val="24"/>
                <w:szCs w:val="24"/>
                <w:color w:val="auto"/>
              </w:rPr>
            </w:pPr>
          </w:p>
        </w:tc>
        <w:tc>
          <w:tcPr>
            <w:tcW w:w="120" w:type="dxa"/>
            <w:vAlign w:val="bottom"/>
            <w:tcBorders>
              <w:bottom w:val="single" w:sz="8" w:color="DCDCDC"/>
            </w:tcBorders>
          </w:tcPr>
          <w:p>
            <w:pPr>
              <w:spacing w:after="0"/>
              <w:rPr>
                <w:sz w:val="24"/>
                <w:szCs w:val="24"/>
                <w:color w:val="auto"/>
              </w:rPr>
            </w:pPr>
          </w:p>
        </w:tc>
        <w:tc>
          <w:tcPr>
            <w:tcW w:w="1040" w:type="dxa"/>
            <w:vAlign w:val="bottom"/>
            <w:tcBorders>
              <w:bottom w:val="single" w:sz="8" w:color="DCDCDC"/>
            </w:tcBorders>
          </w:tcPr>
          <w:p>
            <w:pPr>
              <w:spacing w:after="0"/>
              <w:rPr>
                <w:sz w:val="24"/>
                <w:szCs w:val="24"/>
                <w:color w:val="auto"/>
              </w:rPr>
            </w:pPr>
          </w:p>
        </w:tc>
        <w:tc>
          <w:tcPr>
            <w:tcW w:w="200" w:type="dxa"/>
            <w:vAlign w:val="bottom"/>
            <w:tcBorders>
              <w:bottom w:val="single" w:sz="8" w:color="DCDCDC"/>
            </w:tcBorders>
          </w:tcPr>
          <w:p>
            <w:pPr>
              <w:spacing w:after="0"/>
              <w:rPr>
                <w:sz w:val="24"/>
                <w:szCs w:val="24"/>
                <w:color w:val="auto"/>
              </w:rPr>
            </w:pPr>
          </w:p>
        </w:tc>
        <w:tc>
          <w:tcPr>
            <w:tcW w:w="100" w:type="dxa"/>
            <w:vAlign w:val="bottom"/>
            <w:tcBorders>
              <w:bottom w:val="single" w:sz="8" w:color="DCDCDC"/>
            </w:tcBorders>
          </w:tcPr>
          <w:p>
            <w:pPr>
              <w:spacing w:after="0"/>
              <w:rPr>
                <w:sz w:val="24"/>
                <w:szCs w:val="24"/>
                <w:color w:val="auto"/>
              </w:rPr>
            </w:pPr>
          </w:p>
        </w:tc>
        <w:tc>
          <w:tcPr>
            <w:tcW w:w="140" w:type="dxa"/>
            <w:vAlign w:val="bottom"/>
            <w:tcBorders>
              <w:bottom w:val="single" w:sz="8" w:color="DCDCDC"/>
            </w:tcBorders>
          </w:tcPr>
          <w:p>
            <w:pPr>
              <w:spacing w:after="0"/>
              <w:rPr>
                <w:sz w:val="24"/>
                <w:szCs w:val="24"/>
                <w:color w:val="auto"/>
              </w:rPr>
            </w:pPr>
          </w:p>
        </w:tc>
        <w:tc>
          <w:tcPr>
            <w:tcW w:w="1100" w:type="dxa"/>
            <w:vAlign w:val="bottom"/>
            <w:tcBorders>
              <w:bottom w:val="single" w:sz="8" w:color="DCDCDC"/>
            </w:tcBorders>
          </w:tcPr>
          <w:p>
            <w:pPr>
              <w:spacing w:after="0"/>
              <w:rPr>
                <w:sz w:val="24"/>
                <w:szCs w:val="24"/>
                <w:color w:val="auto"/>
              </w:rPr>
            </w:pPr>
          </w:p>
        </w:tc>
        <w:tc>
          <w:tcPr>
            <w:tcW w:w="100" w:type="dxa"/>
            <w:vAlign w:val="bottom"/>
            <w:tcBorders>
              <w:bottom w:val="single" w:sz="8" w:color="DCDCDC"/>
            </w:tcBorders>
          </w:tcPr>
          <w:p>
            <w:pPr>
              <w:spacing w:after="0"/>
              <w:rPr>
                <w:sz w:val="24"/>
                <w:szCs w:val="24"/>
                <w:color w:val="auto"/>
              </w:rPr>
            </w:pPr>
          </w:p>
        </w:tc>
        <w:tc>
          <w:tcPr>
            <w:tcW w:w="120" w:type="dxa"/>
            <w:vAlign w:val="bottom"/>
            <w:tcBorders>
              <w:bottom w:val="single" w:sz="8" w:color="DCDCDC"/>
            </w:tcBorders>
          </w:tcPr>
          <w:p>
            <w:pPr>
              <w:spacing w:after="0"/>
              <w:rPr>
                <w:sz w:val="24"/>
                <w:szCs w:val="24"/>
                <w:color w:val="auto"/>
              </w:rPr>
            </w:pPr>
          </w:p>
        </w:tc>
        <w:tc>
          <w:tcPr>
            <w:tcW w:w="1120" w:type="dxa"/>
            <w:vAlign w:val="bottom"/>
            <w:tcBorders>
              <w:bottom w:val="single" w:sz="8" w:color="DCDCDC"/>
            </w:tcBorders>
          </w:tcPr>
          <w:p>
            <w:pPr>
              <w:spacing w:after="0"/>
              <w:rPr>
                <w:sz w:val="24"/>
                <w:szCs w:val="24"/>
                <w:color w:val="auto"/>
              </w:rPr>
            </w:pPr>
          </w:p>
        </w:tc>
      </w:tr>
    </w:tbl>
    <w:p>
      <w:pPr>
        <w:sectPr>
          <w:pgSz w:w="11900" w:h="16838" w:orient="portrait"/>
          <w:cols w:equalWidth="0" w:num="1">
            <w:col w:w="11420"/>
          </w:cols>
          <w:pgMar w:left="240" w:top="912" w:right="2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6"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 xml:space="preserve">The following table summarizes available-for-sale securities in an unrealized loss position as of June 30, 2013, December 31, 2012 and June 30, 2012 </w:t>
      </w:r>
      <w:r>
        <w:rPr>
          <w:rFonts w:ascii="Arial" w:cs="Arial" w:eastAsia="Arial" w:hAnsi="Arial"/>
          <w:sz w:val="18"/>
          <w:szCs w:val="18"/>
          <w:i w:val="1"/>
          <w:iCs w:val="1"/>
          <w:color w:val="auto"/>
        </w:rPr>
        <w:t>(in</w:t>
      </w:r>
      <w:r>
        <w:rPr>
          <w:rFonts w:ascii="Arial" w:cs="Arial" w:eastAsia="Arial" w:hAnsi="Arial"/>
          <w:sz w:val="18"/>
          <w:szCs w:val="18"/>
          <w:color w:val="auto"/>
        </w:rPr>
        <w:t xml:space="preserve"> </w:t>
      </w:r>
      <w:r>
        <w:rPr>
          <w:rFonts w:ascii="Arial" w:cs="Arial" w:eastAsia="Arial" w:hAnsi="Arial"/>
          <w:sz w:val="18"/>
          <w:szCs w:val="18"/>
          <w:i w:val="1"/>
          <w:iCs w:val="1"/>
          <w:color w:val="auto"/>
        </w:rPr>
        <w:t>thousands)</w:t>
      </w:r>
      <w:r>
        <w:rPr>
          <w:rFonts w:ascii="Arial" w:cs="Arial" w:eastAsia="Arial" w:hAnsi="Arial"/>
          <w:sz w:val="18"/>
          <w:szCs w:val="18"/>
          <w:color w:val="auto"/>
        </w:rPr>
        <w:t>.</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14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540" w:type="dxa"/>
            <w:vAlign w:val="bottom"/>
            <w:tcBorders>
              <w:bottom w:val="single" w:sz="8" w:color="auto"/>
            </w:tcBorders>
            <w:gridSpan w:val="4"/>
          </w:tcPr>
          <w:p>
            <w:pPr>
              <w:jc w:val="right"/>
              <w:ind w:right="511"/>
              <w:spacing w:after="0"/>
              <w:rPr>
                <w:sz w:val="20"/>
                <w:szCs w:val="20"/>
                <w:color w:val="auto"/>
              </w:rPr>
            </w:pPr>
            <w:r>
              <w:rPr>
                <w:rFonts w:ascii="Arial" w:cs="Arial" w:eastAsia="Arial" w:hAnsi="Arial"/>
                <w:sz w:val="18"/>
                <w:szCs w:val="18"/>
                <w:b w:val="1"/>
                <w:bCs w:val="1"/>
                <w:color w:val="auto"/>
              </w:rPr>
              <w:t>Less than 12 Months</w:t>
            </w: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500" w:type="dxa"/>
            <w:vAlign w:val="bottom"/>
            <w:tcBorders>
              <w:bottom w:val="single" w:sz="8" w:color="auto"/>
            </w:tcBorders>
            <w:gridSpan w:val="4"/>
          </w:tcPr>
          <w:p>
            <w:pPr>
              <w:jc w:val="right"/>
              <w:ind w:right="531"/>
              <w:spacing w:after="0"/>
              <w:rPr>
                <w:sz w:val="20"/>
                <w:szCs w:val="20"/>
                <w:color w:val="auto"/>
              </w:rPr>
            </w:pPr>
            <w:r>
              <w:rPr>
                <w:rFonts w:ascii="Arial" w:cs="Arial" w:eastAsia="Arial" w:hAnsi="Arial"/>
                <w:sz w:val="18"/>
                <w:szCs w:val="18"/>
                <w:b w:val="1"/>
                <w:bCs w:val="1"/>
                <w:color w:val="auto"/>
              </w:rPr>
              <w:t>12 Months or More</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Total</w:t>
            </w:r>
          </w:p>
        </w:tc>
        <w:tc>
          <w:tcPr>
            <w:tcW w:w="11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14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jc w:val="right"/>
              <w:ind w:right="191"/>
              <w:spacing w:after="0" w:line="196" w:lineRule="exact"/>
              <w:rPr>
                <w:sz w:val="20"/>
                <w:szCs w:val="20"/>
                <w:color w:val="auto"/>
              </w:rPr>
            </w:pPr>
            <w:r>
              <w:rPr>
                <w:rFonts w:ascii="Arial" w:cs="Arial" w:eastAsia="Arial" w:hAnsi="Arial"/>
                <w:sz w:val="18"/>
                <w:szCs w:val="18"/>
                <w:b w:val="1"/>
                <w:bCs w:val="1"/>
                <w:color w:val="auto"/>
                <w:w w:val="94"/>
              </w:rPr>
              <w:t>Unrealized</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right"/>
              <w:ind w:right="171"/>
              <w:spacing w:after="0" w:line="196" w:lineRule="exact"/>
              <w:rPr>
                <w:sz w:val="20"/>
                <w:szCs w:val="20"/>
                <w:color w:val="auto"/>
              </w:rPr>
            </w:pPr>
            <w:r>
              <w:rPr>
                <w:rFonts w:ascii="Arial" w:cs="Arial" w:eastAsia="Arial" w:hAnsi="Arial"/>
                <w:sz w:val="18"/>
                <w:szCs w:val="18"/>
                <w:b w:val="1"/>
                <w:bCs w:val="1"/>
                <w:color w:val="auto"/>
                <w:w w:val="92"/>
              </w:rPr>
              <w:t>Unrealized</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right"/>
              <w:ind w:right="171"/>
              <w:spacing w:after="0" w:line="196" w:lineRule="exact"/>
              <w:rPr>
                <w:sz w:val="20"/>
                <w:szCs w:val="20"/>
                <w:color w:val="auto"/>
              </w:rPr>
            </w:pPr>
            <w:r>
              <w:rPr>
                <w:rFonts w:ascii="Arial" w:cs="Arial" w:eastAsia="Arial" w:hAnsi="Arial"/>
                <w:sz w:val="18"/>
                <w:szCs w:val="18"/>
                <w:b w:val="1"/>
                <w:bCs w:val="1"/>
                <w:color w:val="auto"/>
                <w:w w:val="92"/>
              </w:rPr>
              <w:t>Unrealized</w:t>
            </w:r>
          </w:p>
        </w:tc>
        <w:tc>
          <w:tcPr>
            <w:tcW w:w="0" w:type="dxa"/>
            <w:vAlign w:val="bottom"/>
          </w:tcPr>
          <w:p>
            <w:pPr>
              <w:spacing w:after="0"/>
              <w:rPr>
                <w:sz w:val="1"/>
                <w:szCs w:val="1"/>
                <w:color w:val="auto"/>
              </w:rPr>
            </w:pPr>
          </w:p>
        </w:tc>
      </w:tr>
      <w:tr>
        <w:trPr>
          <w:trHeight w:val="193"/>
        </w:trPr>
        <w:tc>
          <w:tcPr>
            <w:tcW w:w="3320" w:type="dxa"/>
            <w:vAlign w:val="bottom"/>
            <w:gridSpan w:val="3"/>
          </w:tcPr>
          <w:p>
            <w:pPr>
              <w:spacing w:after="0" w:line="193" w:lineRule="exact"/>
              <w:rPr>
                <w:sz w:val="20"/>
                <w:szCs w:val="20"/>
                <w:color w:val="auto"/>
              </w:rPr>
            </w:pPr>
            <w:r>
              <w:rPr>
                <w:rFonts w:ascii="Arial" w:cs="Arial" w:eastAsia="Arial" w:hAnsi="Arial"/>
                <w:sz w:val="18"/>
                <w:szCs w:val="18"/>
                <w:color w:val="auto"/>
              </w:rPr>
              <w:t>As of June 30, 2013</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jc w:val="right"/>
              <w:ind w:right="211"/>
              <w:spacing w:after="0" w:line="193" w:lineRule="exact"/>
              <w:rPr>
                <w:sz w:val="20"/>
                <w:szCs w:val="20"/>
                <w:color w:val="auto"/>
              </w:rPr>
            </w:pPr>
            <w:r>
              <w:rPr>
                <w:rFonts w:ascii="Arial" w:cs="Arial" w:eastAsia="Arial" w:hAnsi="Arial"/>
                <w:sz w:val="18"/>
                <w:szCs w:val="18"/>
                <w:b w:val="1"/>
                <w:bCs w:val="1"/>
                <w:color w:val="auto"/>
                <w:w w:val="95"/>
              </w:rPr>
              <w:t>Fair Value</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jc w:val="right"/>
              <w:ind w:right="431"/>
              <w:spacing w:after="0" w:line="193" w:lineRule="exact"/>
              <w:rPr>
                <w:sz w:val="20"/>
                <w:szCs w:val="20"/>
                <w:color w:val="auto"/>
              </w:rPr>
            </w:pPr>
            <w:r>
              <w:rPr>
                <w:rFonts w:ascii="Arial" w:cs="Arial" w:eastAsia="Arial" w:hAnsi="Arial"/>
                <w:sz w:val="18"/>
                <w:szCs w:val="18"/>
                <w:b w:val="1"/>
                <w:bCs w:val="1"/>
                <w:color w:val="auto"/>
              </w:rPr>
              <w:t>Loss</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jc w:val="right"/>
              <w:ind w:right="191"/>
              <w:spacing w:after="0" w:line="193" w:lineRule="exact"/>
              <w:rPr>
                <w:sz w:val="20"/>
                <w:szCs w:val="20"/>
                <w:color w:val="auto"/>
              </w:rPr>
            </w:pPr>
            <w:r>
              <w:rPr>
                <w:rFonts w:ascii="Arial" w:cs="Arial" w:eastAsia="Arial" w:hAnsi="Arial"/>
                <w:sz w:val="18"/>
                <w:szCs w:val="18"/>
                <w:b w:val="1"/>
                <w:bCs w:val="1"/>
                <w:color w:val="auto"/>
                <w:w w:val="97"/>
              </w:rPr>
              <w:t>Fair Value</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jc w:val="right"/>
              <w:ind w:right="411"/>
              <w:spacing w:after="0" w:line="193" w:lineRule="exact"/>
              <w:rPr>
                <w:sz w:val="20"/>
                <w:szCs w:val="20"/>
                <w:color w:val="auto"/>
              </w:rPr>
            </w:pPr>
            <w:r>
              <w:rPr>
                <w:rFonts w:ascii="Arial" w:cs="Arial" w:eastAsia="Arial" w:hAnsi="Arial"/>
                <w:sz w:val="18"/>
                <w:szCs w:val="18"/>
                <w:b w:val="1"/>
                <w:bCs w:val="1"/>
                <w:color w:val="auto"/>
              </w:rPr>
              <w:t>Loss</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right"/>
              <w:ind w:right="171"/>
              <w:spacing w:after="0" w:line="193" w:lineRule="exact"/>
              <w:rPr>
                <w:sz w:val="20"/>
                <w:szCs w:val="20"/>
                <w:color w:val="auto"/>
              </w:rPr>
            </w:pPr>
            <w:r>
              <w:rPr>
                <w:rFonts w:ascii="Arial" w:cs="Arial" w:eastAsia="Arial" w:hAnsi="Arial"/>
                <w:sz w:val="18"/>
                <w:szCs w:val="18"/>
                <w:b w:val="1"/>
                <w:bCs w:val="1"/>
                <w:color w:val="auto"/>
                <w:w w:val="95"/>
              </w:rPr>
              <w:t>Fair Value</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jc w:val="right"/>
              <w:ind w:right="411"/>
              <w:spacing w:after="0" w:line="193" w:lineRule="exact"/>
              <w:rPr>
                <w:sz w:val="20"/>
                <w:szCs w:val="20"/>
                <w:color w:val="auto"/>
              </w:rPr>
            </w:pPr>
            <w:r>
              <w:rPr>
                <w:rFonts w:ascii="Arial" w:cs="Arial" w:eastAsia="Arial" w:hAnsi="Arial"/>
                <w:sz w:val="18"/>
                <w:szCs w:val="18"/>
                <w:b w:val="1"/>
                <w:bCs w:val="1"/>
                <w:color w:val="auto"/>
              </w:rPr>
              <w:t>Loss</w:t>
            </w:r>
          </w:p>
        </w:tc>
        <w:tc>
          <w:tcPr>
            <w:tcW w:w="0" w:type="dxa"/>
            <w:vAlign w:val="bottom"/>
          </w:tcPr>
          <w:p>
            <w:pPr>
              <w:spacing w:after="0"/>
              <w:rPr>
                <w:sz w:val="1"/>
                <w:szCs w:val="1"/>
                <w:color w:val="auto"/>
              </w:rPr>
            </w:pPr>
          </w:p>
        </w:tc>
      </w:tr>
      <w:tr>
        <w:trPr>
          <w:trHeight w:val="27"/>
        </w:trPr>
        <w:tc>
          <w:tcPr>
            <w:tcW w:w="144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14"/>
        </w:trPr>
        <w:tc>
          <w:tcPr>
            <w:tcW w:w="3320" w:type="dxa"/>
            <w:vAlign w:val="bottom"/>
            <w:gridSpan w:val="3"/>
          </w:tcPr>
          <w:p>
            <w:pPr>
              <w:spacing w:after="0"/>
              <w:rPr>
                <w:sz w:val="20"/>
                <w:szCs w:val="20"/>
                <w:color w:val="auto"/>
              </w:rPr>
            </w:pPr>
            <w:r>
              <w:rPr>
                <w:rFonts w:ascii="Arial" w:cs="Arial" w:eastAsia="Arial" w:hAnsi="Arial"/>
                <w:sz w:val="18"/>
                <w:szCs w:val="18"/>
                <w:color w:val="auto"/>
              </w:rPr>
              <w:t>State and political subdivisions</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3,645</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39</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3,655</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4"/>
        </w:trPr>
        <w:tc>
          <w:tcPr>
            <w:tcW w:w="3320" w:type="dxa"/>
            <w:vAlign w:val="bottom"/>
            <w:gridSpan w:val="3"/>
          </w:tcPr>
          <w:p>
            <w:pPr>
              <w:spacing w:after="0"/>
              <w:rPr>
                <w:sz w:val="20"/>
                <w:szCs w:val="20"/>
                <w:color w:val="auto"/>
              </w:rPr>
            </w:pPr>
            <w:r>
              <w:rPr>
                <w:rFonts w:ascii="Arial" w:cs="Arial" w:eastAsia="Arial" w:hAnsi="Arial"/>
                <w:sz w:val="18"/>
                <w:szCs w:val="18"/>
                <w:color w:val="auto"/>
              </w:rPr>
              <w:t>Mortgage-backed securities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636,449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13,538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636,449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13,538</w:t>
            </w:r>
          </w:p>
        </w:tc>
        <w:tc>
          <w:tcPr>
            <w:tcW w:w="0" w:type="dxa"/>
            <w:vAlign w:val="bottom"/>
          </w:tcPr>
          <w:p>
            <w:pPr>
              <w:spacing w:after="0"/>
              <w:rPr>
                <w:sz w:val="1"/>
                <w:szCs w:val="1"/>
                <w:color w:val="auto"/>
              </w:rPr>
            </w:pPr>
          </w:p>
        </w:tc>
      </w:tr>
      <w:tr>
        <w:trPr>
          <w:trHeight w:val="214"/>
        </w:trPr>
        <w:tc>
          <w:tcPr>
            <w:tcW w:w="3320" w:type="dxa"/>
            <w:vAlign w:val="bottom"/>
            <w:gridSpan w:val="3"/>
          </w:tcPr>
          <w:p>
            <w:pPr>
              <w:spacing w:after="0"/>
              <w:rPr>
                <w:sz w:val="20"/>
                <w:szCs w:val="20"/>
                <w:color w:val="auto"/>
              </w:rPr>
            </w:pPr>
            <w:r>
              <w:rPr>
                <w:rFonts w:ascii="Arial" w:cs="Arial" w:eastAsia="Arial" w:hAnsi="Arial"/>
                <w:sz w:val="18"/>
                <w:szCs w:val="18"/>
                <w:color w:val="auto"/>
              </w:rPr>
              <w:t>Corporate bonds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97,501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4,635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77,404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3,546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174,905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8,181</w:t>
            </w:r>
          </w:p>
        </w:tc>
        <w:tc>
          <w:tcPr>
            <w:tcW w:w="0" w:type="dxa"/>
            <w:vAlign w:val="bottom"/>
          </w:tcPr>
          <w:p>
            <w:pPr>
              <w:spacing w:after="0"/>
              <w:rPr>
                <w:sz w:val="1"/>
                <w:szCs w:val="1"/>
                <w:color w:val="auto"/>
              </w:rPr>
            </w:pPr>
          </w:p>
        </w:tc>
      </w:tr>
      <w:tr>
        <w:trPr>
          <w:trHeight w:val="235"/>
        </w:trPr>
        <w:tc>
          <w:tcPr>
            <w:tcW w:w="3320" w:type="dxa"/>
            <w:vAlign w:val="bottom"/>
            <w:gridSpan w:val="3"/>
          </w:tcPr>
          <w:p>
            <w:pPr>
              <w:spacing w:after="0"/>
              <w:rPr>
                <w:sz w:val="20"/>
                <w:szCs w:val="20"/>
                <w:color w:val="auto"/>
              </w:rPr>
            </w:pPr>
            <w:r>
              <w:rPr>
                <w:rFonts w:ascii="Arial" w:cs="Arial" w:eastAsia="Arial" w:hAnsi="Arial"/>
                <w:sz w:val="18"/>
                <w:szCs w:val="18"/>
                <w:color w:val="auto"/>
              </w:rPr>
              <w:t>Asset-backed securities</w:t>
            </w:r>
          </w:p>
        </w:tc>
        <w:tc>
          <w:tcPr>
            <w:tcW w:w="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56,817</w:t>
            </w: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208</w:t>
            </w: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32,495</w:t>
            </w: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283</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89,312</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491</w:t>
            </w:r>
          </w:p>
        </w:tc>
        <w:tc>
          <w:tcPr>
            <w:tcW w:w="0" w:type="dxa"/>
            <w:vAlign w:val="bottom"/>
          </w:tcPr>
          <w:p>
            <w:pPr>
              <w:spacing w:after="0"/>
              <w:rPr>
                <w:sz w:val="1"/>
                <w:szCs w:val="1"/>
                <w:color w:val="auto"/>
              </w:rPr>
            </w:pPr>
          </w:p>
        </w:tc>
      </w:tr>
      <w:tr>
        <w:trPr>
          <w:trHeight w:val="214"/>
        </w:trPr>
        <w:tc>
          <w:tcPr>
            <w:tcW w:w="3320" w:type="dxa"/>
            <w:vAlign w:val="bottom"/>
            <w:gridSpan w:val="3"/>
          </w:tcPr>
          <w:p>
            <w:pPr>
              <w:ind w:left="220"/>
              <w:spacing w:after="0"/>
              <w:rPr>
                <w:sz w:val="20"/>
                <w:szCs w:val="20"/>
                <w:color w:val="auto"/>
              </w:rPr>
            </w:pPr>
            <w:r>
              <w:rPr>
                <w:rFonts w:ascii="Arial" w:cs="Arial" w:eastAsia="Arial" w:hAnsi="Arial"/>
                <w:sz w:val="18"/>
                <w:szCs w:val="18"/>
                <w:color w:val="auto"/>
              </w:rPr>
              <w:t>Total unrealized loss position</w:t>
            </w:r>
          </w:p>
        </w:tc>
        <w:tc>
          <w:tcPr>
            <w:tcW w:w="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794,412</w:t>
            </w:r>
          </w:p>
        </w:tc>
        <w:tc>
          <w:tcPr>
            <w:tcW w:w="1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18,420</w:t>
            </w:r>
          </w:p>
        </w:tc>
        <w:tc>
          <w:tcPr>
            <w:tcW w:w="1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109,909</w:t>
            </w:r>
          </w:p>
        </w:tc>
        <w:tc>
          <w:tcPr>
            <w:tcW w:w="1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3,831</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904,321</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22,251</w:t>
            </w:r>
          </w:p>
        </w:tc>
        <w:tc>
          <w:tcPr>
            <w:tcW w:w="0" w:type="dxa"/>
            <w:vAlign w:val="bottom"/>
          </w:tcPr>
          <w:p>
            <w:pPr>
              <w:spacing w:after="0"/>
              <w:rPr>
                <w:sz w:val="1"/>
                <w:szCs w:val="1"/>
                <w:color w:val="auto"/>
              </w:rPr>
            </w:pPr>
          </w:p>
        </w:tc>
      </w:tr>
      <w:tr>
        <w:trPr>
          <w:trHeight w:val="20"/>
        </w:trPr>
        <w:tc>
          <w:tcPr>
            <w:tcW w:w="3320" w:type="dxa"/>
            <w:vAlign w:val="bottom"/>
            <w:gridSpan w:val="3"/>
            <w:vMerge w:val="restart"/>
          </w:tcPr>
          <w:p>
            <w:pPr>
              <w:spacing w:after="0"/>
              <w:rPr>
                <w:sz w:val="20"/>
                <w:szCs w:val="20"/>
                <w:color w:val="auto"/>
              </w:rPr>
            </w:pPr>
            <w:r>
              <w:rPr>
                <w:rFonts w:ascii="Arial" w:cs="Arial" w:eastAsia="Arial" w:hAnsi="Arial"/>
                <w:sz w:val="18"/>
                <w:szCs w:val="18"/>
                <w:color w:val="auto"/>
              </w:rPr>
              <w:t>As of December 31, 2012</w:t>
            </w: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09"/>
        </w:trPr>
        <w:tc>
          <w:tcPr>
            <w:tcW w:w="3320" w:type="dxa"/>
            <w:vAlign w:val="bottom"/>
            <w:gridSpan w:val="3"/>
            <w:vMerge w:val="continue"/>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4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5"/>
        </w:trPr>
        <w:tc>
          <w:tcPr>
            <w:tcW w:w="3320" w:type="dxa"/>
            <w:vAlign w:val="bottom"/>
            <w:gridSpan w:val="3"/>
          </w:tcPr>
          <w:p>
            <w:pPr>
              <w:spacing w:after="0"/>
              <w:rPr>
                <w:sz w:val="20"/>
                <w:szCs w:val="20"/>
                <w:color w:val="auto"/>
              </w:rPr>
            </w:pPr>
            <w:r>
              <w:rPr>
                <w:rFonts w:ascii="Arial" w:cs="Arial" w:eastAsia="Arial" w:hAnsi="Arial"/>
                <w:sz w:val="18"/>
                <w:szCs w:val="18"/>
                <w:color w:val="auto"/>
              </w:rPr>
              <w:t>State and political subdivisions</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3,674</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17</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3,684</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4"/>
        </w:trPr>
        <w:tc>
          <w:tcPr>
            <w:tcW w:w="3320" w:type="dxa"/>
            <w:vAlign w:val="bottom"/>
            <w:gridSpan w:val="3"/>
          </w:tcPr>
          <w:p>
            <w:pPr>
              <w:spacing w:after="0"/>
              <w:rPr>
                <w:sz w:val="20"/>
                <w:szCs w:val="20"/>
                <w:color w:val="auto"/>
              </w:rPr>
            </w:pPr>
            <w:r>
              <w:rPr>
                <w:rFonts w:ascii="Arial" w:cs="Arial" w:eastAsia="Arial" w:hAnsi="Arial"/>
                <w:sz w:val="18"/>
                <w:szCs w:val="18"/>
                <w:color w:val="auto"/>
              </w:rPr>
              <w:t>Mortgage-backed securities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326,485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2,092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326,485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2,092</w:t>
            </w:r>
          </w:p>
        </w:tc>
        <w:tc>
          <w:tcPr>
            <w:tcW w:w="0" w:type="dxa"/>
            <w:vAlign w:val="bottom"/>
          </w:tcPr>
          <w:p>
            <w:pPr>
              <w:spacing w:after="0"/>
              <w:rPr>
                <w:sz w:val="1"/>
                <w:szCs w:val="1"/>
                <w:color w:val="auto"/>
              </w:rPr>
            </w:pPr>
          </w:p>
        </w:tc>
      </w:tr>
      <w:tr>
        <w:trPr>
          <w:trHeight w:val="214"/>
        </w:trPr>
        <w:tc>
          <w:tcPr>
            <w:tcW w:w="3320" w:type="dxa"/>
            <w:vAlign w:val="bottom"/>
            <w:gridSpan w:val="3"/>
          </w:tcPr>
          <w:p>
            <w:pPr>
              <w:spacing w:after="0"/>
              <w:rPr>
                <w:sz w:val="20"/>
                <w:szCs w:val="20"/>
                <w:color w:val="auto"/>
              </w:rPr>
            </w:pPr>
            <w:r>
              <w:rPr>
                <w:rFonts w:ascii="Arial" w:cs="Arial" w:eastAsia="Arial" w:hAnsi="Arial"/>
                <w:sz w:val="18"/>
                <w:szCs w:val="18"/>
                <w:color w:val="auto"/>
              </w:rPr>
              <w:t>Corporate bonds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21,248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136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93,903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7,037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115,151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7,173</w:t>
            </w:r>
          </w:p>
        </w:tc>
        <w:tc>
          <w:tcPr>
            <w:tcW w:w="0" w:type="dxa"/>
            <w:vAlign w:val="bottom"/>
          </w:tcPr>
          <w:p>
            <w:pPr>
              <w:spacing w:after="0"/>
              <w:rPr>
                <w:sz w:val="1"/>
                <w:szCs w:val="1"/>
                <w:color w:val="auto"/>
              </w:rPr>
            </w:pPr>
          </w:p>
        </w:tc>
      </w:tr>
      <w:tr>
        <w:trPr>
          <w:trHeight w:val="235"/>
        </w:trPr>
        <w:tc>
          <w:tcPr>
            <w:tcW w:w="3320" w:type="dxa"/>
            <w:vAlign w:val="bottom"/>
            <w:gridSpan w:val="3"/>
          </w:tcPr>
          <w:p>
            <w:pPr>
              <w:spacing w:after="0"/>
              <w:rPr>
                <w:sz w:val="20"/>
                <w:szCs w:val="20"/>
                <w:color w:val="auto"/>
              </w:rPr>
            </w:pPr>
            <w:r>
              <w:rPr>
                <w:rFonts w:ascii="Arial" w:cs="Arial" w:eastAsia="Arial" w:hAnsi="Arial"/>
                <w:sz w:val="18"/>
                <w:szCs w:val="18"/>
                <w:color w:val="auto"/>
              </w:rPr>
              <w:t>Asset-backed securities</w:t>
            </w:r>
          </w:p>
        </w:tc>
        <w:tc>
          <w:tcPr>
            <w:tcW w:w="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82,188</w:t>
            </w: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749</w:t>
            </w: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82,188</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749</w:t>
            </w:r>
          </w:p>
        </w:tc>
        <w:tc>
          <w:tcPr>
            <w:tcW w:w="0" w:type="dxa"/>
            <w:vAlign w:val="bottom"/>
          </w:tcPr>
          <w:p>
            <w:pPr>
              <w:spacing w:after="0"/>
              <w:rPr>
                <w:sz w:val="1"/>
                <w:szCs w:val="1"/>
                <w:color w:val="auto"/>
              </w:rPr>
            </w:pPr>
          </w:p>
        </w:tc>
      </w:tr>
      <w:tr>
        <w:trPr>
          <w:trHeight w:val="214"/>
        </w:trPr>
        <w:tc>
          <w:tcPr>
            <w:tcW w:w="3320" w:type="dxa"/>
            <w:vAlign w:val="bottom"/>
            <w:gridSpan w:val="3"/>
          </w:tcPr>
          <w:p>
            <w:pPr>
              <w:ind w:left="220"/>
              <w:spacing w:after="0"/>
              <w:rPr>
                <w:sz w:val="20"/>
                <w:szCs w:val="20"/>
                <w:color w:val="auto"/>
              </w:rPr>
            </w:pPr>
            <w:r>
              <w:rPr>
                <w:rFonts w:ascii="Arial" w:cs="Arial" w:eastAsia="Arial" w:hAnsi="Arial"/>
                <w:sz w:val="18"/>
                <w:szCs w:val="18"/>
                <w:color w:val="auto"/>
              </w:rPr>
              <w:t>Total unrealized loss position</w:t>
            </w:r>
          </w:p>
        </w:tc>
        <w:tc>
          <w:tcPr>
            <w:tcW w:w="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433,595</w:t>
            </w:r>
          </w:p>
        </w:tc>
        <w:tc>
          <w:tcPr>
            <w:tcW w:w="1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2,994</w:t>
            </w:r>
          </w:p>
        </w:tc>
        <w:tc>
          <w:tcPr>
            <w:tcW w:w="1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93,913</w:t>
            </w:r>
          </w:p>
        </w:tc>
        <w:tc>
          <w:tcPr>
            <w:tcW w:w="1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7,039</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527,508</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10,033</w:t>
            </w:r>
          </w:p>
        </w:tc>
        <w:tc>
          <w:tcPr>
            <w:tcW w:w="0" w:type="dxa"/>
            <w:vAlign w:val="bottom"/>
          </w:tcPr>
          <w:p>
            <w:pPr>
              <w:spacing w:after="0"/>
              <w:rPr>
                <w:sz w:val="1"/>
                <w:szCs w:val="1"/>
                <w:color w:val="auto"/>
              </w:rPr>
            </w:pPr>
          </w:p>
        </w:tc>
      </w:tr>
      <w:tr>
        <w:trPr>
          <w:trHeight w:val="20"/>
        </w:trPr>
        <w:tc>
          <w:tcPr>
            <w:tcW w:w="3320" w:type="dxa"/>
            <w:vAlign w:val="bottom"/>
            <w:gridSpan w:val="3"/>
            <w:vMerge w:val="restart"/>
          </w:tcPr>
          <w:p>
            <w:pPr>
              <w:spacing w:after="0"/>
              <w:rPr>
                <w:sz w:val="20"/>
                <w:szCs w:val="20"/>
                <w:color w:val="auto"/>
              </w:rPr>
            </w:pPr>
            <w:r>
              <w:rPr>
                <w:rFonts w:ascii="Arial" w:cs="Arial" w:eastAsia="Arial" w:hAnsi="Arial"/>
                <w:sz w:val="18"/>
                <w:szCs w:val="18"/>
                <w:color w:val="auto"/>
              </w:rPr>
              <w:t>As of June 30, 2012</w:t>
            </w: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09"/>
        </w:trPr>
        <w:tc>
          <w:tcPr>
            <w:tcW w:w="3320" w:type="dxa"/>
            <w:vAlign w:val="bottom"/>
            <w:gridSpan w:val="3"/>
            <w:vMerge w:val="continue"/>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440" w:type="dxa"/>
            <w:vAlign w:val="bottom"/>
            <w:shd w:val="clear" w:color="auto" w:fill="000000"/>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5"/>
        </w:trPr>
        <w:tc>
          <w:tcPr>
            <w:tcW w:w="3320" w:type="dxa"/>
            <w:vAlign w:val="bottom"/>
            <w:gridSpan w:val="3"/>
          </w:tcPr>
          <w:p>
            <w:pPr>
              <w:spacing w:after="0"/>
              <w:rPr>
                <w:sz w:val="20"/>
                <w:szCs w:val="20"/>
                <w:color w:val="auto"/>
              </w:rPr>
            </w:pPr>
            <w:r>
              <w:rPr>
                <w:rFonts w:ascii="Arial" w:cs="Arial" w:eastAsia="Arial" w:hAnsi="Arial"/>
                <w:sz w:val="18"/>
                <w:szCs w:val="18"/>
                <w:color w:val="auto"/>
              </w:rPr>
              <w:t>State and political subdivisions</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5,696</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3</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11</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5,707</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4"/>
        </w:trPr>
        <w:tc>
          <w:tcPr>
            <w:tcW w:w="3320" w:type="dxa"/>
            <w:vAlign w:val="bottom"/>
            <w:gridSpan w:val="3"/>
          </w:tcPr>
          <w:p>
            <w:pPr>
              <w:spacing w:after="0"/>
              <w:rPr>
                <w:sz w:val="20"/>
                <w:szCs w:val="20"/>
                <w:color w:val="auto"/>
              </w:rPr>
            </w:pPr>
            <w:r>
              <w:rPr>
                <w:rFonts w:ascii="Arial" w:cs="Arial" w:eastAsia="Arial" w:hAnsi="Arial"/>
                <w:sz w:val="18"/>
                <w:szCs w:val="18"/>
                <w:color w:val="auto"/>
              </w:rPr>
              <w:t>Mortgage-backed securities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104,644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332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19,436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124,080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339</w:t>
            </w:r>
          </w:p>
        </w:tc>
        <w:tc>
          <w:tcPr>
            <w:tcW w:w="0" w:type="dxa"/>
            <w:vAlign w:val="bottom"/>
          </w:tcPr>
          <w:p>
            <w:pPr>
              <w:spacing w:after="0"/>
              <w:rPr>
                <w:sz w:val="1"/>
                <w:szCs w:val="1"/>
                <w:color w:val="auto"/>
              </w:rPr>
            </w:pPr>
          </w:p>
        </w:tc>
      </w:tr>
      <w:tr>
        <w:trPr>
          <w:trHeight w:val="214"/>
        </w:trPr>
        <w:tc>
          <w:tcPr>
            <w:tcW w:w="3320" w:type="dxa"/>
            <w:vAlign w:val="bottom"/>
            <w:gridSpan w:val="3"/>
          </w:tcPr>
          <w:p>
            <w:pPr>
              <w:spacing w:after="0"/>
              <w:rPr>
                <w:sz w:val="20"/>
                <w:szCs w:val="20"/>
                <w:color w:val="auto"/>
              </w:rPr>
            </w:pPr>
            <w:r>
              <w:rPr>
                <w:rFonts w:ascii="Arial" w:cs="Arial" w:eastAsia="Arial" w:hAnsi="Arial"/>
                <w:sz w:val="18"/>
                <w:szCs w:val="18"/>
                <w:color w:val="auto"/>
              </w:rPr>
              <w:t>Corporate bonds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16,500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3,500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93,488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5,660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109,988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9,160</w:t>
            </w:r>
          </w:p>
        </w:tc>
        <w:tc>
          <w:tcPr>
            <w:tcW w:w="0" w:type="dxa"/>
            <w:vAlign w:val="bottom"/>
          </w:tcPr>
          <w:p>
            <w:pPr>
              <w:spacing w:after="0"/>
              <w:rPr>
                <w:sz w:val="1"/>
                <w:szCs w:val="1"/>
                <w:color w:val="auto"/>
              </w:rPr>
            </w:pPr>
          </w:p>
        </w:tc>
      </w:tr>
      <w:tr>
        <w:trPr>
          <w:trHeight w:val="235"/>
        </w:trPr>
        <w:tc>
          <w:tcPr>
            <w:tcW w:w="3320" w:type="dxa"/>
            <w:vAlign w:val="bottom"/>
            <w:gridSpan w:val="3"/>
          </w:tcPr>
          <w:p>
            <w:pPr>
              <w:spacing w:after="0"/>
              <w:rPr>
                <w:sz w:val="20"/>
                <w:szCs w:val="20"/>
                <w:color w:val="auto"/>
              </w:rPr>
            </w:pPr>
            <w:r>
              <w:rPr>
                <w:rFonts w:ascii="Arial" w:cs="Arial" w:eastAsia="Arial" w:hAnsi="Arial"/>
                <w:sz w:val="18"/>
                <w:szCs w:val="18"/>
                <w:color w:val="auto"/>
              </w:rPr>
              <w:t>Asset-backed securities</w:t>
            </w:r>
          </w:p>
        </w:tc>
        <w:tc>
          <w:tcPr>
            <w:tcW w:w="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74,097</w:t>
            </w: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592</w:t>
            </w: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74,097</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592</w:t>
            </w:r>
          </w:p>
        </w:tc>
        <w:tc>
          <w:tcPr>
            <w:tcW w:w="0" w:type="dxa"/>
            <w:vAlign w:val="bottom"/>
          </w:tcPr>
          <w:p>
            <w:pPr>
              <w:spacing w:after="0"/>
              <w:rPr>
                <w:sz w:val="1"/>
                <w:szCs w:val="1"/>
                <w:color w:val="auto"/>
              </w:rPr>
            </w:pPr>
          </w:p>
        </w:tc>
      </w:tr>
      <w:tr>
        <w:trPr>
          <w:trHeight w:val="214"/>
        </w:trPr>
        <w:tc>
          <w:tcPr>
            <w:tcW w:w="3320" w:type="dxa"/>
            <w:vAlign w:val="bottom"/>
            <w:gridSpan w:val="3"/>
          </w:tcPr>
          <w:p>
            <w:pPr>
              <w:ind w:left="220"/>
              <w:spacing w:after="0"/>
              <w:rPr>
                <w:sz w:val="20"/>
                <w:szCs w:val="20"/>
                <w:color w:val="auto"/>
              </w:rPr>
            </w:pPr>
            <w:r>
              <w:rPr>
                <w:rFonts w:ascii="Arial" w:cs="Arial" w:eastAsia="Arial" w:hAnsi="Arial"/>
                <w:sz w:val="18"/>
                <w:szCs w:val="18"/>
                <w:color w:val="auto"/>
              </w:rPr>
              <w:t>Total unrealized loss position</w:t>
            </w: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200,937</w:t>
            </w:r>
          </w:p>
        </w:tc>
        <w:tc>
          <w:tcPr>
            <w:tcW w:w="1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4,427</w:t>
            </w:r>
          </w:p>
        </w:tc>
        <w:tc>
          <w:tcPr>
            <w:tcW w:w="1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112,935</w:t>
            </w:r>
          </w:p>
        </w:tc>
        <w:tc>
          <w:tcPr>
            <w:tcW w:w="1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5,671</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313,872</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10,098</w:t>
            </w:r>
          </w:p>
        </w:tc>
        <w:tc>
          <w:tcPr>
            <w:tcW w:w="0" w:type="dxa"/>
            <w:vAlign w:val="bottom"/>
          </w:tcPr>
          <w:p>
            <w:pPr>
              <w:spacing w:after="0"/>
              <w:rPr>
                <w:sz w:val="1"/>
                <w:szCs w:val="1"/>
                <w:color w:val="auto"/>
              </w:rPr>
            </w:pPr>
          </w:p>
        </w:tc>
      </w:tr>
      <w:tr>
        <w:trPr>
          <w:trHeight w:val="20"/>
        </w:trPr>
        <w:tc>
          <w:tcPr>
            <w:tcW w:w="14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At June 30, 2013, there were 111 available-for-sale securities and four held-to-maturity securities that were in an unrealized loss position. United does not intend to sell nor believes it will be required to sell securities in an unrealized loss position prior to the recovery of their amortized cost basis. Unrealized losses at June 30, 2013, December 31, 2012 and June 30, 2012 were primarily attributable to changes in interest rates, however the unrealized losses in corporate bonds also reflect downgrades in the underlying securities ratings since the time of acquisition. The bonds remain above investment grade and United does not consider them to be impaired.</w:t>
      </w:r>
    </w:p>
    <w:p>
      <w:pPr>
        <w:spacing w:after="0" w:line="21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Management evaluates securities for other-than-temporary impairment at least on a quarterly basis, and more frequently when economic or market concerns warrant such evaluation. Consideration is given to the length of time and the extent to which the fair value has been less than cost, the financial condition and near-term prospects of the issuer, among other factors. In analyzing an issuer’s financial condition, management considers whether the securities are issued by the federal government or its agencies, whether downgrades by bond rating agencies have occurred, and industry analysts’ reports. No impairment charges were recognized during the three or six months ended June 30, 2013 or 2012.</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13970</wp:posOffset>
            </wp:positionV>
            <wp:extent cx="724789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7890" cy="8255"/>
                    </a:xfrm>
                    <a:prstGeom prst="rect">
                      <a:avLst/>
                    </a:prstGeom>
                    <a:noFill/>
                  </pic:spPr>
                </pic:pic>
              </a:graphicData>
            </a:graphic>
          </wp:anchor>
        </w:drawing>
      </w:r>
    </w:p>
    <w:p>
      <w:pPr>
        <w:sectPr>
          <w:pgSz w:w="11900" w:h="16838" w:orient="portrait"/>
          <w:cols w:equalWidth="0" w:num="1">
            <w:col w:w="11420"/>
          </w:cols>
          <w:pgMar w:left="240" w:top="885" w:right="2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6"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color w:val="auto"/>
        </w:rPr>
        <w:t xml:space="preserve">The amortized cost and fair value of held-to-maturity and available-for-sale securities at June 30, 2013, by contractual maturity, are presented in the following table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60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400" w:type="dxa"/>
            <w:vAlign w:val="bottom"/>
            <w:tcBorders>
              <w:bottom w:val="single" w:sz="8" w:color="auto"/>
            </w:tcBorders>
            <w:gridSpan w:val="4"/>
          </w:tcPr>
          <w:p>
            <w:pPr>
              <w:jc w:val="right"/>
              <w:ind w:right="611"/>
              <w:spacing w:after="0"/>
              <w:rPr>
                <w:sz w:val="20"/>
                <w:szCs w:val="20"/>
                <w:color w:val="auto"/>
              </w:rPr>
            </w:pPr>
            <w:r>
              <w:rPr>
                <w:rFonts w:ascii="Arial" w:cs="Arial" w:eastAsia="Arial" w:hAnsi="Arial"/>
                <w:sz w:val="18"/>
                <w:szCs w:val="18"/>
                <w:b w:val="1"/>
                <w:bCs w:val="1"/>
                <w:color w:val="auto"/>
              </w:rPr>
              <w:t>Available-for-Sale</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440" w:type="dxa"/>
            <w:vAlign w:val="bottom"/>
            <w:tcBorders>
              <w:bottom w:val="single" w:sz="8" w:color="auto"/>
            </w:tcBorders>
            <w:gridSpan w:val="4"/>
          </w:tcPr>
          <w:p>
            <w:pPr>
              <w:jc w:val="right"/>
              <w:ind w:right="591"/>
              <w:spacing w:after="0"/>
              <w:rPr>
                <w:sz w:val="20"/>
                <w:szCs w:val="20"/>
                <w:color w:val="auto"/>
              </w:rPr>
            </w:pPr>
            <w:r>
              <w:rPr>
                <w:rFonts w:ascii="Arial" w:cs="Arial" w:eastAsia="Arial" w:hAnsi="Arial"/>
                <w:sz w:val="18"/>
                <w:szCs w:val="18"/>
                <w:b w:val="1"/>
                <w:bCs w:val="1"/>
                <w:color w:val="auto"/>
              </w:rPr>
              <w:t>Held-to-Maturity</w:t>
            </w:r>
          </w:p>
        </w:tc>
      </w:tr>
      <w:tr>
        <w:trPr>
          <w:trHeight w:val="196"/>
        </w:trPr>
        <w:tc>
          <w:tcPr>
            <w:tcW w:w="60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jc w:val="right"/>
              <w:ind w:right="171"/>
              <w:spacing w:after="0" w:line="196" w:lineRule="exact"/>
              <w:rPr>
                <w:sz w:val="20"/>
                <w:szCs w:val="20"/>
                <w:color w:val="auto"/>
              </w:rPr>
            </w:pPr>
            <w:r>
              <w:rPr>
                <w:rFonts w:ascii="Arial" w:cs="Arial" w:eastAsia="Arial" w:hAnsi="Arial"/>
                <w:sz w:val="18"/>
                <w:szCs w:val="18"/>
                <w:b w:val="1"/>
                <w:bCs w:val="1"/>
                <w:color w:val="auto"/>
                <w:w w:val="93"/>
              </w:rPr>
              <w:t>Amortized</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39"/>
        </w:trPr>
        <w:tc>
          <w:tcPr>
            <w:tcW w:w="6080" w:type="dxa"/>
            <w:vAlign w:val="bottom"/>
          </w:tcPr>
          <w:p>
            <w:pPr>
              <w:spacing w:after="0"/>
              <w:rPr>
                <w:sz w:val="20"/>
                <w:szCs w:val="20"/>
                <w:color w:val="auto"/>
              </w:rPr>
            </w:pPr>
          </w:p>
        </w:tc>
        <w:tc>
          <w:tcPr>
            <w:tcW w:w="12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1"/>
              </w:rPr>
              <w:t>Amortized Cost</w:t>
            </w: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211"/>
              <w:spacing w:after="0"/>
              <w:rPr>
                <w:sz w:val="20"/>
                <w:szCs w:val="20"/>
                <w:color w:val="auto"/>
              </w:rPr>
            </w:pPr>
            <w:r>
              <w:rPr>
                <w:rFonts w:ascii="Arial" w:cs="Arial" w:eastAsia="Arial" w:hAnsi="Arial"/>
                <w:sz w:val="18"/>
                <w:szCs w:val="18"/>
                <w:b w:val="1"/>
                <w:bCs w:val="1"/>
                <w:color w:val="auto"/>
                <w:w w:val="95"/>
              </w:rPr>
              <w:t>Fair Value</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11"/>
              <w:spacing w:after="0"/>
              <w:rPr>
                <w:sz w:val="20"/>
                <w:szCs w:val="20"/>
                <w:color w:val="auto"/>
              </w:rPr>
            </w:pPr>
            <w:r>
              <w:rPr>
                <w:rFonts w:ascii="Arial" w:cs="Arial" w:eastAsia="Arial" w:hAnsi="Arial"/>
                <w:sz w:val="18"/>
                <w:szCs w:val="18"/>
                <w:b w:val="1"/>
                <w:bCs w:val="1"/>
                <w:color w:val="auto"/>
              </w:rPr>
              <w:t>Cost</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171"/>
              <w:spacing w:after="0"/>
              <w:rPr>
                <w:sz w:val="20"/>
                <w:szCs w:val="20"/>
                <w:color w:val="auto"/>
              </w:rPr>
            </w:pPr>
            <w:r>
              <w:rPr>
                <w:rFonts w:ascii="Arial" w:cs="Arial" w:eastAsia="Arial" w:hAnsi="Arial"/>
                <w:sz w:val="18"/>
                <w:szCs w:val="18"/>
                <w:b w:val="1"/>
                <w:bCs w:val="1"/>
                <w:color w:val="auto"/>
                <w:w w:val="95"/>
              </w:rPr>
              <w:t>Fair Value</w:t>
            </w:r>
          </w:p>
        </w:tc>
      </w:tr>
      <w:tr>
        <w:trPr>
          <w:trHeight w:val="414"/>
        </w:trPr>
        <w:tc>
          <w:tcPr>
            <w:tcW w:w="6080" w:type="dxa"/>
            <w:vAlign w:val="bottom"/>
          </w:tcPr>
          <w:p>
            <w:pPr>
              <w:spacing w:after="0"/>
              <w:rPr>
                <w:sz w:val="20"/>
                <w:szCs w:val="20"/>
                <w:color w:val="auto"/>
              </w:rPr>
            </w:pPr>
            <w:r>
              <w:rPr>
                <w:rFonts w:ascii="Arial" w:cs="Arial" w:eastAsia="Arial" w:hAnsi="Arial"/>
                <w:sz w:val="18"/>
                <w:szCs w:val="18"/>
                <w:color w:val="auto"/>
              </w:rPr>
              <w:t>State and political subdivisions:</w:t>
            </w: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14"/>
        </w:trPr>
        <w:tc>
          <w:tcPr>
            <w:tcW w:w="6080" w:type="dxa"/>
            <w:vAlign w:val="bottom"/>
          </w:tcPr>
          <w:p>
            <w:pPr>
              <w:ind w:left="140"/>
              <w:spacing w:after="0"/>
              <w:rPr>
                <w:sz w:val="20"/>
                <w:szCs w:val="20"/>
                <w:color w:val="auto"/>
              </w:rPr>
            </w:pPr>
            <w:r>
              <w:rPr>
                <w:rFonts w:ascii="Arial" w:cs="Arial" w:eastAsia="Arial" w:hAnsi="Arial"/>
                <w:sz w:val="18"/>
                <w:szCs w:val="18"/>
                <w:color w:val="auto"/>
              </w:rPr>
              <w:t>Within 1 year</w:t>
            </w:r>
          </w:p>
        </w:tc>
        <w:tc>
          <w:tcPr>
            <w:tcW w:w="260" w:type="dxa"/>
            <w:vAlign w:val="bottom"/>
          </w:tcPr>
          <w:p>
            <w:pPr>
              <w:jc w:val="right"/>
              <w:ind w:right="102"/>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1,830</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1,868</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14"/>
        </w:trPr>
        <w:tc>
          <w:tcPr>
            <w:tcW w:w="6080" w:type="dxa"/>
            <w:vAlign w:val="bottom"/>
          </w:tcPr>
          <w:p>
            <w:pPr>
              <w:ind w:left="180"/>
              <w:spacing w:after="0"/>
              <w:rPr>
                <w:sz w:val="20"/>
                <w:szCs w:val="20"/>
                <w:color w:val="auto"/>
              </w:rPr>
            </w:pPr>
            <w:r>
              <w:rPr>
                <w:rFonts w:ascii="Arial" w:cs="Arial" w:eastAsia="Arial" w:hAnsi="Arial"/>
                <w:sz w:val="18"/>
                <w:szCs w:val="18"/>
                <w:color w:val="auto"/>
              </w:rPr>
              <w:t>1 to 5 years</w:t>
            </w:r>
          </w:p>
        </w:tc>
        <w:tc>
          <w:tcPr>
            <w:tcW w:w="260" w:type="dxa"/>
            <w:vAlign w:val="bottom"/>
          </w:tcPr>
          <w:p>
            <w:pPr>
              <w:spacing w:after="0"/>
              <w:rPr>
                <w:sz w:val="18"/>
                <w:szCs w:val="18"/>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14,572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15,460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10,860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11,724</w:t>
            </w:r>
          </w:p>
        </w:tc>
      </w:tr>
      <w:tr>
        <w:trPr>
          <w:trHeight w:val="214"/>
        </w:trPr>
        <w:tc>
          <w:tcPr>
            <w:tcW w:w="6080" w:type="dxa"/>
            <w:vAlign w:val="bottom"/>
          </w:tcPr>
          <w:p>
            <w:pPr>
              <w:ind w:left="180"/>
              <w:spacing w:after="0"/>
              <w:rPr>
                <w:sz w:val="20"/>
                <w:szCs w:val="20"/>
                <w:color w:val="auto"/>
              </w:rPr>
            </w:pPr>
            <w:r>
              <w:rPr>
                <w:rFonts w:ascii="Arial" w:cs="Arial" w:eastAsia="Arial" w:hAnsi="Arial"/>
                <w:sz w:val="18"/>
                <w:szCs w:val="18"/>
                <w:color w:val="auto"/>
              </w:rPr>
              <w:t>5 to 10 years</w:t>
            </w:r>
          </w:p>
        </w:tc>
        <w:tc>
          <w:tcPr>
            <w:tcW w:w="260" w:type="dxa"/>
            <w:vAlign w:val="bottom"/>
          </w:tcPr>
          <w:p>
            <w:pPr>
              <w:spacing w:after="0"/>
              <w:rPr>
                <w:sz w:val="18"/>
                <w:szCs w:val="18"/>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5,119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5,207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25,594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27,728</w:t>
            </w:r>
          </w:p>
        </w:tc>
      </w:tr>
      <w:tr>
        <w:trPr>
          <w:trHeight w:val="235"/>
        </w:trPr>
        <w:tc>
          <w:tcPr>
            <w:tcW w:w="6080" w:type="dxa"/>
            <w:vAlign w:val="bottom"/>
          </w:tcPr>
          <w:p>
            <w:pPr>
              <w:ind w:left="180"/>
              <w:spacing w:after="0"/>
              <w:rPr>
                <w:sz w:val="20"/>
                <w:szCs w:val="20"/>
                <w:color w:val="auto"/>
              </w:rPr>
            </w:pPr>
            <w:r>
              <w:rPr>
                <w:rFonts w:ascii="Arial" w:cs="Arial" w:eastAsia="Arial" w:hAnsi="Arial"/>
                <w:sz w:val="18"/>
                <w:szCs w:val="18"/>
                <w:color w:val="auto"/>
              </w:rPr>
              <w:t>More than 10 years</w:t>
            </w:r>
          </w:p>
        </w:tc>
        <w:tc>
          <w:tcPr>
            <w:tcW w:w="2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848</w:t>
            </w: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905</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15,303</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16,633</w:t>
            </w:r>
          </w:p>
        </w:tc>
      </w:tr>
      <w:tr>
        <w:trPr>
          <w:trHeight w:val="221"/>
        </w:trPr>
        <w:tc>
          <w:tcPr>
            <w:tcW w:w="60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22,369</w:t>
            </w: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23,440</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51,757</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56,085</w:t>
            </w:r>
          </w:p>
        </w:tc>
      </w:tr>
      <w:tr>
        <w:trPr>
          <w:trHeight w:val="414"/>
        </w:trPr>
        <w:tc>
          <w:tcPr>
            <w:tcW w:w="6080" w:type="dxa"/>
            <w:vAlign w:val="bottom"/>
          </w:tcPr>
          <w:p>
            <w:pPr>
              <w:spacing w:after="0"/>
              <w:rPr>
                <w:sz w:val="20"/>
                <w:szCs w:val="20"/>
                <w:color w:val="auto"/>
              </w:rPr>
            </w:pPr>
            <w:r>
              <w:rPr>
                <w:rFonts w:ascii="Arial" w:cs="Arial" w:eastAsia="Arial" w:hAnsi="Arial"/>
                <w:sz w:val="18"/>
                <w:szCs w:val="18"/>
                <w:color w:val="auto"/>
              </w:rPr>
              <w:t>Corporate bonds:</w:t>
            </w: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14"/>
        </w:trPr>
        <w:tc>
          <w:tcPr>
            <w:tcW w:w="6080" w:type="dxa"/>
            <w:vAlign w:val="bottom"/>
          </w:tcPr>
          <w:p>
            <w:pPr>
              <w:ind w:left="180"/>
              <w:spacing w:after="0"/>
              <w:rPr>
                <w:sz w:val="20"/>
                <w:szCs w:val="20"/>
                <w:color w:val="auto"/>
              </w:rPr>
            </w:pPr>
            <w:r>
              <w:rPr>
                <w:rFonts w:ascii="Arial" w:cs="Arial" w:eastAsia="Arial" w:hAnsi="Arial"/>
                <w:sz w:val="18"/>
                <w:szCs w:val="18"/>
                <w:color w:val="auto"/>
              </w:rPr>
              <w:t>1 to 5 years</w:t>
            </w:r>
          </w:p>
        </w:tc>
        <w:tc>
          <w:tcPr>
            <w:tcW w:w="260" w:type="dxa"/>
            <w:vAlign w:val="bottom"/>
          </w:tcPr>
          <w:p>
            <w:pPr>
              <w:spacing w:after="0"/>
              <w:rPr>
                <w:sz w:val="18"/>
                <w:szCs w:val="18"/>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38,183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38,451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14"/>
        </w:trPr>
        <w:tc>
          <w:tcPr>
            <w:tcW w:w="6080" w:type="dxa"/>
            <w:vAlign w:val="bottom"/>
          </w:tcPr>
          <w:p>
            <w:pPr>
              <w:ind w:left="180"/>
              <w:spacing w:after="0"/>
              <w:rPr>
                <w:sz w:val="20"/>
                <w:szCs w:val="20"/>
                <w:color w:val="auto"/>
              </w:rPr>
            </w:pPr>
            <w:r>
              <w:rPr>
                <w:rFonts w:ascii="Arial" w:cs="Arial" w:eastAsia="Arial" w:hAnsi="Arial"/>
                <w:sz w:val="18"/>
                <w:szCs w:val="18"/>
                <w:color w:val="auto"/>
              </w:rPr>
              <w:t>5 to 10 years</w:t>
            </w:r>
          </w:p>
        </w:tc>
        <w:tc>
          <w:tcPr>
            <w:tcW w:w="260" w:type="dxa"/>
            <w:vAlign w:val="bottom"/>
          </w:tcPr>
          <w:p>
            <w:pPr>
              <w:spacing w:after="0"/>
              <w:rPr>
                <w:sz w:val="18"/>
                <w:szCs w:val="18"/>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211,517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205,234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35"/>
        </w:trPr>
        <w:tc>
          <w:tcPr>
            <w:tcW w:w="6080" w:type="dxa"/>
            <w:vAlign w:val="bottom"/>
          </w:tcPr>
          <w:p>
            <w:pPr>
              <w:ind w:left="180"/>
              <w:spacing w:after="0"/>
              <w:rPr>
                <w:sz w:val="20"/>
                <w:szCs w:val="20"/>
                <w:color w:val="auto"/>
              </w:rPr>
            </w:pPr>
            <w:r>
              <w:rPr>
                <w:rFonts w:ascii="Arial" w:cs="Arial" w:eastAsia="Arial" w:hAnsi="Arial"/>
                <w:sz w:val="18"/>
                <w:szCs w:val="18"/>
                <w:color w:val="auto"/>
              </w:rPr>
              <w:t>More than 10 years</w:t>
            </w:r>
          </w:p>
        </w:tc>
        <w:tc>
          <w:tcPr>
            <w:tcW w:w="2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10,764</w:t>
            </w: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10,183</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r>
      <w:tr>
        <w:trPr>
          <w:trHeight w:val="221"/>
        </w:trPr>
        <w:tc>
          <w:tcPr>
            <w:tcW w:w="60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260,464</w:t>
            </w: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253,868</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r>
      <w:tr>
        <w:trPr>
          <w:trHeight w:val="414"/>
        </w:trPr>
        <w:tc>
          <w:tcPr>
            <w:tcW w:w="6080" w:type="dxa"/>
            <w:vAlign w:val="bottom"/>
          </w:tcPr>
          <w:p>
            <w:pPr>
              <w:spacing w:after="0"/>
              <w:rPr>
                <w:sz w:val="20"/>
                <w:szCs w:val="20"/>
                <w:color w:val="auto"/>
              </w:rPr>
            </w:pPr>
            <w:r>
              <w:rPr>
                <w:rFonts w:ascii="Arial" w:cs="Arial" w:eastAsia="Arial" w:hAnsi="Arial"/>
                <w:sz w:val="18"/>
                <w:szCs w:val="18"/>
                <w:color w:val="auto"/>
              </w:rPr>
              <w:t>Asset-backed securities:</w:t>
            </w: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14"/>
        </w:trPr>
        <w:tc>
          <w:tcPr>
            <w:tcW w:w="6080" w:type="dxa"/>
            <w:vAlign w:val="bottom"/>
          </w:tcPr>
          <w:p>
            <w:pPr>
              <w:ind w:left="180"/>
              <w:spacing w:after="0"/>
              <w:rPr>
                <w:sz w:val="20"/>
                <w:szCs w:val="20"/>
                <w:color w:val="auto"/>
              </w:rPr>
            </w:pPr>
            <w:r>
              <w:rPr>
                <w:rFonts w:ascii="Arial" w:cs="Arial" w:eastAsia="Arial" w:hAnsi="Arial"/>
                <w:sz w:val="18"/>
                <w:szCs w:val="18"/>
                <w:color w:val="auto"/>
              </w:rPr>
              <w:t>1 to 5 years</w:t>
            </w:r>
          </w:p>
        </w:tc>
        <w:tc>
          <w:tcPr>
            <w:tcW w:w="260" w:type="dxa"/>
            <w:vAlign w:val="bottom"/>
          </w:tcPr>
          <w:p>
            <w:pPr>
              <w:spacing w:after="0"/>
              <w:rPr>
                <w:sz w:val="18"/>
                <w:szCs w:val="18"/>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40,537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40,644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14"/>
        </w:trPr>
        <w:tc>
          <w:tcPr>
            <w:tcW w:w="6080" w:type="dxa"/>
            <w:vAlign w:val="bottom"/>
          </w:tcPr>
          <w:p>
            <w:pPr>
              <w:ind w:left="180"/>
              <w:spacing w:after="0"/>
              <w:rPr>
                <w:sz w:val="20"/>
                <w:szCs w:val="20"/>
                <w:color w:val="auto"/>
              </w:rPr>
            </w:pPr>
            <w:r>
              <w:rPr>
                <w:rFonts w:ascii="Arial" w:cs="Arial" w:eastAsia="Arial" w:hAnsi="Arial"/>
                <w:sz w:val="18"/>
                <w:szCs w:val="18"/>
                <w:color w:val="auto"/>
              </w:rPr>
              <w:t>5 to 10 years</w:t>
            </w:r>
          </w:p>
        </w:tc>
        <w:tc>
          <w:tcPr>
            <w:tcW w:w="260" w:type="dxa"/>
            <w:vAlign w:val="bottom"/>
          </w:tcPr>
          <w:p>
            <w:pPr>
              <w:spacing w:after="0"/>
              <w:rPr>
                <w:sz w:val="18"/>
                <w:szCs w:val="18"/>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153,281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155,038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35"/>
        </w:trPr>
        <w:tc>
          <w:tcPr>
            <w:tcW w:w="6080" w:type="dxa"/>
            <w:vAlign w:val="bottom"/>
          </w:tcPr>
          <w:p>
            <w:pPr>
              <w:ind w:left="180"/>
              <w:spacing w:after="0"/>
              <w:rPr>
                <w:sz w:val="20"/>
                <w:szCs w:val="20"/>
                <w:color w:val="auto"/>
              </w:rPr>
            </w:pPr>
            <w:r>
              <w:rPr>
                <w:rFonts w:ascii="Arial" w:cs="Arial" w:eastAsia="Arial" w:hAnsi="Arial"/>
                <w:sz w:val="18"/>
                <w:szCs w:val="18"/>
                <w:color w:val="auto"/>
              </w:rPr>
              <w:t>More than 10 years</w:t>
            </w:r>
          </w:p>
        </w:tc>
        <w:tc>
          <w:tcPr>
            <w:tcW w:w="2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48,872</w:t>
            </w: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49,162</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r>
      <w:tr>
        <w:trPr>
          <w:trHeight w:val="221"/>
        </w:trPr>
        <w:tc>
          <w:tcPr>
            <w:tcW w:w="60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242,690</w:t>
            </w: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244,844</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r>
      <w:tr>
        <w:trPr>
          <w:trHeight w:val="414"/>
        </w:trPr>
        <w:tc>
          <w:tcPr>
            <w:tcW w:w="6080" w:type="dxa"/>
            <w:vAlign w:val="bottom"/>
          </w:tcPr>
          <w:p>
            <w:pPr>
              <w:spacing w:after="0"/>
              <w:rPr>
                <w:sz w:val="20"/>
                <w:szCs w:val="20"/>
                <w:color w:val="auto"/>
              </w:rPr>
            </w:pPr>
            <w:r>
              <w:rPr>
                <w:rFonts w:ascii="Arial" w:cs="Arial" w:eastAsia="Arial" w:hAnsi="Arial"/>
                <w:sz w:val="18"/>
                <w:szCs w:val="18"/>
                <w:color w:val="auto"/>
              </w:rPr>
              <w:t>Other:</w:t>
            </w: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35"/>
        </w:trPr>
        <w:tc>
          <w:tcPr>
            <w:tcW w:w="6080" w:type="dxa"/>
            <w:vAlign w:val="bottom"/>
          </w:tcPr>
          <w:p>
            <w:pPr>
              <w:ind w:left="180"/>
              <w:spacing w:after="0"/>
              <w:rPr>
                <w:sz w:val="20"/>
                <w:szCs w:val="20"/>
                <w:color w:val="auto"/>
              </w:rPr>
            </w:pPr>
            <w:r>
              <w:rPr>
                <w:rFonts w:ascii="Arial" w:cs="Arial" w:eastAsia="Arial" w:hAnsi="Arial"/>
                <w:sz w:val="18"/>
                <w:szCs w:val="18"/>
                <w:color w:val="auto"/>
              </w:rPr>
              <w:t>More than 10 years</w:t>
            </w:r>
          </w:p>
        </w:tc>
        <w:tc>
          <w:tcPr>
            <w:tcW w:w="2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2,526</w:t>
            </w: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2,526</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r>
      <w:tr>
        <w:trPr>
          <w:trHeight w:val="221"/>
        </w:trPr>
        <w:tc>
          <w:tcPr>
            <w:tcW w:w="60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2,526</w:t>
            </w: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2,526</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r>
      <w:tr>
        <w:trPr>
          <w:trHeight w:val="414"/>
        </w:trPr>
        <w:tc>
          <w:tcPr>
            <w:tcW w:w="6080" w:type="dxa"/>
            <w:vAlign w:val="bottom"/>
          </w:tcPr>
          <w:p>
            <w:pPr>
              <w:spacing w:after="0"/>
              <w:rPr>
                <w:sz w:val="20"/>
                <w:szCs w:val="20"/>
                <w:color w:val="auto"/>
              </w:rPr>
            </w:pPr>
            <w:r>
              <w:rPr>
                <w:rFonts w:ascii="Arial" w:cs="Arial" w:eastAsia="Arial" w:hAnsi="Arial"/>
                <w:sz w:val="18"/>
                <w:szCs w:val="18"/>
                <w:color w:val="auto"/>
              </w:rPr>
              <w:t>Total securities other than mortgage-backed securities:</w:t>
            </w: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14"/>
        </w:trPr>
        <w:tc>
          <w:tcPr>
            <w:tcW w:w="6080" w:type="dxa"/>
            <w:vAlign w:val="bottom"/>
          </w:tcPr>
          <w:p>
            <w:pPr>
              <w:ind w:left="140"/>
              <w:spacing w:after="0"/>
              <w:rPr>
                <w:sz w:val="20"/>
                <w:szCs w:val="20"/>
                <w:color w:val="auto"/>
              </w:rPr>
            </w:pPr>
            <w:r>
              <w:rPr>
                <w:rFonts w:ascii="Arial" w:cs="Arial" w:eastAsia="Arial" w:hAnsi="Arial"/>
                <w:sz w:val="18"/>
                <w:szCs w:val="18"/>
                <w:color w:val="auto"/>
              </w:rPr>
              <w:t>Within 1 year</w:t>
            </w:r>
          </w:p>
        </w:tc>
        <w:tc>
          <w:tcPr>
            <w:tcW w:w="260" w:type="dxa"/>
            <w:vAlign w:val="bottom"/>
          </w:tcPr>
          <w:p>
            <w:pPr>
              <w:spacing w:after="0"/>
              <w:rPr>
                <w:sz w:val="18"/>
                <w:szCs w:val="18"/>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1,830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1,868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14"/>
        </w:trPr>
        <w:tc>
          <w:tcPr>
            <w:tcW w:w="6080" w:type="dxa"/>
            <w:vAlign w:val="bottom"/>
          </w:tcPr>
          <w:p>
            <w:pPr>
              <w:ind w:left="180"/>
              <w:spacing w:after="0"/>
              <w:rPr>
                <w:sz w:val="20"/>
                <w:szCs w:val="20"/>
                <w:color w:val="auto"/>
              </w:rPr>
            </w:pPr>
            <w:r>
              <w:rPr>
                <w:rFonts w:ascii="Arial" w:cs="Arial" w:eastAsia="Arial" w:hAnsi="Arial"/>
                <w:sz w:val="18"/>
                <w:szCs w:val="18"/>
                <w:color w:val="auto"/>
              </w:rPr>
              <w:t>1 to 5 years</w:t>
            </w:r>
          </w:p>
        </w:tc>
        <w:tc>
          <w:tcPr>
            <w:tcW w:w="260" w:type="dxa"/>
            <w:vAlign w:val="bottom"/>
          </w:tcPr>
          <w:p>
            <w:pPr>
              <w:spacing w:after="0"/>
              <w:rPr>
                <w:sz w:val="18"/>
                <w:szCs w:val="18"/>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93,292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94,555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10,860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11,724</w:t>
            </w:r>
          </w:p>
        </w:tc>
      </w:tr>
      <w:tr>
        <w:trPr>
          <w:trHeight w:val="214"/>
        </w:trPr>
        <w:tc>
          <w:tcPr>
            <w:tcW w:w="6080" w:type="dxa"/>
            <w:vAlign w:val="bottom"/>
          </w:tcPr>
          <w:p>
            <w:pPr>
              <w:ind w:left="180"/>
              <w:spacing w:after="0"/>
              <w:rPr>
                <w:sz w:val="20"/>
                <w:szCs w:val="20"/>
                <w:color w:val="auto"/>
              </w:rPr>
            </w:pPr>
            <w:r>
              <w:rPr>
                <w:rFonts w:ascii="Arial" w:cs="Arial" w:eastAsia="Arial" w:hAnsi="Arial"/>
                <w:sz w:val="18"/>
                <w:szCs w:val="18"/>
                <w:color w:val="auto"/>
              </w:rPr>
              <w:t>5 to 10 years</w:t>
            </w:r>
          </w:p>
        </w:tc>
        <w:tc>
          <w:tcPr>
            <w:tcW w:w="260" w:type="dxa"/>
            <w:vAlign w:val="bottom"/>
          </w:tcPr>
          <w:p>
            <w:pPr>
              <w:spacing w:after="0"/>
              <w:rPr>
                <w:sz w:val="18"/>
                <w:szCs w:val="18"/>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369,917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365,479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25,594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27,728</w:t>
            </w:r>
          </w:p>
        </w:tc>
      </w:tr>
      <w:tr>
        <w:trPr>
          <w:trHeight w:val="227"/>
        </w:trPr>
        <w:tc>
          <w:tcPr>
            <w:tcW w:w="6080" w:type="dxa"/>
            <w:vAlign w:val="bottom"/>
          </w:tcPr>
          <w:p>
            <w:pPr>
              <w:ind w:left="180"/>
              <w:spacing w:after="0"/>
              <w:rPr>
                <w:sz w:val="20"/>
                <w:szCs w:val="20"/>
                <w:color w:val="auto"/>
              </w:rPr>
            </w:pPr>
            <w:r>
              <w:rPr>
                <w:rFonts w:ascii="Arial" w:cs="Arial" w:eastAsia="Arial" w:hAnsi="Arial"/>
                <w:sz w:val="18"/>
                <w:szCs w:val="18"/>
                <w:color w:val="auto"/>
              </w:rPr>
              <w:t>More than 10 years</w:t>
            </w:r>
          </w:p>
        </w:tc>
        <w:tc>
          <w:tcPr>
            <w:tcW w:w="260" w:type="dxa"/>
            <w:vAlign w:val="bottom"/>
          </w:tcPr>
          <w:p>
            <w:pPr>
              <w:spacing w:after="0"/>
              <w:rPr>
                <w:sz w:val="19"/>
                <w:szCs w:val="19"/>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63,010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62,776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15,303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16,633</w:t>
            </w:r>
          </w:p>
        </w:tc>
      </w:tr>
      <w:tr>
        <w:trPr>
          <w:trHeight w:val="437"/>
        </w:trPr>
        <w:tc>
          <w:tcPr>
            <w:tcW w:w="6080" w:type="dxa"/>
            <w:vAlign w:val="bottom"/>
          </w:tcPr>
          <w:p>
            <w:pPr>
              <w:spacing w:after="0"/>
              <w:rPr>
                <w:sz w:val="20"/>
                <w:szCs w:val="20"/>
                <w:color w:val="auto"/>
              </w:rPr>
            </w:pPr>
            <w:r>
              <w:rPr>
                <w:rFonts w:ascii="Arial" w:cs="Arial" w:eastAsia="Arial" w:hAnsi="Arial"/>
                <w:sz w:val="18"/>
                <w:szCs w:val="18"/>
                <w:color w:val="auto"/>
              </w:rPr>
              <w:t>Mortgage-backed securities</w:t>
            </w:r>
          </w:p>
        </w:tc>
        <w:tc>
          <w:tcPr>
            <w:tcW w:w="2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1,410,189</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1,412,586</w:t>
            </w: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163,190</w:t>
            </w: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170,610</w:t>
            </w:r>
          </w:p>
        </w:tc>
      </w:tr>
      <w:tr>
        <w:trPr>
          <w:trHeight w:val="428"/>
        </w:trPr>
        <w:tc>
          <w:tcPr>
            <w:tcW w:w="6080" w:type="dxa"/>
            <w:vAlign w:val="bottom"/>
          </w:tcPr>
          <w:p>
            <w:pPr>
              <w:spacing w:after="0"/>
              <w:rPr>
                <w:sz w:val="24"/>
                <w:szCs w:val="24"/>
                <w:color w:val="auto"/>
              </w:rPr>
            </w:pPr>
          </w:p>
        </w:tc>
        <w:tc>
          <w:tcPr>
            <w:tcW w:w="260" w:type="dxa"/>
            <w:vAlign w:val="bottom"/>
          </w:tcPr>
          <w:p>
            <w:pPr>
              <w:jc w:val="right"/>
              <w:ind w:right="102"/>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1,938,238</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1,937,264</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214,947</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226,695</w:t>
            </w:r>
          </w:p>
        </w:tc>
      </w:tr>
      <w:tr>
        <w:trPr>
          <w:trHeight w:val="21"/>
        </w:trPr>
        <w:tc>
          <w:tcPr>
            <w:tcW w:w="60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227"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Expected maturities may differ from contractual maturities because issuers and borrowers may have the right to call or prepay obligations with or without call or prepayment penalties.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13970</wp:posOffset>
            </wp:positionV>
            <wp:extent cx="724789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7890" cy="8255"/>
                    </a:xfrm>
                    <a:prstGeom prst="rect">
                      <a:avLst/>
                    </a:prstGeom>
                    <a:noFill/>
                  </pic:spPr>
                </pic:pic>
              </a:graphicData>
            </a:graphic>
          </wp:anchor>
        </w:drawing>
      </w:r>
    </w:p>
    <w:p>
      <w:pPr>
        <w:sectPr>
          <w:pgSz w:w="11900" w:h="16838" w:orient="portrait"/>
          <w:cols w:equalWidth="0" w:num="1">
            <w:col w:w="11420"/>
          </w:cols>
          <w:pgMar w:left="240" w:top="912" w:right="2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Loans and Allowance for Loan Losses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Major classifications of loans as of June 30, 2013, December 31, 2012 and June 30, 2012, are summarized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18" w:lineRule="exact"/>
        <w:rPr>
          <w:sz w:val="20"/>
          <w:szCs w:val="20"/>
          <w:color w:val="auto"/>
        </w:rPr>
      </w:pPr>
    </w:p>
    <w:tbl>
      <w:tblPr>
        <w:tblLayout w:type="fixed"/>
        <w:tblInd w:w="580" w:type="dxa"/>
        <w:tblCellMar>
          <w:top w:w="0" w:type="dxa"/>
          <w:left w:w="0" w:type="dxa"/>
          <w:bottom w:w="0" w:type="dxa"/>
          <w:right w:w="0" w:type="dxa"/>
        </w:tblCellMar>
      </w:tblPr>
      <w:tr>
        <w:trPr>
          <w:trHeight w:val="214"/>
        </w:trPr>
        <w:tc>
          <w:tcPr>
            <w:tcW w:w="6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ind w:right="271"/>
              <w:spacing w:after="0"/>
              <w:rPr>
                <w:sz w:val="20"/>
                <w:szCs w:val="20"/>
                <w:color w:val="auto"/>
              </w:rPr>
            </w:pPr>
            <w:r>
              <w:rPr>
                <w:rFonts w:ascii="Arial" w:cs="Arial" w:eastAsia="Arial" w:hAnsi="Arial"/>
                <w:sz w:val="18"/>
                <w:szCs w:val="18"/>
                <w:b w:val="1"/>
                <w:bCs w:val="1"/>
                <w:color w:val="auto"/>
                <w:w w:val="97"/>
              </w:rPr>
              <w:t>June 30,</w:t>
            </w:r>
          </w:p>
        </w:tc>
        <w:tc>
          <w:tcPr>
            <w:tcW w:w="100" w:type="dxa"/>
            <w:vAlign w:val="bottom"/>
          </w:tcPr>
          <w:p>
            <w:pPr>
              <w:spacing w:after="0"/>
              <w:rPr>
                <w:sz w:val="18"/>
                <w:szCs w:val="18"/>
                <w:color w:val="auto"/>
              </w:rPr>
            </w:pPr>
          </w:p>
        </w:tc>
        <w:tc>
          <w:tcPr>
            <w:tcW w:w="1260" w:type="dxa"/>
            <w:vAlign w:val="bottom"/>
            <w:gridSpan w:val="2"/>
          </w:tcPr>
          <w:p>
            <w:pPr>
              <w:jc w:val="right"/>
              <w:ind w:right="71"/>
              <w:spacing w:after="0"/>
              <w:rPr>
                <w:sz w:val="20"/>
                <w:szCs w:val="20"/>
                <w:color w:val="auto"/>
              </w:rPr>
            </w:pPr>
            <w:r>
              <w:rPr>
                <w:rFonts w:ascii="Arial" w:cs="Arial" w:eastAsia="Arial" w:hAnsi="Arial"/>
                <w:sz w:val="18"/>
                <w:szCs w:val="18"/>
                <w:b w:val="1"/>
                <w:bCs w:val="1"/>
                <w:color w:val="auto"/>
                <w:w w:val="92"/>
              </w:rPr>
              <w:t>December 31,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ind w:right="271"/>
              <w:spacing w:after="0"/>
              <w:rPr>
                <w:sz w:val="20"/>
                <w:szCs w:val="20"/>
                <w:color w:val="auto"/>
              </w:rPr>
            </w:pPr>
            <w:r>
              <w:rPr>
                <w:rFonts w:ascii="Arial" w:cs="Arial" w:eastAsia="Arial" w:hAnsi="Arial"/>
                <w:sz w:val="18"/>
                <w:szCs w:val="18"/>
                <w:b w:val="1"/>
                <w:bCs w:val="1"/>
                <w:color w:val="auto"/>
                <w:w w:val="97"/>
              </w:rPr>
              <w:t>June 30,</w:t>
            </w:r>
          </w:p>
        </w:tc>
      </w:tr>
      <w:tr>
        <w:trPr>
          <w:trHeight w:val="239"/>
        </w:trPr>
        <w:tc>
          <w:tcPr>
            <w:tcW w:w="63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11"/>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411"/>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11"/>
              <w:spacing w:after="0"/>
              <w:rPr>
                <w:sz w:val="20"/>
                <w:szCs w:val="20"/>
                <w:color w:val="auto"/>
              </w:rPr>
            </w:pPr>
            <w:r>
              <w:rPr>
                <w:rFonts w:ascii="Arial" w:cs="Arial" w:eastAsia="Arial" w:hAnsi="Arial"/>
                <w:sz w:val="18"/>
                <w:szCs w:val="18"/>
                <w:b w:val="1"/>
                <w:bCs w:val="1"/>
                <w:color w:val="auto"/>
              </w:rPr>
              <w:t>2012</w:t>
            </w:r>
          </w:p>
        </w:tc>
      </w:tr>
      <w:tr>
        <w:trPr>
          <w:trHeight w:val="414"/>
        </w:trPr>
        <w:tc>
          <w:tcPr>
            <w:tcW w:w="6320" w:type="dxa"/>
            <w:vAlign w:val="bottom"/>
          </w:tcPr>
          <w:p>
            <w:pPr>
              <w:spacing w:after="0"/>
              <w:rPr>
                <w:sz w:val="20"/>
                <w:szCs w:val="20"/>
                <w:color w:val="auto"/>
              </w:rPr>
            </w:pPr>
            <w:r>
              <w:rPr>
                <w:rFonts w:ascii="Arial" w:cs="Arial" w:eastAsia="Arial" w:hAnsi="Arial"/>
                <w:sz w:val="18"/>
                <w:szCs w:val="18"/>
                <w:color w:val="auto"/>
              </w:rPr>
              <w:t>Commercial (secured by real estate)</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1,748,145</w:t>
            </w:r>
          </w:p>
        </w:tc>
        <w:tc>
          <w:tcPr>
            <w:tcW w:w="340" w:type="dxa"/>
            <w:vAlign w:val="bottom"/>
            <w:gridSpan w:val="2"/>
          </w:tcPr>
          <w:p>
            <w:pPr>
              <w:jc w:val="right"/>
              <w:ind w:right="51"/>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1,813,365</w:t>
            </w:r>
          </w:p>
        </w:tc>
        <w:tc>
          <w:tcPr>
            <w:tcW w:w="2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1,836,477</w:t>
            </w:r>
          </w:p>
        </w:tc>
      </w:tr>
      <w:tr>
        <w:trPr>
          <w:trHeight w:val="214"/>
        </w:trPr>
        <w:tc>
          <w:tcPr>
            <w:tcW w:w="6320" w:type="dxa"/>
            <w:vAlign w:val="bottom"/>
          </w:tcPr>
          <w:p>
            <w:pPr>
              <w:spacing w:after="0"/>
              <w:rPr>
                <w:sz w:val="20"/>
                <w:szCs w:val="20"/>
                <w:color w:val="auto"/>
              </w:rPr>
            </w:pPr>
            <w:r>
              <w:rPr>
                <w:rFonts w:ascii="Arial" w:cs="Arial" w:eastAsia="Arial" w:hAnsi="Arial"/>
                <w:sz w:val="18"/>
                <w:szCs w:val="18"/>
                <w:color w:val="auto"/>
              </w:rPr>
              <w:t>Commercial &amp; industrial</w:t>
            </w:r>
          </w:p>
        </w:tc>
        <w:tc>
          <w:tcPr>
            <w:tcW w:w="160" w:type="dxa"/>
            <w:vAlign w:val="bottom"/>
          </w:tcPr>
          <w:p>
            <w:pPr>
              <w:spacing w:after="0"/>
              <w:rPr>
                <w:sz w:val="18"/>
                <w:szCs w:val="18"/>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436,988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458,246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450,222</w:t>
            </w:r>
          </w:p>
        </w:tc>
      </w:tr>
      <w:tr>
        <w:trPr>
          <w:trHeight w:val="235"/>
        </w:trPr>
        <w:tc>
          <w:tcPr>
            <w:tcW w:w="6320" w:type="dxa"/>
            <w:vAlign w:val="bottom"/>
          </w:tcPr>
          <w:p>
            <w:pPr>
              <w:spacing w:after="0"/>
              <w:rPr>
                <w:sz w:val="20"/>
                <w:szCs w:val="20"/>
                <w:color w:val="auto"/>
              </w:rPr>
            </w:pPr>
            <w:r>
              <w:rPr>
                <w:rFonts w:ascii="Arial" w:cs="Arial" w:eastAsia="Arial" w:hAnsi="Arial"/>
                <w:sz w:val="18"/>
                <w:szCs w:val="18"/>
                <w:color w:val="auto"/>
              </w:rPr>
              <w:t>Commercial construction</w:t>
            </w:r>
          </w:p>
        </w:tc>
        <w:tc>
          <w:tcPr>
            <w:tcW w:w="1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132,562</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154,769</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169,338</w:t>
            </w:r>
          </w:p>
        </w:tc>
      </w:tr>
      <w:tr>
        <w:trPr>
          <w:trHeight w:val="200"/>
        </w:trPr>
        <w:tc>
          <w:tcPr>
            <w:tcW w:w="6320" w:type="dxa"/>
            <w:vAlign w:val="bottom"/>
          </w:tcPr>
          <w:p>
            <w:pPr>
              <w:ind w:left="220"/>
              <w:spacing w:after="0" w:line="200" w:lineRule="exact"/>
              <w:rPr>
                <w:sz w:val="20"/>
                <w:szCs w:val="20"/>
                <w:color w:val="auto"/>
              </w:rPr>
            </w:pPr>
            <w:r>
              <w:rPr>
                <w:rFonts w:ascii="Arial" w:cs="Arial" w:eastAsia="Arial" w:hAnsi="Arial"/>
                <w:sz w:val="18"/>
                <w:szCs w:val="18"/>
                <w:color w:val="auto"/>
              </w:rPr>
              <w:t>Total commercial</w:t>
            </w:r>
          </w:p>
        </w:tc>
        <w:tc>
          <w:tcPr>
            <w:tcW w:w="160" w:type="dxa"/>
            <w:vAlign w:val="bottom"/>
          </w:tcPr>
          <w:p>
            <w:pPr>
              <w:spacing w:after="0"/>
              <w:rPr>
                <w:sz w:val="17"/>
                <w:szCs w:val="17"/>
                <w:color w:val="auto"/>
              </w:rPr>
            </w:pPr>
          </w:p>
        </w:tc>
        <w:tc>
          <w:tcPr>
            <w:tcW w:w="1080" w:type="dxa"/>
            <w:vAlign w:val="bottom"/>
          </w:tcPr>
          <w:p>
            <w:pPr>
              <w:jc w:val="right"/>
              <w:ind w:right="11"/>
              <w:spacing w:after="0" w:line="200" w:lineRule="exact"/>
              <w:rPr>
                <w:sz w:val="20"/>
                <w:szCs w:val="20"/>
                <w:color w:val="auto"/>
              </w:rPr>
            </w:pPr>
            <w:r>
              <w:rPr>
                <w:rFonts w:ascii="Arial" w:cs="Arial" w:eastAsia="Arial" w:hAnsi="Arial"/>
                <w:sz w:val="18"/>
                <w:szCs w:val="18"/>
                <w:color w:val="auto"/>
              </w:rPr>
              <w:t>2,317,695</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jc w:val="right"/>
              <w:ind w:right="31"/>
              <w:spacing w:after="0" w:line="200" w:lineRule="exact"/>
              <w:rPr>
                <w:sz w:val="20"/>
                <w:szCs w:val="20"/>
                <w:color w:val="auto"/>
              </w:rPr>
            </w:pPr>
            <w:r>
              <w:rPr>
                <w:rFonts w:ascii="Arial" w:cs="Arial" w:eastAsia="Arial" w:hAnsi="Arial"/>
                <w:sz w:val="18"/>
                <w:szCs w:val="18"/>
                <w:color w:val="auto"/>
              </w:rPr>
              <w:t>2,426,380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right"/>
              <w:ind w:right="11"/>
              <w:spacing w:after="0" w:line="200" w:lineRule="exact"/>
              <w:rPr>
                <w:sz w:val="20"/>
                <w:szCs w:val="20"/>
                <w:color w:val="auto"/>
              </w:rPr>
            </w:pPr>
            <w:r>
              <w:rPr>
                <w:rFonts w:ascii="Arial" w:cs="Arial" w:eastAsia="Arial" w:hAnsi="Arial"/>
                <w:sz w:val="18"/>
                <w:szCs w:val="18"/>
                <w:color w:val="auto"/>
              </w:rPr>
              <w:t>2,456,037</w:t>
            </w:r>
          </w:p>
        </w:tc>
      </w:tr>
      <w:tr>
        <w:trPr>
          <w:trHeight w:val="214"/>
        </w:trPr>
        <w:tc>
          <w:tcPr>
            <w:tcW w:w="6320" w:type="dxa"/>
            <w:vAlign w:val="bottom"/>
          </w:tcPr>
          <w:p>
            <w:pPr>
              <w:spacing w:after="0"/>
              <w:rPr>
                <w:sz w:val="20"/>
                <w:szCs w:val="20"/>
                <w:color w:val="auto"/>
              </w:rPr>
            </w:pPr>
            <w:r>
              <w:rPr>
                <w:rFonts w:ascii="Arial" w:cs="Arial" w:eastAsia="Arial" w:hAnsi="Arial"/>
                <w:sz w:val="18"/>
                <w:szCs w:val="18"/>
                <w:color w:val="auto"/>
              </w:rPr>
              <w:t>Residential mortgage</w:t>
            </w:r>
          </w:p>
        </w:tc>
        <w:tc>
          <w:tcPr>
            <w:tcW w:w="160" w:type="dxa"/>
            <w:vAlign w:val="bottom"/>
          </w:tcPr>
          <w:p>
            <w:pPr>
              <w:spacing w:after="0"/>
              <w:rPr>
                <w:sz w:val="18"/>
                <w:szCs w:val="18"/>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1,278,559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1,214,203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1,128,336</w:t>
            </w:r>
          </w:p>
        </w:tc>
      </w:tr>
      <w:tr>
        <w:trPr>
          <w:trHeight w:val="214"/>
        </w:trPr>
        <w:tc>
          <w:tcPr>
            <w:tcW w:w="6320" w:type="dxa"/>
            <w:vAlign w:val="bottom"/>
          </w:tcPr>
          <w:p>
            <w:pPr>
              <w:spacing w:after="0"/>
              <w:rPr>
                <w:sz w:val="20"/>
                <w:szCs w:val="20"/>
                <w:color w:val="auto"/>
              </w:rPr>
            </w:pPr>
            <w:r>
              <w:rPr>
                <w:rFonts w:ascii="Arial" w:cs="Arial" w:eastAsia="Arial" w:hAnsi="Arial"/>
                <w:sz w:val="18"/>
                <w:szCs w:val="18"/>
                <w:color w:val="auto"/>
              </w:rPr>
              <w:t>Residential construction</w:t>
            </w:r>
          </w:p>
        </w:tc>
        <w:tc>
          <w:tcPr>
            <w:tcW w:w="160" w:type="dxa"/>
            <w:vAlign w:val="bottom"/>
          </w:tcPr>
          <w:p>
            <w:pPr>
              <w:spacing w:after="0"/>
              <w:rPr>
                <w:sz w:val="18"/>
                <w:szCs w:val="18"/>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331,681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381,677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408,966</w:t>
            </w:r>
          </w:p>
        </w:tc>
      </w:tr>
      <w:tr>
        <w:trPr>
          <w:trHeight w:val="235"/>
        </w:trPr>
        <w:tc>
          <w:tcPr>
            <w:tcW w:w="6320" w:type="dxa"/>
            <w:vAlign w:val="bottom"/>
          </w:tcPr>
          <w:p>
            <w:pPr>
              <w:spacing w:after="0"/>
              <w:rPr>
                <w:sz w:val="20"/>
                <w:szCs w:val="20"/>
                <w:color w:val="auto"/>
              </w:rPr>
            </w:pPr>
            <w:r>
              <w:rPr>
                <w:rFonts w:ascii="Arial" w:cs="Arial" w:eastAsia="Arial" w:hAnsi="Arial"/>
                <w:sz w:val="18"/>
                <w:szCs w:val="18"/>
                <w:color w:val="auto"/>
              </w:rPr>
              <w:t>Consumer installment</w:t>
            </w:r>
          </w:p>
        </w:tc>
        <w:tc>
          <w:tcPr>
            <w:tcW w:w="1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261,433</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152,748</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125,896</w:t>
            </w:r>
          </w:p>
        </w:tc>
      </w:tr>
      <w:tr>
        <w:trPr>
          <w:trHeight w:val="427"/>
        </w:trPr>
        <w:tc>
          <w:tcPr>
            <w:tcW w:w="6320" w:type="dxa"/>
            <w:vAlign w:val="bottom"/>
          </w:tcPr>
          <w:p>
            <w:pPr>
              <w:ind w:left="140"/>
              <w:spacing w:after="0"/>
              <w:rPr>
                <w:sz w:val="20"/>
                <w:szCs w:val="20"/>
                <w:color w:val="auto"/>
              </w:rPr>
            </w:pPr>
            <w:r>
              <w:rPr>
                <w:rFonts w:ascii="Arial" w:cs="Arial" w:eastAsia="Arial" w:hAnsi="Arial"/>
                <w:sz w:val="18"/>
                <w:szCs w:val="18"/>
                <w:color w:val="auto"/>
              </w:rPr>
              <w:t>Total loans</w:t>
            </w:r>
          </w:p>
        </w:tc>
        <w:tc>
          <w:tcPr>
            <w:tcW w:w="160" w:type="dxa"/>
            <w:vAlign w:val="bottom"/>
          </w:tcPr>
          <w:p>
            <w:pPr>
              <w:spacing w:after="0"/>
              <w:rPr>
                <w:sz w:val="24"/>
                <w:szCs w:val="24"/>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4,189,368</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4,175,008</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4,119,235</w:t>
            </w:r>
          </w:p>
        </w:tc>
      </w:tr>
      <w:tr>
        <w:trPr>
          <w:trHeight w:val="437"/>
        </w:trPr>
        <w:tc>
          <w:tcPr>
            <w:tcW w:w="6320" w:type="dxa"/>
            <w:vAlign w:val="bottom"/>
          </w:tcPr>
          <w:p>
            <w:pPr>
              <w:spacing w:after="0"/>
              <w:rPr>
                <w:sz w:val="20"/>
                <w:szCs w:val="20"/>
                <w:color w:val="auto"/>
              </w:rPr>
            </w:pPr>
            <w:r>
              <w:rPr>
                <w:rFonts w:ascii="Arial" w:cs="Arial" w:eastAsia="Arial" w:hAnsi="Arial"/>
                <w:sz w:val="18"/>
                <w:szCs w:val="18"/>
                <w:color w:val="auto"/>
              </w:rPr>
              <w:t>Less allowance for loan losses</w:t>
            </w: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(81,845)</w:t>
            </w: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(107,137)</w:t>
            </w: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(112,705)</w:t>
            </w:r>
          </w:p>
        </w:tc>
      </w:tr>
      <w:tr>
        <w:trPr>
          <w:trHeight w:val="428"/>
        </w:trPr>
        <w:tc>
          <w:tcPr>
            <w:tcW w:w="6320" w:type="dxa"/>
            <w:vAlign w:val="bottom"/>
          </w:tcPr>
          <w:p>
            <w:pPr>
              <w:ind w:left="140"/>
              <w:spacing w:after="0"/>
              <w:rPr>
                <w:sz w:val="20"/>
                <w:szCs w:val="20"/>
                <w:color w:val="auto"/>
              </w:rPr>
            </w:pPr>
            <w:r>
              <w:rPr>
                <w:rFonts w:ascii="Arial" w:cs="Arial" w:eastAsia="Arial" w:hAnsi="Arial"/>
                <w:sz w:val="18"/>
                <w:szCs w:val="18"/>
                <w:color w:val="auto"/>
              </w:rPr>
              <w:t>Loans, net</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4,107,523</w:t>
            </w:r>
          </w:p>
        </w:tc>
        <w:tc>
          <w:tcPr>
            <w:tcW w:w="340" w:type="dxa"/>
            <w:vAlign w:val="bottom"/>
            <w:gridSpan w:val="2"/>
          </w:tcPr>
          <w:p>
            <w:pPr>
              <w:jc w:val="right"/>
              <w:ind w:right="51"/>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4,067,871</w:t>
            </w:r>
          </w:p>
        </w:tc>
        <w:tc>
          <w:tcPr>
            <w:tcW w:w="2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4,006,530</w:t>
            </w:r>
          </w:p>
        </w:tc>
      </w:tr>
      <w:tr>
        <w:trPr>
          <w:trHeight w:val="21"/>
        </w:trPr>
        <w:tc>
          <w:tcPr>
            <w:tcW w:w="6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bl>
    <w:p>
      <w:pPr>
        <w:spacing w:after="0" w:line="22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Bank makes loans and extends credit to individuals and a variety of firms and corporations located primarily in counties in north Georgia, the Atlanta, Georgia metropolitan statistical area, the Gainesville, Georgia metropolitan statistical area, coastal Georgia, western North Carolina, east Tennessee and the Greenville, South Carolina metropolitan statistical area. Although the Bank has a diversified loan portfolio, a substantial portion of its loan portfolio is collateralized by improved and unimproved real estate and is dependent upon the real estate market.</w:t>
      </w:r>
    </w:p>
    <w:p>
      <w:pPr>
        <w:spacing w:after="0" w:line="215" w:lineRule="exact"/>
        <w:rPr>
          <w:sz w:val="20"/>
          <w:szCs w:val="20"/>
          <w:color w:val="auto"/>
        </w:rPr>
      </w:pPr>
    </w:p>
    <w:p>
      <w:pPr>
        <w:spacing w:after="0"/>
        <w:rPr>
          <w:sz w:val="20"/>
          <w:szCs w:val="20"/>
          <w:color w:val="auto"/>
        </w:rPr>
      </w:pPr>
      <w:r>
        <w:rPr>
          <w:rFonts w:ascii="Arial" w:cs="Arial" w:eastAsia="Arial" w:hAnsi="Arial"/>
          <w:sz w:val="17"/>
          <w:szCs w:val="17"/>
          <w:color w:val="auto"/>
        </w:rPr>
        <w:t>Changes in the allowance for loan losses for the three and six months ended June 30, 2013 and 2012 are summarized as follows (</w:t>
      </w:r>
      <w:r>
        <w:rPr>
          <w:rFonts w:ascii="Arial" w:cs="Arial" w:eastAsia="Arial" w:hAnsi="Arial"/>
          <w:sz w:val="17"/>
          <w:szCs w:val="17"/>
          <w:i w:val="1"/>
          <w:iCs w:val="1"/>
          <w:color w:val="auto"/>
        </w:rPr>
        <w:t>in thousands).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42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20" w:type="dxa"/>
            <w:vAlign w:val="bottom"/>
            <w:gridSpan w:val="4"/>
          </w:tcPr>
          <w:p>
            <w:pPr>
              <w:jc w:val="right"/>
              <w:ind w:right="491"/>
              <w:spacing w:after="0"/>
              <w:rPr>
                <w:sz w:val="20"/>
                <w:szCs w:val="20"/>
                <w:color w:val="auto"/>
              </w:rPr>
            </w:pPr>
            <w:r>
              <w:rPr>
                <w:rFonts w:ascii="Arial" w:cs="Arial" w:eastAsia="Arial" w:hAnsi="Arial"/>
                <w:sz w:val="18"/>
                <w:szCs w:val="18"/>
                <w:b w:val="1"/>
                <w:bCs w:val="1"/>
                <w:color w:val="auto"/>
              </w:rPr>
              <w:t>Three Months Ended</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40" w:type="dxa"/>
            <w:vAlign w:val="bottom"/>
            <w:gridSpan w:val="4"/>
          </w:tcPr>
          <w:p>
            <w:pPr>
              <w:jc w:val="right"/>
              <w:ind w:right="551"/>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39"/>
        </w:trPr>
        <w:tc>
          <w:tcPr>
            <w:tcW w:w="422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3"/>
          </w:tcPr>
          <w:p>
            <w:pPr>
              <w:jc w:val="right"/>
              <w:ind w:right="11"/>
              <w:spacing w:after="0"/>
              <w:rPr>
                <w:sz w:val="20"/>
                <w:szCs w:val="20"/>
                <w:color w:val="auto"/>
              </w:rPr>
            </w:pPr>
            <w:r>
              <w:rPr>
                <w:rFonts w:ascii="Arial" w:cs="Arial" w:eastAsia="Arial" w:hAnsi="Arial"/>
                <w:sz w:val="18"/>
                <w:szCs w:val="18"/>
                <w:b w:val="1"/>
                <w:bCs w:val="1"/>
                <w:color w:val="auto"/>
              </w:rPr>
              <w:t>June 30,</w:t>
            </w:r>
          </w:p>
        </w:tc>
        <w:tc>
          <w:tcPr>
            <w:tcW w:w="9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9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422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11"/>
              <w:spacing w:after="0"/>
              <w:rPr>
                <w:sz w:val="20"/>
                <w:szCs w:val="20"/>
                <w:color w:val="auto"/>
              </w:rPr>
            </w:pPr>
            <w:r>
              <w:rPr>
                <w:rFonts w:ascii="Arial" w:cs="Arial" w:eastAsia="Arial" w:hAnsi="Arial"/>
                <w:sz w:val="18"/>
                <w:szCs w:val="18"/>
                <w:b w:val="1"/>
                <w:bCs w:val="1"/>
                <w:color w:val="auto"/>
              </w:rPr>
              <w:t>2013</w:t>
            </w:r>
          </w:p>
        </w:tc>
        <w:tc>
          <w:tcPr>
            <w:tcW w:w="1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31"/>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91"/>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411"/>
              <w:spacing w:after="0"/>
              <w:rPr>
                <w:sz w:val="20"/>
                <w:szCs w:val="20"/>
                <w:color w:val="auto"/>
              </w:rPr>
            </w:pPr>
            <w:r>
              <w:rPr>
                <w:rFonts w:ascii="Arial" w:cs="Arial" w:eastAsia="Arial" w:hAnsi="Arial"/>
                <w:sz w:val="18"/>
                <w:szCs w:val="18"/>
                <w:b w:val="1"/>
                <w:bCs w:val="1"/>
                <w:color w:val="auto"/>
              </w:rPr>
              <w:t>2012</w:t>
            </w:r>
          </w:p>
        </w:tc>
        <w:tc>
          <w:tcPr>
            <w:tcW w:w="0" w:type="dxa"/>
            <w:vAlign w:val="bottom"/>
          </w:tcPr>
          <w:p>
            <w:pPr>
              <w:spacing w:after="0"/>
              <w:rPr>
                <w:sz w:val="1"/>
                <w:szCs w:val="1"/>
                <w:color w:val="auto"/>
              </w:rPr>
            </w:pPr>
          </w:p>
        </w:tc>
      </w:tr>
      <w:tr>
        <w:trPr>
          <w:trHeight w:val="200"/>
        </w:trPr>
        <w:tc>
          <w:tcPr>
            <w:tcW w:w="4220" w:type="dxa"/>
            <w:vAlign w:val="bottom"/>
          </w:tcPr>
          <w:p>
            <w:pPr>
              <w:ind w:left="60"/>
              <w:spacing w:after="0" w:line="200" w:lineRule="exact"/>
              <w:rPr>
                <w:sz w:val="20"/>
                <w:szCs w:val="20"/>
                <w:color w:val="auto"/>
              </w:rPr>
            </w:pPr>
            <w:r>
              <w:rPr>
                <w:rFonts w:ascii="Arial" w:cs="Arial" w:eastAsia="Arial" w:hAnsi="Arial"/>
                <w:sz w:val="18"/>
                <w:szCs w:val="18"/>
                <w:color w:val="auto"/>
              </w:rPr>
              <w:t>Balance beginning of period</w:t>
            </w:r>
          </w:p>
        </w:tc>
        <w:tc>
          <w:tcPr>
            <w:tcW w:w="1860" w:type="dxa"/>
            <w:vAlign w:val="bottom"/>
          </w:tcPr>
          <w:p>
            <w:pPr>
              <w:spacing w:after="0"/>
              <w:rPr>
                <w:sz w:val="17"/>
                <w:szCs w:val="17"/>
                <w:color w:val="auto"/>
              </w:rPr>
            </w:pP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ind w:right="31"/>
              <w:spacing w:after="0" w:line="200" w:lineRule="exact"/>
              <w:rPr>
                <w:sz w:val="20"/>
                <w:szCs w:val="20"/>
                <w:color w:val="auto"/>
              </w:rPr>
            </w:pPr>
            <w:r>
              <w:rPr>
                <w:rFonts w:ascii="Arial" w:cs="Arial" w:eastAsia="Arial" w:hAnsi="Arial"/>
                <w:sz w:val="18"/>
                <w:szCs w:val="18"/>
                <w:color w:val="auto"/>
              </w:rPr>
              <w:t>105,753</w:t>
            </w:r>
          </w:p>
        </w:tc>
        <w:tc>
          <w:tcPr>
            <w:tcW w:w="120" w:type="dxa"/>
            <w:vAlign w:val="bottom"/>
          </w:tcPr>
          <w:p>
            <w:pPr>
              <w:spacing w:after="0"/>
              <w:rPr>
                <w:sz w:val="17"/>
                <w:szCs w:val="17"/>
                <w:color w:val="auto"/>
              </w:rPr>
            </w:pPr>
          </w:p>
        </w:tc>
        <w:tc>
          <w:tcPr>
            <w:tcW w:w="300" w:type="dxa"/>
            <w:vAlign w:val="bottom"/>
          </w:tcPr>
          <w:p>
            <w:pPr>
              <w:jc w:val="right"/>
              <w:ind w:right="111"/>
              <w:spacing w:after="0" w:line="200" w:lineRule="exact"/>
              <w:rPr>
                <w:sz w:val="20"/>
                <w:szCs w:val="20"/>
                <w:color w:val="auto"/>
              </w:rPr>
            </w:pPr>
            <w:r>
              <w:rPr>
                <w:rFonts w:ascii="Arial" w:cs="Arial" w:eastAsia="Arial" w:hAnsi="Arial"/>
                <w:sz w:val="18"/>
                <w:szCs w:val="18"/>
                <w:color w:val="auto"/>
                <w:w w:val="79"/>
              </w:rPr>
              <w:t>$</w:t>
            </w:r>
          </w:p>
        </w:tc>
        <w:tc>
          <w:tcPr>
            <w:tcW w:w="980" w:type="dxa"/>
            <w:vAlign w:val="bottom"/>
          </w:tcPr>
          <w:p>
            <w:pPr>
              <w:jc w:val="right"/>
              <w:ind w:right="31"/>
              <w:spacing w:after="0" w:line="200" w:lineRule="exact"/>
              <w:rPr>
                <w:sz w:val="20"/>
                <w:szCs w:val="20"/>
                <w:color w:val="auto"/>
              </w:rPr>
            </w:pPr>
            <w:r>
              <w:rPr>
                <w:rFonts w:ascii="Arial" w:cs="Arial" w:eastAsia="Arial" w:hAnsi="Arial"/>
                <w:sz w:val="18"/>
                <w:szCs w:val="18"/>
                <w:color w:val="auto"/>
              </w:rPr>
              <w:t>113,601</w:t>
            </w:r>
          </w:p>
        </w:tc>
        <w:tc>
          <w:tcPr>
            <w:tcW w:w="100" w:type="dxa"/>
            <w:vAlign w:val="bottom"/>
          </w:tcPr>
          <w:p>
            <w:pPr>
              <w:spacing w:after="0"/>
              <w:rPr>
                <w:sz w:val="17"/>
                <w:szCs w:val="17"/>
                <w:color w:val="auto"/>
              </w:rPr>
            </w:pPr>
          </w:p>
        </w:tc>
        <w:tc>
          <w:tcPr>
            <w:tcW w:w="240" w:type="dxa"/>
            <w:vAlign w:val="bottom"/>
          </w:tcPr>
          <w:p>
            <w:pPr>
              <w:jc w:val="right"/>
              <w:ind w:right="51"/>
              <w:spacing w:after="0" w:line="200" w:lineRule="exact"/>
              <w:rPr>
                <w:sz w:val="20"/>
                <w:szCs w:val="20"/>
                <w:color w:val="auto"/>
              </w:rPr>
            </w:pPr>
            <w:r>
              <w:rPr>
                <w:rFonts w:ascii="Arial" w:cs="Arial" w:eastAsia="Arial" w:hAnsi="Arial"/>
                <w:sz w:val="18"/>
                <w:szCs w:val="18"/>
                <w:color w:val="auto"/>
                <w:w w:val="79"/>
              </w:rPr>
              <w:t>$</w:t>
            </w:r>
          </w:p>
        </w:tc>
        <w:tc>
          <w:tcPr>
            <w:tcW w:w="1000" w:type="dxa"/>
            <w:vAlign w:val="bottom"/>
          </w:tcPr>
          <w:p>
            <w:pPr>
              <w:jc w:val="right"/>
              <w:ind w:right="11"/>
              <w:spacing w:after="0" w:line="200" w:lineRule="exact"/>
              <w:rPr>
                <w:sz w:val="20"/>
                <w:szCs w:val="20"/>
                <w:color w:val="auto"/>
              </w:rPr>
            </w:pPr>
            <w:r>
              <w:rPr>
                <w:rFonts w:ascii="Arial" w:cs="Arial" w:eastAsia="Arial" w:hAnsi="Arial"/>
                <w:sz w:val="18"/>
                <w:szCs w:val="18"/>
                <w:color w:val="auto"/>
              </w:rPr>
              <w:t>107,137</w:t>
            </w:r>
          </w:p>
        </w:tc>
        <w:tc>
          <w:tcPr>
            <w:tcW w:w="100" w:type="dxa"/>
            <w:vAlign w:val="bottom"/>
          </w:tcPr>
          <w:p>
            <w:pPr>
              <w:spacing w:after="0"/>
              <w:rPr>
                <w:sz w:val="17"/>
                <w:szCs w:val="17"/>
                <w:color w:val="auto"/>
              </w:rPr>
            </w:pPr>
          </w:p>
        </w:tc>
        <w:tc>
          <w:tcPr>
            <w:tcW w:w="300" w:type="dxa"/>
            <w:vAlign w:val="bottom"/>
          </w:tcPr>
          <w:p>
            <w:pPr>
              <w:jc w:val="right"/>
              <w:ind w:right="111"/>
              <w:spacing w:after="0" w:line="200" w:lineRule="exact"/>
              <w:rPr>
                <w:sz w:val="20"/>
                <w:szCs w:val="20"/>
                <w:color w:val="auto"/>
              </w:rPr>
            </w:pPr>
            <w:r>
              <w:rPr>
                <w:rFonts w:ascii="Arial" w:cs="Arial" w:eastAsia="Arial" w:hAnsi="Arial"/>
                <w:sz w:val="18"/>
                <w:szCs w:val="18"/>
                <w:color w:val="auto"/>
                <w:w w:val="79"/>
              </w:rPr>
              <w:t>$</w:t>
            </w:r>
          </w:p>
        </w:tc>
        <w:tc>
          <w:tcPr>
            <w:tcW w:w="940" w:type="dxa"/>
            <w:vAlign w:val="bottom"/>
          </w:tcPr>
          <w:p>
            <w:pPr>
              <w:jc w:val="right"/>
              <w:ind w:right="11"/>
              <w:spacing w:after="0" w:line="200" w:lineRule="exact"/>
              <w:rPr>
                <w:sz w:val="20"/>
                <w:szCs w:val="20"/>
                <w:color w:val="auto"/>
              </w:rPr>
            </w:pPr>
            <w:r>
              <w:rPr>
                <w:rFonts w:ascii="Arial" w:cs="Arial" w:eastAsia="Arial" w:hAnsi="Arial"/>
                <w:sz w:val="18"/>
                <w:szCs w:val="18"/>
                <w:color w:val="auto"/>
              </w:rPr>
              <w:t>114,468</w:t>
            </w:r>
          </w:p>
        </w:tc>
        <w:tc>
          <w:tcPr>
            <w:tcW w:w="0" w:type="dxa"/>
            <w:vAlign w:val="bottom"/>
          </w:tcPr>
          <w:p>
            <w:pPr>
              <w:spacing w:after="0"/>
              <w:rPr>
                <w:sz w:val="1"/>
                <w:szCs w:val="1"/>
                <w:color w:val="auto"/>
              </w:rPr>
            </w:pPr>
          </w:p>
        </w:tc>
      </w:tr>
      <w:tr>
        <w:trPr>
          <w:trHeight w:val="214"/>
        </w:trPr>
        <w:tc>
          <w:tcPr>
            <w:tcW w:w="4220" w:type="dxa"/>
            <w:vAlign w:val="bottom"/>
          </w:tcPr>
          <w:p>
            <w:pPr>
              <w:ind w:left="60"/>
              <w:spacing w:after="0"/>
              <w:rPr>
                <w:sz w:val="20"/>
                <w:szCs w:val="20"/>
                <w:color w:val="auto"/>
              </w:rPr>
            </w:pPr>
            <w:r>
              <w:rPr>
                <w:rFonts w:ascii="Arial" w:cs="Arial" w:eastAsia="Arial" w:hAnsi="Arial"/>
                <w:sz w:val="18"/>
                <w:szCs w:val="18"/>
                <w:color w:val="auto"/>
              </w:rPr>
              <w:t>Provision for loan losses</w:t>
            </w:r>
          </w:p>
        </w:tc>
        <w:tc>
          <w:tcPr>
            <w:tcW w:w="1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48,500</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18,000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59,500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33,000</w:t>
            </w:r>
          </w:p>
        </w:tc>
        <w:tc>
          <w:tcPr>
            <w:tcW w:w="0" w:type="dxa"/>
            <w:vAlign w:val="bottom"/>
          </w:tcPr>
          <w:p>
            <w:pPr>
              <w:spacing w:after="0"/>
              <w:rPr>
                <w:sz w:val="1"/>
                <w:szCs w:val="1"/>
                <w:color w:val="auto"/>
              </w:rPr>
            </w:pPr>
          </w:p>
        </w:tc>
      </w:tr>
      <w:tr>
        <w:trPr>
          <w:trHeight w:val="214"/>
        </w:trPr>
        <w:tc>
          <w:tcPr>
            <w:tcW w:w="4220" w:type="dxa"/>
            <w:vAlign w:val="bottom"/>
          </w:tcPr>
          <w:p>
            <w:pPr>
              <w:ind w:left="60"/>
              <w:spacing w:after="0"/>
              <w:rPr>
                <w:sz w:val="20"/>
                <w:szCs w:val="20"/>
                <w:color w:val="auto"/>
              </w:rPr>
            </w:pPr>
            <w:r>
              <w:rPr>
                <w:rFonts w:ascii="Arial" w:cs="Arial" w:eastAsia="Arial" w:hAnsi="Arial"/>
                <w:sz w:val="18"/>
                <w:szCs w:val="18"/>
                <w:color w:val="auto"/>
              </w:rPr>
              <w:t>Charge-offs:</w:t>
            </w:r>
          </w:p>
        </w:tc>
        <w:tc>
          <w:tcPr>
            <w:tcW w:w="1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220" w:type="dxa"/>
            <w:vAlign w:val="bottom"/>
          </w:tcPr>
          <w:p>
            <w:pPr>
              <w:ind w:left="240"/>
              <w:spacing w:after="0"/>
              <w:rPr>
                <w:sz w:val="20"/>
                <w:szCs w:val="20"/>
                <w:color w:val="auto"/>
              </w:rPr>
            </w:pPr>
            <w:r>
              <w:rPr>
                <w:rFonts w:ascii="Arial" w:cs="Arial" w:eastAsia="Arial" w:hAnsi="Arial"/>
                <w:sz w:val="18"/>
                <w:szCs w:val="18"/>
                <w:color w:val="auto"/>
              </w:rPr>
              <w:t>Commercial (secured by real estate)</w:t>
            </w:r>
          </w:p>
        </w:tc>
        <w:tc>
          <w:tcPr>
            <w:tcW w:w="1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26,740</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4,418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32,194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8,346</w:t>
            </w:r>
          </w:p>
        </w:tc>
        <w:tc>
          <w:tcPr>
            <w:tcW w:w="0" w:type="dxa"/>
            <w:vAlign w:val="bottom"/>
          </w:tcPr>
          <w:p>
            <w:pPr>
              <w:spacing w:after="0"/>
              <w:rPr>
                <w:sz w:val="1"/>
                <w:szCs w:val="1"/>
                <w:color w:val="auto"/>
              </w:rPr>
            </w:pPr>
          </w:p>
        </w:tc>
      </w:tr>
      <w:tr>
        <w:trPr>
          <w:trHeight w:val="214"/>
        </w:trPr>
        <w:tc>
          <w:tcPr>
            <w:tcW w:w="4220" w:type="dxa"/>
            <w:vAlign w:val="bottom"/>
          </w:tcPr>
          <w:p>
            <w:pPr>
              <w:ind w:left="240"/>
              <w:spacing w:after="0"/>
              <w:rPr>
                <w:sz w:val="20"/>
                <w:szCs w:val="20"/>
                <w:color w:val="auto"/>
              </w:rPr>
            </w:pPr>
            <w:r>
              <w:rPr>
                <w:rFonts w:ascii="Arial" w:cs="Arial" w:eastAsia="Arial" w:hAnsi="Arial"/>
                <w:sz w:val="18"/>
                <w:szCs w:val="18"/>
                <w:color w:val="auto"/>
              </w:rPr>
              <w:t>Commercial &amp; industrial</w:t>
            </w:r>
          </w:p>
        </w:tc>
        <w:tc>
          <w:tcPr>
            <w:tcW w:w="1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15,932</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888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17,755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1,644</w:t>
            </w:r>
          </w:p>
        </w:tc>
        <w:tc>
          <w:tcPr>
            <w:tcW w:w="0" w:type="dxa"/>
            <w:vAlign w:val="bottom"/>
          </w:tcPr>
          <w:p>
            <w:pPr>
              <w:spacing w:after="0"/>
              <w:rPr>
                <w:sz w:val="1"/>
                <w:szCs w:val="1"/>
                <w:color w:val="auto"/>
              </w:rPr>
            </w:pPr>
          </w:p>
        </w:tc>
      </w:tr>
      <w:tr>
        <w:trPr>
          <w:trHeight w:val="214"/>
        </w:trPr>
        <w:tc>
          <w:tcPr>
            <w:tcW w:w="4220" w:type="dxa"/>
            <w:vAlign w:val="bottom"/>
          </w:tcPr>
          <w:p>
            <w:pPr>
              <w:ind w:left="240"/>
              <w:spacing w:after="0"/>
              <w:rPr>
                <w:sz w:val="20"/>
                <w:szCs w:val="20"/>
                <w:color w:val="auto"/>
              </w:rPr>
            </w:pPr>
            <w:r>
              <w:rPr>
                <w:rFonts w:ascii="Arial" w:cs="Arial" w:eastAsia="Arial" w:hAnsi="Arial"/>
                <w:sz w:val="18"/>
                <w:szCs w:val="18"/>
                <w:color w:val="auto"/>
              </w:rPr>
              <w:t>Commercial construction</w:t>
            </w:r>
          </w:p>
        </w:tc>
        <w:tc>
          <w:tcPr>
            <w:tcW w:w="1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6,305</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88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6,350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452</w:t>
            </w:r>
          </w:p>
        </w:tc>
        <w:tc>
          <w:tcPr>
            <w:tcW w:w="0" w:type="dxa"/>
            <w:vAlign w:val="bottom"/>
          </w:tcPr>
          <w:p>
            <w:pPr>
              <w:spacing w:after="0"/>
              <w:rPr>
                <w:sz w:val="1"/>
                <w:szCs w:val="1"/>
                <w:color w:val="auto"/>
              </w:rPr>
            </w:pPr>
          </w:p>
        </w:tc>
      </w:tr>
      <w:tr>
        <w:trPr>
          <w:trHeight w:val="214"/>
        </w:trPr>
        <w:tc>
          <w:tcPr>
            <w:tcW w:w="4220" w:type="dxa"/>
            <w:vAlign w:val="bottom"/>
          </w:tcPr>
          <w:p>
            <w:pPr>
              <w:ind w:left="240"/>
              <w:spacing w:after="0"/>
              <w:rPr>
                <w:sz w:val="20"/>
                <w:szCs w:val="20"/>
                <w:color w:val="auto"/>
              </w:rPr>
            </w:pPr>
            <w:r>
              <w:rPr>
                <w:rFonts w:ascii="Arial" w:cs="Arial" w:eastAsia="Arial" w:hAnsi="Arial"/>
                <w:sz w:val="18"/>
                <w:szCs w:val="18"/>
                <w:color w:val="auto"/>
              </w:rPr>
              <w:t>Residential mortgage</w:t>
            </w:r>
          </w:p>
        </w:tc>
        <w:tc>
          <w:tcPr>
            <w:tcW w:w="1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6,718</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4,014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9,074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9,781</w:t>
            </w:r>
          </w:p>
        </w:tc>
        <w:tc>
          <w:tcPr>
            <w:tcW w:w="0" w:type="dxa"/>
            <w:vAlign w:val="bottom"/>
          </w:tcPr>
          <w:p>
            <w:pPr>
              <w:spacing w:after="0"/>
              <w:rPr>
                <w:sz w:val="1"/>
                <w:szCs w:val="1"/>
                <w:color w:val="auto"/>
              </w:rPr>
            </w:pPr>
          </w:p>
        </w:tc>
      </w:tr>
      <w:tr>
        <w:trPr>
          <w:trHeight w:val="214"/>
        </w:trPr>
        <w:tc>
          <w:tcPr>
            <w:tcW w:w="4220" w:type="dxa"/>
            <w:vAlign w:val="bottom"/>
          </w:tcPr>
          <w:p>
            <w:pPr>
              <w:ind w:left="240"/>
              <w:spacing w:after="0"/>
              <w:rPr>
                <w:sz w:val="20"/>
                <w:szCs w:val="20"/>
                <w:color w:val="auto"/>
              </w:rPr>
            </w:pPr>
            <w:r>
              <w:rPr>
                <w:rFonts w:ascii="Arial" w:cs="Arial" w:eastAsia="Arial" w:hAnsi="Arial"/>
                <w:sz w:val="18"/>
                <w:szCs w:val="18"/>
                <w:color w:val="auto"/>
              </w:rPr>
              <w:t>Residential construction</w:t>
            </w:r>
          </w:p>
        </w:tc>
        <w:tc>
          <w:tcPr>
            <w:tcW w:w="1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18,530</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9,846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21,512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15,475</w:t>
            </w:r>
          </w:p>
        </w:tc>
        <w:tc>
          <w:tcPr>
            <w:tcW w:w="0" w:type="dxa"/>
            <w:vAlign w:val="bottom"/>
          </w:tcPr>
          <w:p>
            <w:pPr>
              <w:spacing w:after="0"/>
              <w:rPr>
                <w:sz w:val="1"/>
                <w:szCs w:val="1"/>
                <w:color w:val="auto"/>
              </w:rPr>
            </w:pPr>
          </w:p>
        </w:tc>
      </w:tr>
      <w:tr>
        <w:trPr>
          <w:trHeight w:val="235"/>
        </w:trPr>
        <w:tc>
          <w:tcPr>
            <w:tcW w:w="4220" w:type="dxa"/>
            <w:vAlign w:val="bottom"/>
          </w:tcPr>
          <w:p>
            <w:pPr>
              <w:ind w:left="240"/>
              <w:spacing w:after="0"/>
              <w:rPr>
                <w:sz w:val="20"/>
                <w:szCs w:val="20"/>
                <w:color w:val="auto"/>
              </w:rPr>
            </w:pPr>
            <w:r>
              <w:rPr>
                <w:rFonts w:ascii="Arial" w:cs="Arial" w:eastAsia="Arial" w:hAnsi="Arial"/>
                <w:sz w:val="18"/>
                <w:szCs w:val="18"/>
                <w:color w:val="auto"/>
              </w:rPr>
              <w:t>Consumer installment</w:t>
            </w:r>
          </w:p>
        </w:tc>
        <w:tc>
          <w:tcPr>
            <w:tcW w:w="18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565</w:t>
            </w:r>
          </w:p>
        </w:tc>
        <w:tc>
          <w:tcPr>
            <w:tcW w:w="1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408</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1,272</w:t>
            </w: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1,161</w:t>
            </w:r>
          </w:p>
        </w:tc>
        <w:tc>
          <w:tcPr>
            <w:tcW w:w="0" w:type="dxa"/>
            <w:vAlign w:val="bottom"/>
          </w:tcPr>
          <w:p>
            <w:pPr>
              <w:spacing w:after="0"/>
              <w:rPr>
                <w:sz w:val="1"/>
                <w:szCs w:val="1"/>
                <w:color w:val="auto"/>
              </w:rPr>
            </w:pPr>
          </w:p>
        </w:tc>
      </w:tr>
      <w:tr>
        <w:trPr>
          <w:trHeight w:val="221"/>
        </w:trPr>
        <w:tc>
          <w:tcPr>
            <w:tcW w:w="4220" w:type="dxa"/>
            <w:vAlign w:val="bottom"/>
          </w:tcPr>
          <w:p>
            <w:pPr>
              <w:ind w:left="400"/>
              <w:spacing w:after="0"/>
              <w:rPr>
                <w:sz w:val="20"/>
                <w:szCs w:val="20"/>
                <w:color w:val="auto"/>
              </w:rPr>
            </w:pPr>
            <w:r>
              <w:rPr>
                <w:rFonts w:ascii="Arial" w:cs="Arial" w:eastAsia="Arial" w:hAnsi="Arial"/>
                <w:sz w:val="18"/>
                <w:szCs w:val="18"/>
                <w:color w:val="auto"/>
              </w:rPr>
              <w:t>Total loans charged-off</w:t>
            </w:r>
          </w:p>
        </w:tc>
        <w:tc>
          <w:tcPr>
            <w:tcW w:w="18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74,790</w:t>
            </w:r>
          </w:p>
        </w:tc>
        <w:tc>
          <w:tcPr>
            <w:tcW w:w="1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19,662</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88,157</w:t>
            </w: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36,859</w:t>
            </w:r>
          </w:p>
        </w:tc>
        <w:tc>
          <w:tcPr>
            <w:tcW w:w="0" w:type="dxa"/>
            <w:vAlign w:val="bottom"/>
          </w:tcPr>
          <w:p>
            <w:pPr>
              <w:spacing w:after="0"/>
              <w:rPr>
                <w:sz w:val="1"/>
                <w:szCs w:val="1"/>
                <w:color w:val="auto"/>
              </w:rPr>
            </w:pPr>
          </w:p>
        </w:tc>
      </w:tr>
      <w:tr>
        <w:trPr>
          <w:trHeight w:val="200"/>
        </w:trPr>
        <w:tc>
          <w:tcPr>
            <w:tcW w:w="4220" w:type="dxa"/>
            <w:vAlign w:val="bottom"/>
          </w:tcPr>
          <w:p>
            <w:pPr>
              <w:ind w:left="60"/>
              <w:spacing w:after="0" w:line="200" w:lineRule="exact"/>
              <w:rPr>
                <w:sz w:val="20"/>
                <w:szCs w:val="20"/>
                <w:color w:val="auto"/>
              </w:rPr>
            </w:pPr>
            <w:r>
              <w:rPr>
                <w:rFonts w:ascii="Arial" w:cs="Arial" w:eastAsia="Arial" w:hAnsi="Arial"/>
                <w:sz w:val="18"/>
                <w:szCs w:val="18"/>
                <w:color w:val="auto"/>
              </w:rPr>
              <w:t>Recoveries:</w:t>
            </w:r>
          </w:p>
        </w:tc>
        <w:tc>
          <w:tcPr>
            <w:tcW w:w="1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4220" w:type="dxa"/>
            <w:vAlign w:val="bottom"/>
          </w:tcPr>
          <w:p>
            <w:pPr>
              <w:ind w:left="240"/>
              <w:spacing w:after="0"/>
              <w:rPr>
                <w:sz w:val="20"/>
                <w:szCs w:val="20"/>
                <w:color w:val="auto"/>
              </w:rPr>
            </w:pPr>
            <w:r>
              <w:rPr>
                <w:rFonts w:ascii="Arial" w:cs="Arial" w:eastAsia="Arial" w:hAnsi="Arial"/>
                <w:sz w:val="18"/>
                <w:szCs w:val="18"/>
                <w:color w:val="auto"/>
              </w:rPr>
              <w:t>Commercial (secured by real estate)</w:t>
            </w:r>
          </w:p>
        </w:tc>
        <w:tc>
          <w:tcPr>
            <w:tcW w:w="1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1,274</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1,485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14"/>
        </w:trPr>
        <w:tc>
          <w:tcPr>
            <w:tcW w:w="4220" w:type="dxa"/>
            <w:vAlign w:val="bottom"/>
          </w:tcPr>
          <w:p>
            <w:pPr>
              <w:ind w:left="240"/>
              <w:spacing w:after="0"/>
              <w:rPr>
                <w:sz w:val="20"/>
                <w:szCs w:val="20"/>
                <w:color w:val="auto"/>
              </w:rPr>
            </w:pPr>
            <w:r>
              <w:rPr>
                <w:rFonts w:ascii="Arial" w:cs="Arial" w:eastAsia="Arial" w:hAnsi="Arial"/>
                <w:sz w:val="18"/>
                <w:szCs w:val="18"/>
                <w:color w:val="auto"/>
              </w:rPr>
              <w:t>Commercial &amp; industrial</w:t>
            </w:r>
          </w:p>
        </w:tc>
        <w:tc>
          <w:tcPr>
            <w:tcW w:w="1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356</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113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678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14"/>
        </w:trPr>
        <w:tc>
          <w:tcPr>
            <w:tcW w:w="4220" w:type="dxa"/>
            <w:vAlign w:val="bottom"/>
          </w:tcPr>
          <w:p>
            <w:pPr>
              <w:ind w:left="240"/>
              <w:spacing w:after="0"/>
              <w:rPr>
                <w:sz w:val="20"/>
                <w:szCs w:val="20"/>
                <w:color w:val="auto"/>
              </w:rPr>
            </w:pPr>
            <w:r>
              <w:rPr>
                <w:rFonts w:ascii="Arial" w:cs="Arial" w:eastAsia="Arial" w:hAnsi="Arial"/>
                <w:sz w:val="18"/>
                <w:szCs w:val="18"/>
                <w:color w:val="auto"/>
              </w:rPr>
              <w:t>Commercial construction</w:t>
            </w:r>
          </w:p>
        </w:tc>
        <w:tc>
          <w:tcPr>
            <w:tcW w:w="1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4"/>
        </w:trPr>
        <w:tc>
          <w:tcPr>
            <w:tcW w:w="4220" w:type="dxa"/>
            <w:vAlign w:val="bottom"/>
          </w:tcPr>
          <w:p>
            <w:pPr>
              <w:ind w:left="240"/>
              <w:spacing w:after="0"/>
              <w:rPr>
                <w:sz w:val="20"/>
                <w:szCs w:val="20"/>
                <w:color w:val="auto"/>
              </w:rPr>
            </w:pPr>
            <w:r>
              <w:rPr>
                <w:rFonts w:ascii="Arial" w:cs="Arial" w:eastAsia="Arial" w:hAnsi="Arial"/>
                <w:sz w:val="18"/>
                <w:szCs w:val="18"/>
                <w:color w:val="auto"/>
              </w:rPr>
              <w:t>Residential mortgage</w:t>
            </w:r>
          </w:p>
        </w:tc>
        <w:tc>
          <w:tcPr>
            <w:tcW w:w="1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209</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152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418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544</w:t>
            </w:r>
          </w:p>
        </w:tc>
        <w:tc>
          <w:tcPr>
            <w:tcW w:w="0" w:type="dxa"/>
            <w:vAlign w:val="bottom"/>
          </w:tcPr>
          <w:p>
            <w:pPr>
              <w:spacing w:after="0"/>
              <w:rPr>
                <w:sz w:val="1"/>
                <w:szCs w:val="1"/>
                <w:color w:val="auto"/>
              </w:rPr>
            </w:pPr>
          </w:p>
        </w:tc>
      </w:tr>
      <w:tr>
        <w:trPr>
          <w:trHeight w:val="214"/>
        </w:trPr>
        <w:tc>
          <w:tcPr>
            <w:tcW w:w="4220" w:type="dxa"/>
            <w:vAlign w:val="bottom"/>
          </w:tcPr>
          <w:p>
            <w:pPr>
              <w:ind w:left="240"/>
              <w:spacing w:after="0"/>
              <w:rPr>
                <w:sz w:val="20"/>
                <w:szCs w:val="20"/>
                <w:color w:val="auto"/>
              </w:rPr>
            </w:pPr>
            <w:r>
              <w:rPr>
                <w:rFonts w:ascii="Arial" w:cs="Arial" w:eastAsia="Arial" w:hAnsi="Arial"/>
                <w:sz w:val="18"/>
                <w:szCs w:val="18"/>
                <w:color w:val="auto"/>
              </w:rPr>
              <w:t>Residential construction</w:t>
            </w:r>
          </w:p>
        </w:tc>
        <w:tc>
          <w:tcPr>
            <w:tcW w:w="1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283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598</w:t>
            </w:r>
          </w:p>
        </w:tc>
        <w:tc>
          <w:tcPr>
            <w:tcW w:w="0" w:type="dxa"/>
            <w:vAlign w:val="bottom"/>
          </w:tcPr>
          <w:p>
            <w:pPr>
              <w:spacing w:after="0"/>
              <w:rPr>
                <w:sz w:val="1"/>
                <w:szCs w:val="1"/>
                <w:color w:val="auto"/>
              </w:rPr>
            </w:pPr>
          </w:p>
        </w:tc>
      </w:tr>
      <w:tr>
        <w:trPr>
          <w:trHeight w:val="235"/>
        </w:trPr>
        <w:tc>
          <w:tcPr>
            <w:tcW w:w="4220" w:type="dxa"/>
            <w:vAlign w:val="bottom"/>
          </w:tcPr>
          <w:p>
            <w:pPr>
              <w:ind w:left="240"/>
              <w:spacing w:after="0"/>
              <w:rPr>
                <w:sz w:val="20"/>
                <w:szCs w:val="20"/>
                <w:color w:val="auto"/>
              </w:rPr>
            </w:pPr>
            <w:r>
              <w:rPr>
                <w:rFonts w:ascii="Arial" w:cs="Arial" w:eastAsia="Arial" w:hAnsi="Arial"/>
                <w:sz w:val="18"/>
                <w:szCs w:val="18"/>
                <w:color w:val="auto"/>
              </w:rPr>
              <w:t>Consumer installment</w:t>
            </w:r>
          </w:p>
        </w:tc>
        <w:tc>
          <w:tcPr>
            <w:tcW w:w="18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509</w:t>
            </w:r>
          </w:p>
        </w:tc>
        <w:tc>
          <w:tcPr>
            <w:tcW w:w="1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149</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692</w:t>
            </w: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424</w:t>
            </w:r>
          </w:p>
        </w:tc>
        <w:tc>
          <w:tcPr>
            <w:tcW w:w="0" w:type="dxa"/>
            <w:vAlign w:val="bottom"/>
          </w:tcPr>
          <w:p>
            <w:pPr>
              <w:spacing w:after="0"/>
              <w:rPr>
                <w:sz w:val="1"/>
                <w:szCs w:val="1"/>
                <w:color w:val="auto"/>
              </w:rPr>
            </w:pPr>
          </w:p>
        </w:tc>
      </w:tr>
      <w:tr>
        <w:trPr>
          <w:trHeight w:val="221"/>
        </w:trPr>
        <w:tc>
          <w:tcPr>
            <w:tcW w:w="4220" w:type="dxa"/>
            <w:vAlign w:val="bottom"/>
          </w:tcPr>
          <w:p>
            <w:pPr>
              <w:ind w:left="400"/>
              <w:spacing w:after="0"/>
              <w:rPr>
                <w:sz w:val="20"/>
                <w:szCs w:val="20"/>
                <w:color w:val="auto"/>
              </w:rPr>
            </w:pPr>
            <w:r>
              <w:rPr>
                <w:rFonts w:ascii="Arial" w:cs="Arial" w:eastAsia="Arial" w:hAnsi="Arial"/>
                <w:sz w:val="18"/>
                <w:szCs w:val="18"/>
                <w:color w:val="auto"/>
              </w:rPr>
              <w:t>Total recoveries</w:t>
            </w:r>
          </w:p>
        </w:tc>
        <w:tc>
          <w:tcPr>
            <w:tcW w:w="18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2,382</w:t>
            </w:r>
          </w:p>
        </w:tc>
        <w:tc>
          <w:tcPr>
            <w:tcW w:w="1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766</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3,365</w:t>
            </w: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2,096</w:t>
            </w:r>
          </w:p>
        </w:tc>
        <w:tc>
          <w:tcPr>
            <w:tcW w:w="0" w:type="dxa"/>
            <w:vAlign w:val="bottom"/>
          </w:tcPr>
          <w:p>
            <w:pPr>
              <w:spacing w:after="0"/>
              <w:rPr>
                <w:sz w:val="1"/>
                <w:szCs w:val="1"/>
                <w:color w:val="auto"/>
              </w:rPr>
            </w:pPr>
          </w:p>
        </w:tc>
      </w:tr>
      <w:tr>
        <w:trPr>
          <w:trHeight w:val="221"/>
        </w:trPr>
        <w:tc>
          <w:tcPr>
            <w:tcW w:w="4220" w:type="dxa"/>
            <w:vAlign w:val="bottom"/>
          </w:tcPr>
          <w:p>
            <w:pPr>
              <w:ind w:left="400"/>
              <w:spacing w:after="0"/>
              <w:rPr>
                <w:sz w:val="20"/>
                <w:szCs w:val="20"/>
                <w:color w:val="auto"/>
              </w:rPr>
            </w:pPr>
            <w:r>
              <w:rPr>
                <w:rFonts w:ascii="Arial" w:cs="Arial" w:eastAsia="Arial" w:hAnsi="Arial"/>
                <w:sz w:val="18"/>
                <w:szCs w:val="18"/>
                <w:color w:val="auto"/>
              </w:rPr>
              <w:t>Net charge-offs</w:t>
            </w:r>
          </w:p>
        </w:tc>
        <w:tc>
          <w:tcPr>
            <w:tcW w:w="18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72,408</w:t>
            </w:r>
          </w:p>
        </w:tc>
        <w:tc>
          <w:tcPr>
            <w:tcW w:w="1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18,896</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84,792</w:t>
            </w: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34,763</w:t>
            </w:r>
          </w:p>
        </w:tc>
        <w:tc>
          <w:tcPr>
            <w:tcW w:w="0" w:type="dxa"/>
            <w:vAlign w:val="bottom"/>
          </w:tcPr>
          <w:p>
            <w:pPr>
              <w:spacing w:after="0"/>
              <w:rPr>
                <w:sz w:val="1"/>
                <w:szCs w:val="1"/>
                <w:color w:val="auto"/>
              </w:rPr>
            </w:pPr>
          </w:p>
        </w:tc>
      </w:tr>
      <w:tr>
        <w:trPr>
          <w:trHeight w:val="427"/>
        </w:trPr>
        <w:tc>
          <w:tcPr>
            <w:tcW w:w="4220" w:type="dxa"/>
            <w:vAlign w:val="bottom"/>
          </w:tcPr>
          <w:p>
            <w:pPr>
              <w:ind w:left="400"/>
              <w:spacing w:after="0"/>
              <w:rPr>
                <w:sz w:val="20"/>
                <w:szCs w:val="20"/>
                <w:color w:val="auto"/>
              </w:rPr>
            </w:pPr>
            <w:r>
              <w:rPr>
                <w:rFonts w:ascii="Arial" w:cs="Arial" w:eastAsia="Arial" w:hAnsi="Arial"/>
                <w:sz w:val="18"/>
                <w:szCs w:val="18"/>
                <w:color w:val="auto"/>
              </w:rPr>
              <w:t>Balance end of period</w:t>
            </w:r>
          </w:p>
        </w:tc>
        <w:tc>
          <w:tcPr>
            <w:tcW w:w="2100" w:type="dxa"/>
            <w:vAlign w:val="bottom"/>
            <w:gridSpan w:val="2"/>
          </w:tcPr>
          <w:p>
            <w:pPr>
              <w:jc w:val="right"/>
              <w:ind w:right="87"/>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81,845</w:t>
            </w:r>
          </w:p>
        </w:tc>
        <w:tc>
          <w:tcPr>
            <w:tcW w:w="420" w:type="dxa"/>
            <w:vAlign w:val="bottom"/>
            <w:gridSpan w:val="2"/>
          </w:tcPr>
          <w:p>
            <w:pPr>
              <w:jc w:val="right"/>
              <w:ind w:right="111"/>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112,705</w:t>
            </w:r>
          </w:p>
        </w:tc>
        <w:tc>
          <w:tcPr>
            <w:tcW w:w="340" w:type="dxa"/>
            <w:vAlign w:val="bottom"/>
            <w:gridSpan w:val="2"/>
          </w:tcPr>
          <w:p>
            <w:pPr>
              <w:jc w:val="right"/>
              <w:ind w:right="51"/>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81,845</w:t>
            </w:r>
          </w:p>
        </w:tc>
        <w:tc>
          <w:tcPr>
            <w:tcW w:w="400" w:type="dxa"/>
            <w:vAlign w:val="bottom"/>
            <w:gridSpan w:val="2"/>
          </w:tcPr>
          <w:p>
            <w:pPr>
              <w:jc w:val="right"/>
              <w:ind w:right="111"/>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112,705</w:t>
            </w:r>
          </w:p>
        </w:tc>
        <w:tc>
          <w:tcPr>
            <w:tcW w:w="0" w:type="dxa"/>
            <w:vAlign w:val="bottom"/>
          </w:tcPr>
          <w:p>
            <w:pPr>
              <w:spacing w:after="0"/>
              <w:rPr>
                <w:sz w:val="1"/>
                <w:szCs w:val="1"/>
                <w:color w:val="auto"/>
              </w:rPr>
            </w:pPr>
          </w:p>
        </w:tc>
      </w:tr>
      <w:tr>
        <w:trPr>
          <w:trHeight w:val="22"/>
        </w:trPr>
        <w:tc>
          <w:tcPr>
            <w:tcW w:w="4220" w:type="dxa"/>
            <w:vAlign w:val="bottom"/>
          </w:tcPr>
          <w:p>
            <w:pPr>
              <w:spacing w:after="0" w:line="20" w:lineRule="exact"/>
              <w:rPr>
                <w:sz w:val="1"/>
                <w:szCs w:val="1"/>
                <w:color w:val="auto"/>
              </w:rPr>
            </w:pPr>
          </w:p>
        </w:tc>
        <w:tc>
          <w:tcPr>
            <w:tcW w:w="1860" w:type="dxa"/>
            <w:vAlign w:val="bottom"/>
            <w:vMerge w:val="restart"/>
          </w:tcPr>
          <w:p>
            <w:pPr>
              <w:jc w:val="right"/>
              <w:ind w:right="191"/>
              <w:spacing w:after="0"/>
              <w:rPr>
                <w:sz w:val="20"/>
                <w:szCs w:val="20"/>
                <w:color w:val="auto"/>
              </w:rPr>
            </w:pPr>
            <w:r>
              <w:rPr>
                <w:rFonts w:ascii="Arial" w:cs="Arial" w:eastAsia="Arial" w:hAnsi="Arial"/>
                <w:sz w:val="18"/>
                <w:szCs w:val="18"/>
                <w:color w:val="auto"/>
              </w:rPr>
              <w:t>14</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36"/>
        </w:trPr>
        <w:tc>
          <w:tcPr>
            <w:tcW w:w="4220" w:type="dxa"/>
            <w:vAlign w:val="bottom"/>
            <w:tcBorders>
              <w:bottom w:val="single" w:sz="8" w:color="DCDCDC"/>
            </w:tcBorders>
          </w:tcPr>
          <w:p>
            <w:pPr>
              <w:spacing w:after="0"/>
              <w:rPr>
                <w:sz w:val="24"/>
                <w:szCs w:val="24"/>
                <w:color w:val="auto"/>
              </w:rPr>
            </w:pPr>
          </w:p>
        </w:tc>
        <w:tc>
          <w:tcPr>
            <w:tcW w:w="1860" w:type="dxa"/>
            <w:vAlign w:val="bottom"/>
            <w:tcBorders>
              <w:bottom w:val="single" w:sz="8" w:color="DCDCDC"/>
            </w:tcBorders>
            <w:vMerge w:val="continue"/>
          </w:tcPr>
          <w:p>
            <w:pPr>
              <w:spacing w:after="0"/>
              <w:rPr>
                <w:sz w:val="24"/>
                <w:szCs w:val="24"/>
                <w:color w:val="auto"/>
              </w:rPr>
            </w:pPr>
          </w:p>
        </w:tc>
        <w:tc>
          <w:tcPr>
            <w:tcW w:w="240" w:type="dxa"/>
            <w:vAlign w:val="bottom"/>
            <w:tcBorders>
              <w:bottom w:val="single" w:sz="8" w:color="DCDCDC"/>
            </w:tcBorders>
          </w:tcPr>
          <w:p>
            <w:pPr>
              <w:spacing w:after="0"/>
              <w:rPr>
                <w:sz w:val="24"/>
                <w:szCs w:val="24"/>
                <w:color w:val="auto"/>
              </w:rPr>
            </w:pPr>
          </w:p>
        </w:tc>
        <w:tc>
          <w:tcPr>
            <w:tcW w:w="1020" w:type="dxa"/>
            <w:vAlign w:val="bottom"/>
            <w:tcBorders>
              <w:bottom w:val="single" w:sz="8" w:color="DCDCDC"/>
            </w:tcBorders>
          </w:tcPr>
          <w:p>
            <w:pPr>
              <w:spacing w:after="0"/>
              <w:rPr>
                <w:sz w:val="24"/>
                <w:szCs w:val="24"/>
                <w:color w:val="auto"/>
              </w:rPr>
            </w:pPr>
          </w:p>
        </w:tc>
        <w:tc>
          <w:tcPr>
            <w:tcW w:w="120" w:type="dxa"/>
            <w:vAlign w:val="bottom"/>
            <w:tcBorders>
              <w:bottom w:val="single" w:sz="8" w:color="DCDCDC"/>
            </w:tcBorders>
          </w:tcPr>
          <w:p>
            <w:pPr>
              <w:spacing w:after="0"/>
              <w:rPr>
                <w:sz w:val="24"/>
                <w:szCs w:val="24"/>
                <w:color w:val="auto"/>
              </w:rPr>
            </w:pPr>
          </w:p>
        </w:tc>
        <w:tc>
          <w:tcPr>
            <w:tcW w:w="300" w:type="dxa"/>
            <w:vAlign w:val="bottom"/>
            <w:tcBorders>
              <w:bottom w:val="single" w:sz="8" w:color="DCDCDC"/>
            </w:tcBorders>
          </w:tcPr>
          <w:p>
            <w:pPr>
              <w:spacing w:after="0"/>
              <w:rPr>
                <w:sz w:val="24"/>
                <w:szCs w:val="24"/>
                <w:color w:val="auto"/>
              </w:rPr>
            </w:pPr>
          </w:p>
        </w:tc>
        <w:tc>
          <w:tcPr>
            <w:tcW w:w="980" w:type="dxa"/>
            <w:vAlign w:val="bottom"/>
            <w:tcBorders>
              <w:bottom w:val="single" w:sz="8" w:color="DCDCDC"/>
            </w:tcBorders>
          </w:tcPr>
          <w:p>
            <w:pPr>
              <w:spacing w:after="0"/>
              <w:rPr>
                <w:sz w:val="24"/>
                <w:szCs w:val="24"/>
                <w:color w:val="auto"/>
              </w:rPr>
            </w:pPr>
          </w:p>
        </w:tc>
        <w:tc>
          <w:tcPr>
            <w:tcW w:w="100" w:type="dxa"/>
            <w:vAlign w:val="bottom"/>
            <w:tcBorders>
              <w:bottom w:val="single" w:sz="8" w:color="DCDCDC"/>
            </w:tcBorders>
          </w:tcPr>
          <w:p>
            <w:pPr>
              <w:spacing w:after="0"/>
              <w:rPr>
                <w:sz w:val="24"/>
                <w:szCs w:val="24"/>
                <w:color w:val="auto"/>
              </w:rPr>
            </w:pPr>
          </w:p>
        </w:tc>
        <w:tc>
          <w:tcPr>
            <w:tcW w:w="240" w:type="dxa"/>
            <w:vAlign w:val="bottom"/>
            <w:tcBorders>
              <w:bottom w:val="single" w:sz="8" w:color="DCDCDC"/>
            </w:tcBorders>
          </w:tcPr>
          <w:p>
            <w:pPr>
              <w:spacing w:after="0"/>
              <w:rPr>
                <w:sz w:val="24"/>
                <w:szCs w:val="24"/>
                <w:color w:val="auto"/>
              </w:rPr>
            </w:pPr>
          </w:p>
        </w:tc>
        <w:tc>
          <w:tcPr>
            <w:tcW w:w="1000" w:type="dxa"/>
            <w:vAlign w:val="bottom"/>
            <w:tcBorders>
              <w:bottom w:val="single" w:sz="8" w:color="DCDCDC"/>
            </w:tcBorders>
          </w:tcPr>
          <w:p>
            <w:pPr>
              <w:spacing w:after="0"/>
              <w:rPr>
                <w:sz w:val="24"/>
                <w:szCs w:val="24"/>
                <w:color w:val="auto"/>
              </w:rPr>
            </w:pPr>
          </w:p>
        </w:tc>
        <w:tc>
          <w:tcPr>
            <w:tcW w:w="100" w:type="dxa"/>
            <w:vAlign w:val="bottom"/>
            <w:tcBorders>
              <w:bottom w:val="single" w:sz="8" w:color="DCDCDC"/>
            </w:tcBorders>
          </w:tcPr>
          <w:p>
            <w:pPr>
              <w:spacing w:after="0"/>
              <w:rPr>
                <w:sz w:val="24"/>
                <w:szCs w:val="24"/>
                <w:color w:val="auto"/>
              </w:rPr>
            </w:pPr>
          </w:p>
        </w:tc>
        <w:tc>
          <w:tcPr>
            <w:tcW w:w="300" w:type="dxa"/>
            <w:vAlign w:val="bottom"/>
            <w:tcBorders>
              <w:bottom w:val="single" w:sz="8" w:color="DCDCDC"/>
            </w:tcBorders>
          </w:tcPr>
          <w:p>
            <w:pPr>
              <w:spacing w:after="0"/>
              <w:rPr>
                <w:sz w:val="24"/>
                <w:szCs w:val="24"/>
                <w:color w:val="auto"/>
              </w:rPr>
            </w:pPr>
          </w:p>
        </w:tc>
        <w:tc>
          <w:tcPr>
            <w:tcW w:w="940" w:type="dxa"/>
            <w:vAlign w:val="bottom"/>
            <w:tcBorders>
              <w:bottom w:val="single" w:sz="8" w:color="DCDCDC"/>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12" w:right="23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9"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During the second quarter of 2013, United executed a plan to accelerate the disposition of classified assets including performing classified loans, nonperforming loans and foreclosed properties. The purpose of the accelerated classified asset disposition plan was to clean up legacy credit problems remaining from the recent financial crisis and to accelerate the improvement of United’s credit measures toward pre-crisis levels. The classified asset sales included individual note and foreclosed property sales and a large bulk sale of classified assets to a single investor. The bulk sale included performing and nonperforming classified loans and foreclosed properties. The assets were divided into four separate pools that were bid for separately by potential buyers. A single purchaser was the high bidder for each of the four pools. The table below shows the allocation among impaired loans, loans that were not considered impaired and foreclosed properties, including United's recorded investment in those assets, the sales proceeds and the resulting net charge offs of assets sold in the bulk sale transaction (in thousands).</w:t>
      </w:r>
    </w:p>
    <w:p>
      <w:pPr>
        <w:sectPr>
          <w:pgSz w:w="11900" w:h="16838" w:orient="portrait"/>
          <w:cols w:equalWidth="0" w:num="1">
            <w:col w:w="11420"/>
          </w:cols>
          <w:pgMar w:left="240" w:top="88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Loans considered impaired</w:t>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color w:val="auto"/>
        </w:rPr>
        <w:t>Loans not considered impaired</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Foreclosed properties</w:t>
      </w:r>
    </w:p>
    <w:p>
      <w:pPr>
        <w:spacing w:after="0" w:line="8"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Total assets sold</w:t>
      </w:r>
    </w:p>
    <w:p>
      <w:pPr>
        <w:spacing w:after="0" w:line="20" w:lineRule="exact"/>
        <w:rPr>
          <w:sz w:val="20"/>
          <w:szCs w:val="20"/>
          <w:color w:val="auto"/>
        </w:rPr>
      </w:pPr>
      <w:r>
        <w:rPr>
          <w:sz w:val="20"/>
          <w:szCs w:val="20"/>
          <w:color w:val="auto"/>
        </w:rPr>
        <w:br w:type="column"/>
      </w:r>
    </w:p>
    <w:p>
      <w:pPr>
        <w:spacing w:after="0" w:line="37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4"/>
        </w:trPr>
        <w:tc>
          <w:tcPr>
            <w:tcW w:w="200" w:type="dxa"/>
            <w:vAlign w:val="bottom"/>
          </w:tcPr>
          <w:p>
            <w:pPr>
              <w:spacing w:after="0"/>
              <w:rPr>
                <w:sz w:val="18"/>
                <w:szCs w:val="18"/>
                <w:color w:val="auto"/>
              </w:rPr>
            </w:pPr>
          </w:p>
        </w:tc>
        <w:tc>
          <w:tcPr>
            <w:tcW w:w="1880" w:type="dxa"/>
            <w:vAlign w:val="bottom"/>
            <w:gridSpan w:val="3"/>
          </w:tcPr>
          <w:p>
            <w:pPr>
              <w:jc w:val="center"/>
              <w:ind w:right="780"/>
              <w:spacing w:after="0"/>
              <w:rPr>
                <w:sz w:val="20"/>
                <w:szCs w:val="20"/>
                <w:color w:val="auto"/>
              </w:rPr>
            </w:pPr>
            <w:r>
              <w:rPr>
                <w:rFonts w:ascii="Arial" w:cs="Arial" w:eastAsia="Arial" w:hAnsi="Arial"/>
                <w:sz w:val="18"/>
                <w:szCs w:val="18"/>
                <w:b w:val="1"/>
                <w:bCs w:val="1"/>
                <w:color w:val="auto"/>
                <w:w w:val="89"/>
              </w:rPr>
              <w:t>Recorded</w:t>
            </w:r>
          </w:p>
        </w:tc>
        <w:tc>
          <w:tcPr>
            <w:tcW w:w="4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right"/>
              <w:ind w:right="522"/>
              <w:spacing w:after="0"/>
              <w:rPr>
                <w:sz w:val="20"/>
                <w:szCs w:val="20"/>
                <w:color w:val="auto"/>
              </w:rPr>
            </w:pPr>
            <w:r>
              <w:rPr>
                <w:rFonts w:ascii="Arial" w:cs="Arial" w:eastAsia="Arial" w:hAnsi="Arial"/>
                <w:sz w:val="18"/>
                <w:szCs w:val="18"/>
                <w:b w:val="1"/>
                <w:bCs w:val="1"/>
                <w:color w:val="auto"/>
              </w:rPr>
              <w:t>Net</w:t>
            </w:r>
          </w:p>
        </w:tc>
      </w:tr>
      <w:tr>
        <w:trPr>
          <w:trHeight w:val="231"/>
        </w:trPr>
        <w:tc>
          <w:tcPr>
            <w:tcW w:w="200" w:type="dxa"/>
            <w:vAlign w:val="bottom"/>
          </w:tcPr>
          <w:p>
            <w:pPr>
              <w:spacing w:after="0"/>
              <w:rPr>
                <w:sz w:val="20"/>
                <w:szCs w:val="20"/>
                <w:color w:val="auto"/>
              </w:rPr>
            </w:pPr>
          </w:p>
        </w:tc>
        <w:tc>
          <w:tcPr>
            <w:tcW w:w="1880" w:type="dxa"/>
            <w:vAlign w:val="bottom"/>
            <w:gridSpan w:val="3"/>
          </w:tcPr>
          <w:p>
            <w:pPr>
              <w:jc w:val="center"/>
              <w:ind w:right="780"/>
              <w:spacing w:after="0"/>
              <w:rPr>
                <w:sz w:val="20"/>
                <w:szCs w:val="20"/>
                <w:color w:val="auto"/>
              </w:rPr>
            </w:pPr>
            <w:r>
              <w:rPr>
                <w:rFonts w:ascii="Arial" w:cs="Arial" w:eastAsia="Arial" w:hAnsi="Arial"/>
                <w:sz w:val="18"/>
                <w:szCs w:val="18"/>
                <w:b w:val="1"/>
                <w:bCs w:val="1"/>
                <w:color w:val="auto"/>
                <w:w w:val="90"/>
              </w:rPr>
              <w:t>Investment</w:t>
            </w:r>
          </w:p>
        </w:tc>
        <w:tc>
          <w:tcPr>
            <w:tcW w:w="2040" w:type="dxa"/>
            <w:vAlign w:val="bottom"/>
            <w:gridSpan w:val="4"/>
          </w:tcPr>
          <w:p>
            <w:pPr>
              <w:ind w:left="20"/>
              <w:spacing w:after="0"/>
              <w:rPr>
                <w:sz w:val="20"/>
                <w:szCs w:val="20"/>
                <w:color w:val="auto"/>
              </w:rPr>
            </w:pPr>
            <w:r>
              <w:rPr>
                <w:rFonts w:ascii="Arial" w:cs="Arial" w:eastAsia="Arial" w:hAnsi="Arial"/>
                <w:sz w:val="18"/>
                <w:szCs w:val="18"/>
                <w:b w:val="1"/>
                <w:bCs w:val="1"/>
                <w:color w:val="auto"/>
              </w:rPr>
              <w:t>Net Sales Proceeds</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gridSpan w:val="2"/>
          </w:tcPr>
          <w:p>
            <w:pPr>
              <w:jc w:val="right"/>
              <w:ind w:right="202"/>
              <w:spacing w:after="0"/>
              <w:rPr>
                <w:sz w:val="20"/>
                <w:szCs w:val="20"/>
                <w:color w:val="auto"/>
              </w:rPr>
            </w:pPr>
            <w:r>
              <w:rPr>
                <w:rFonts w:ascii="Arial" w:cs="Arial" w:eastAsia="Arial" w:hAnsi="Arial"/>
                <w:sz w:val="18"/>
                <w:szCs w:val="18"/>
                <w:b w:val="1"/>
                <w:bCs w:val="1"/>
                <w:color w:val="auto"/>
              </w:rPr>
              <w:t>Charge-Off</w:t>
            </w:r>
          </w:p>
        </w:tc>
      </w:tr>
      <w:tr>
        <w:trPr>
          <w:trHeight w:val="195"/>
        </w:trPr>
        <w:tc>
          <w:tcPr>
            <w:tcW w:w="200" w:type="dxa"/>
            <w:vAlign w:val="bottom"/>
            <w:tcBorders>
              <w:top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tcBorders>
            <w:gridSpan w:val="2"/>
          </w:tcPr>
          <w:p>
            <w:pPr>
              <w:jc w:val="right"/>
              <w:ind w:right="120"/>
              <w:spacing w:after="0" w:line="195" w:lineRule="exact"/>
              <w:rPr>
                <w:sz w:val="20"/>
                <w:szCs w:val="20"/>
                <w:color w:val="auto"/>
              </w:rPr>
            </w:pPr>
            <w:r>
              <w:rPr>
                <w:rFonts w:ascii="Arial" w:cs="Arial" w:eastAsia="Arial" w:hAnsi="Arial"/>
                <w:sz w:val="18"/>
                <w:szCs w:val="18"/>
                <w:color w:val="auto"/>
              </w:rPr>
              <w:t>96,829</w:t>
            </w:r>
          </w:p>
        </w:tc>
        <w:tc>
          <w:tcPr>
            <w:tcW w:w="580" w:type="dxa"/>
            <w:vAlign w:val="bottom"/>
          </w:tcPr>
          <w:p>
            <w:pPr>
              <w:spacing w:after="0"/>
              <w:rPr>
                <w:sz w:val="16"/>
                <w:szCs w:val="16"/>
                <w:color w:val="auto"/>
              </w:rPr>
            </w:pPr>
          </w:p>
        </w:tc>
        <w:tc>
          <w:tcPr>
            <w:tcW w:w="4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gridSpan w:val="2"/>
          </w:tcPr>
          <w:p>
            <w:pPr>
              <w:jc w:val="right"/>
              <w:ind w:right="100"/>
              <w:spacing w:after="0" w:line="195" w:lineRule="exact"/>
              <w:rPr>
                <w:sz w:val="20"/>
                <w:szCs w:val="20"/>
                <w:color w:val="auto"/>
              </w:rPr>
            </w:pPr>
            <w:r>
              <w:rPr>
                <w:rFonts w:ascii="Arial" w:cs="Arial" w:eastAsia="Arial" w:hAnsi="Arial"/>
                <w:sz w:val="18"/>
                <w:szCs w:val="18"/>
                <w:color w:val="auto"/>
              </w:rPr>
              <w:t>56,298</w:t>
            </w:r>
          </w:p>
        </w:tc>
        <w:tc>
          <w:tcPr>
            <w:tcW w:w="5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Borders>
              <w:top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tcBorders>
            <w:gridSpan w:val="2"/>
          </w:tcPr>
          <w:p>
            <w:pPr>
              <w:jc w:val="right"/>
              <w:spacing w:after="0" w:line="195" w:lineRule="exact"/>
              <w:rPr>
                <w:sz w:val="20"/>
                <w:szCs w:val="20"/>
                <w:color w:val="auto"/>
              </w:rPr>
            </w:pPr>
            <w:r>
              <w:rPr>
                <w:rFonts w:ascii="Arial" w:cs="Arial" w:eastAsia="Arial" w:hAnsi="Arial"/>
                <w:sz w:val="18"/>
                <w:szCs w:val="18"/>
                <w:color w:val="auto"/>
              </w:rPr>
              <w:t>(40,531)</w:t>
            </w:r>
          </w:p>
        </w:tc>
      </w:tr>
      <w:tr>
        <w:trPr>
          <w:trHeight w:val="214"/>
        </w:trPr>
        <w:tc>
          <w:tcPr>
            <w:tcW w:w="20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25,687</w:t>
            </w:r>
          </w:p>
        </w:tc>
        <w:tc>
          <w:tcPr>
            <w:tcW w:w="5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15,227</w:t>
            </w: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(10,460)</w:t>
            </w:r>
          </w:p>
        </w:tc>
      </w:tr>
      <w:tr>
        <w:trPr>
          <w:trHeight w:val="241"/>
        </w:trPr>
        <w:tc>
          <w:tcPr>
            <w:tcW w:w="200" w:type="dxa"/>
            <w:vAlign w:val="bottom"/>
          </w:tcPr>
          <w:p>
            <w:pPr>
              <w:spacing w:after="0"/>
              <w:rPr>
                <w:sz w:val="20"/>
                <w:szCs w:val="20"/>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8,398</w:t>
            </w:r>
          </w:p>
        </w:tc>
        <w:tc>
          <w:tcPr>
            <w:tcW w:w="5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5,933</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(2,465)</w:t>
            </w:r>
          </w:p>
        </w:tc>
      </w:tr>
      <w:tr>
        <w:trPr>
          <w:trHeight w:val="222"/>
        </w:trPr>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130,914</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77,458</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(53,456</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5120" w:space="720"/>
            <w:col w:w="5580"/>
          </w:cols>
          <w:pgMar w:left="240" w:top="885" w:right="239" w:bottom="1440" w:gutter="0" w:footer="0" w:header="0"/>
          <w:type w:val="continuous"/>
        </w:sectPr>
      </w:pPr>
    </w:p>
    <w:p>
      <w:pPr>
        <w:jc w:val="both"/>
        <w:spacing w:after="0" w:line="256" w:lineRule="auto"/>
        <w:rPr>
          <w:sz w:val="20"/>
          <w:szCs w:val="20"/>
          <w:color w:val="auto"/>
        </w:rPr>
      </w:pPr>
      <w:r>
        <w:rPr>
          <w:rFonts w:ascii="Arial" w:cs="Arial" w:eastAsia="Arial" w:hAnsi="Arial"/>
          <w:sz w:val="18"/>
          <w:szCs w:val="18"/>
          <w:color w:val="auto"/>
        </w:rPr>
        <w:t>The loans considered impaired in the table above were assigned specific reserves of $6.86 million in the most recent analysis of the allowance for loan losses prior to the sale. Because the assets were sold at liquidation prices in a bulk transaction with no recourse, the sales price was generally lower than the appraised value of the foreclosed properties and loan collateral. Although the classified asset sales increased charge-offs during the second quarter of 2013, they accomplished management’s goal of moving classified asset levels toward the pre-crisis range.</w:t>
      </w:r>
    </w:p>
    <w:p>
      <w:pPr>
        <w:spacing w:after="0" w:line="215"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United considers all loans that are on nonaccrual with a balance of $500,000 or greater and all troubled debt restructurings (“TDRs”) to be impaired. In addition, United reviews all accruing substandard loans greater than $2 million to determine if the loan is impaired. A loan is considered impaired when, based on current events and circumstances, it is probable that all amounts due, according to the contractual terms of the loan, will not be collected. All TDRs are considered impaired regardless of accrual status. Impairment is measured based on the present value of expected future cash flows, discounted at the loan’s effective interest rate, the loan’s observable market price, or the fair value of the collateral if the loan is collateral dependent. A specific reserve is established for impaired loans for the amount of calculated impairment. Interest payments received on impaired nonaccrual loans are applied as a reduction of the outstanding principal balance. For impaired loans not on nonaccrual status, interest is accrued according to the terms of the loan agreement. Loans are evaluated for impairment quarterly and specific reserves are established in the allowance for loan losses for any measured impairment.</w:t>
      </w:r>
    </w:p>
    <w:p>
      <w:pPr>
        <w:spacing w:after="0" w:line="196"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Each quarter, United’s management prepares an analysis of the allowance for loan losses to determine the appropriate balance that measures and quantifies the amount of loss inherent in the loan portfolio. The allowance is comprised of specific reserves which are determined as described above, general reserves which are determined based on historical loss experience as adjusted for current trends and economic conditions and an unallocated portion. United uses eight quarters of historical loss experience weighted toward the most recent quarters to determine the loss factors to be used. Eight quarters has been determined to be an appropriate time period as it is recent enough to be relevant to current conditions and covers a length of time sufficient to minimize distortions caused by nonrecurring and unusual activity that might otherwise influence a shorter time period. The weighted average is calculated by multiplying each quarter’s annualized historical net charge-off rate by 1 through 8, with 8 representing the most recent quarter and 1 representing the oldest quarter. United uses annualized charge-off rates under the broad assumption that losses inherent in the loan portfolio will generally be resolved within twelve months. Problem loans that are not resolved within twelve months are generally larger loans that are more complex in nature requiring more time to either rehabilitate or work out of the bank. These credits are subject to impairment testing and specific reserves.</w:t>
      </w:r>
    </w:p>
    <w:p>
      <w:pPr>
        <w:spacing w:after="0" w:line="210"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The weighted loss factor results for each quarter are added together and divided by 36 (the sum of 1, 2, 3, 4, 5, 6, 7 and 8) to arrive at the weighted average historical loss factor for each category of loans. United calculates loss factors for each major category of loans (commercial real estate, commercial &amp; industrial, commercial construction, residential construction and consumer installment) except residential real estate loans which are further divided into home equity first lien, home equity junior lien and all other residential real estate loans and a loss factor is calculated for each category.</w:t>
      </w:r>
    </w:p>
    <w:p>
      <w:pPr>
        <w:spacing w:after="0" w:line="18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Management carefully reviews the resulting loss factors for each category of the loan portfolio and evaluates whether qualitative adjustments are necessary to take into consideration recent credit trends such as increases or decreases in past due, nonaccrual, criticized and classified loans, acceleration or delays in timing of recognition of losses that may render the use of annualized charge-off rates to be inappropriate, and other macro environmental factors such as changes in unemployment rates, lease vacancy rates and trends in property values and absorption rates.</w:t>
      </w:r>
    </w:p>
    <w:p>
      <w:pPr>
        <w:spacing w:after="0" w:line="19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To validate the results, management closely monitors the loan portfolio to determine the range of potential losses based upon probability of default and losses upon default for each major loan category. The potential range of losses resulting from this analysis is compared to the resulting loss factors for each major loan category to validate the loss factors and determine if qualitative adjustments are necessary. United’s management believes that its method of determining the balance of the allowance for loan losses provides a reasonable and reliable basis for measuring and reporting losses that are inherent in the loan portfolio as of the reporting date.</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13970</wp:posOffset>
            </wp:positionV>
            <wp:extent cx="724789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7890" cy="8255"/>
                    </a:xfrm>
                    <a:prstGeom prst="rect">
                      <a:avLst/>
                    </a:prstGeom>
                    <a:noFill/>
                  </pic:spPr>
                </pic:pic>
              </a:graphicData>
            </a:graphic>
          </wp:anchor>
        </w:drawing>
      </w:r>
    </w:p>
    <w:p>
      <w:pPr>
        <w:sectPr>
          <w:pgSz w:w="11900" w:h="16838" w:orient="portrait"/>
          <w:cols w:equalWidth="0" w:num="1">
            <w:col w:w="11420"/>
          </w:cols>
          <w:pgMar w:left="240" w:top="885" w:right="239" w:bottom="1440" w:gutter="0" w:footer="0" w:header="0"/>
          <w:type w:val="continuous"/>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6"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following table presents the balance and activity in the allowance for loan losses by portfolio segment and the recorded investment in loans by portfolio segment based on the impairment method as of June 30, 2013, December 31, 2012 and June 30, 2012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2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60" w:type="dxa"/>
            <w:vAlign w:val="bottom"/>
            <w:gridSpan w:val="2"/>
          </w:tcPr>
          <w:p>
            <w:pPr>
              <w:spacing w:after="0"/>
              <w:rPr>
                <w:sz w:val="20"/>
                <w:szCs w:val="20"/>
                <w:color w:val="auto"/>
              </w:rPr>
            </w:pPr>
            <w:r>
              <w:rPr>
                <w:rFonts w:ascii="Arial" w:cs="Arial" w:eastAsia="Arial" w:hAnsi="Arial"/>
                <w:sz w:val="18"/>
                <w:szCs w:val="18"/>
                <w:b w:val="1"/>
                <w:bCs w:val="1"/>
                <w:color w:val="auto"/>
                <w:w w:val="91"/>
              </w:rPr>
              <w:t>Commercial</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60" w:type="dxa"/>
            <w:vAlign w:val="bottom"/>
            <w:gridSpan w:val="2"/>
          </w:tcPr>
          <w:p>
            <w:pPr>
              <w:ind w:left="20"/>
              <w:spacing w:after="0"/>
              <w:rPr>
                <w:sz w:val="20"/>
                <w:szCs w:val="20"/>
                <w:color w:val="auto"/>
              </w:rPr>
            </w:pPr>
            <w:r>
              <w:rPr>
                <w:rFonts w:ascii="Arial" w:cs="Arial" w:eastAsia="Arial" w:hAnsi="Arial"/>
                <w:sz w:val="18"/>
                <w:szCs w:val="18"/>
                <w:b w:val="1"/>
                <w:bCs w:val="1"/>
                <w:color w:val="auto"/>
                <w:w w:val="89"/>
              </w:rPr>
              <w:t>(Secured by</w:t>
            </w:r>
          </w:p>
        </w:tc>
        <w:tc>
          <w:tcPr>
            <w:tcW w:w="60" w:type="dxa"/>
            <w:vAlign w:val="bottom"/>
          </w:tcPr>
          <w:p>
            <w:pPr>
              <w:spacing w:after="0"/>
              <w:rPr>
                <w:sz w:val="18"/>
                <w:szCs w:val="18"/>
                <w:color w:val="auto"/>
              </w:rPr>
            </w:pPr>
          </w:p>
        </w:tc>
        <w:tc>
          <w:tcPr>
            <w:tcW w:w="1040" w:type="dxa"/>
            <w:vAlign w:val="bottom"/>
            <w:gridSpan w:val="2"/>
          </w:tcPr>
          <w:p>
            <w:pPr>
              <w:ind w:left="20"/>
              <w:spacing w:after="0"/>
              <w:rPr>
                <w:sz w:val="20"/>
                <w:szCs w:val="20"/>
                <w:color w:val="auto"/>
              </w:rPr>
            </w:pPr>
            <w:r>
              <w:rPr>
                <w:rFonts w:ascii="Arial" w:cs="Arial" w:eastAsia="Arial" w:hAnsi="Arial"/>
                <w:sz w:val="18"/>
                <w:szCs w:val="18"/>
                <w:b w:val="1"/>
                <w:bCs w:val="1"/>
                <w:color w:val="auto"/>
                <w:w w:val="97"/>
              </w:rPr>
              <w:t>Commercial</w:t>
            </w:r>
          </w:p>
        </w:tc>
        <w:tc>
          <w:tcPr>
            <w:tcW w:w="80" w:type="dxa"/>
            <w:vAlign w:val="bottom"/>
          </w:tcPr>
          <w:p>
            <w:pPr>
              <w:spacing w:after="0"/>
              <w:rPr>
                <w:sz w:val="18"/>
                <w:szCs w:val="18"/>
                <w:color w:val="auto"/>
              </w:rPr>
            </w:pPr>
          </w:p>
        </w:tc>
        <w:tc>
          <w:tcPr>
            <w:tcW w:w="1060" w:type="dxa"/>
            <w:vAlign w:val="bottom"/>
            <w:gridSpan w:val="2"/>
          </w:tcPr>
          <w:p>
            <w:pPr>
              <w:jc w:val="right"/>
              <w:ind w:right="11"/>
              <w:spacing w:after="0"/>
              <w:rPr>
                <w:sz w:val="20"/>
                <w:szCs w:val="20"/>
                <w:color w:val="auto"/>
              </w:rPr>
            </w:pPr>
            <w:r>
              <w:rPr>
                <w:rFonts w:ascii="Arial" w:cs="Arial" w:eastAsia="Arial" w:hAnsi="Arial"/>
                <w:sz w:val="18"/>
                <w:szCs w:val="18"/>
                <w:b w:val="1"/>
                <w:bCs w:val="1"/>
                <w:color w:val="auto"/>
                <w:w w:val="91"/>
              </w:rPr>
              <w:t>Commercial</w:t>
            </w:r>
          </w:p>
        </w:tc>
        <w:tc>
          <w:tcPr>
            <w:tcW w:w="60" w:type="dxa"/>
            <w:vAlign w:val="bottom"/>
          </w:tcPr>
          <w:p>
            <w:pPr>
              <w:spacing w:after="0"/>
              <w:rPr>
                <w:sz w:val="18"/>
                <w:szCs w:val="18"/>
                <w:color w:val="auto"/>
              </w:rPr>
            </w:pPr>
          </w:p>
        </w:tc>
        <w:tc>
          <w:tcPr>
            <w:tcW w:w="960" w:type="dxa"/>
            <w:vAlign w:val="bottom"/>
            <w:gridSpan w:val="2"/>
          </w:tcPr>
          <w:p>
            <w:pPr>
              <w:ind w:left="20"/>
              <w:spacing w:after="0"/>
              <w:rPr>
                <w:sz w:val="20"/>
                <w:szCs w:val="20"/>
                <w:color w:val="auto"/>
              </w:rPr>
            </w:pPr>
            <w:r>
              <w:rPr>
                <w:rFonts w:ascii="Arial" w:cs="Arial" w:eastAsia="Arial" w:hAnsi="Arial"/>
                <w:sz w:val="18"/>
                <w:szCs w:val="18"/>
                <w:b w:val="1"/>
                <w:bCs w:val="1"/>
                <w:color w:val="auto"/>
                <w:w w:val="95"/>
              </w:rPr>
              <w:t>Residential</w:t>
            </w:r>
          </w:p>
        </w:tc>
        <w:tc>
          <w:tcPr>
            <w:tcW w:w="80" w:type="dxa"/>
            <w:vAlign w:val="bottom"/>
          </w:tcPr>
          <w:p>
            <w:pPr>
              <w:spacing w:after="0"/>
              <w:rPr>
                <w:sz w:val="18"/>
                <w:szCs w:val="18"/>
                <w:color w:val="auto"/>
              </w:rPr>
            </w:pPr>
          </w:p>
        </w:tc>
        <w:tc>
          <w:tcPr>
            <w:tcW w:w="1080" w:type="dxa"/>
            <w:vAlign w:val="bottom"/>
            <w:gridSpan w:val="2"/>
          </w:tcPr>
          <w:p>
            <w:pPr>
              <w:jc w:val="right"/>
              <w:ind w:right="71"/>
              <w:spacing w:after="0"/>
              <w:rPr>
                <w:sz w:val="20"/>
                <w:szCs w:val="20"/>
                <w:color w:val="auto"/>
              </w:rPr>
            </w:pPr>
            <w:r>
              <w:rPr>
                <w:rFonts w:ascii="Arial" w:cs="Arial" w:eastAsia="Arial" w:hAnsi="Arial"/>
                <w:sz w:val="18"/>
                <w:szCs w:val="18"/>
                <w:b w:val="1"/>
                <w:bCs w:val="1"/>
                <w:color w:val="auto"/>
                <w:w w:val="93"/>
              </w:rPr>
              <w:t>Residential</w:t>
            </w:r>
          </w:p>
        </w:tc>
        <w:tc>
          <w:tcPr>
            <w:tcW w:w="80" w:type="dxa"/>
            <w:vAlign w:val="bottom"/>
          </w:tcPr>
          <w:p>
            <w:pPr>
              <w:spacing w:after="0"/>
              <w:rPr>
                <w:sz w:val="18"/>
                <w:szCs w:val="18"/>
                <w:color w:val="auto"/>
              </w:rPr>
            </w:pPr>
          </w:p>
        </w:tc>
        <w:tc>
          <w:tcPr>
            <w:tcW w:w="980" w:type="dxa"/>
            <w:vAlign w:val="bottom"/>
            <w:gridSpan w:val="2"/>
          </w:tcPr>
          <w:p>
            <w:pPr>
              <w:jc w:val="right"/>
              <w:ind w:right="51"/>
              <w:spacing w:after="0"/>
              <w:rPr>
                <w:sz w:val="20"/>
                <w:szCs w:val="20"/>
                <w:color w:val="auto"/>
              </w:rPr>
            </w:pPr>
            <w:r>
              <w:rPr>
                <w:rFonts w:ascii="Arial" w:cs="Arial" w:eastAsia="Arial" w:hAnsi="Arial"/>
                <w:sz w:val="18"/>
                <w:szCs w:val="18"/>
                <w:b w:val="1"/>
                <w:bCs w:val="1"/>
                <w:color w:val="auto"/>
                <w:w w:val="92"/>
              </w:rPr>
              <w:t>Consumer</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2800" w:type="dxa"/>
            <w:vAlign w:val="bottom"/>
          </w:tcPr>
          <w:p>
            <w:pPr>
              <w:spacing w:after="0"/>
              <w:rPr>
                <w:sz w:val="20"/>
                <w:szCs w:val="20"/>
                <w:color w:val="auto"/>
              </w:rPr>
            </w:pPr>
            <w:r>
              <w:rPr>
                <w:rFonts w:ascii="Arial" w:cs="Arial" w:eastAsia="Arial" w:hAnsi="Arial"/>
                <w:sz w:val="18"/>
                <w:szCs w:val="18"/>
                <w:b w:val="1"/>
                <w:bCs w:val="1"/>
                <w:color w:val="auto"/>
                <w:w w:val="99"/>
              </w:rPr>
              <w:t>Six Months Ended June 30, 2013</w:t>
            </w:r>
          </w:p>
        </w:tc>
        <w:tc>
          <w:tcPr>
            <w:tcW w:w="60" w:type="dxa"/>
            <w:vAlign w:val="bottom"/>
          </w:tcPr>
          <w:p>
            <w:pPr>
              <w:spacing w:after="0"/>
              <w:rPr>
                <w:sz w:val="20"/>
                <w:szCs w:val="20"/>
                <w:color w:val="auto"/>
              </w:rPr>
            </w:pPr>
          </w:p>
        </w:tc>
        <w:tc>
          <w:tcPr>
            <w:tcW w:w="2060" w:type="dxa"/>
            <w:vAlign w:val="bottom"/>
            <w:gridSpan w:val="5"/>
          </w:tcPr>
          <w:p>
            <w:pPr>
              <w:ind w:left="20"/>
              <w:spacing w:after="0"/>
              <w:rPr>
                <w:sz w:val="20"/>
                <w:szCs w:val="20"/>
                <w:color w:val="auto"/>
              </w:rPr>
            </w:pPr>
            <w:r>
              <w:rPr>
                <w:rFonts w:ascii="Arial" w:cs="Arial" w:eastAsia="Arial" w:hAnsi="Arial"/>
                <w:sz w:val="18"/>
                <w:szCs w:val="18"/>
                <w:b w:val="1"/>
                <w:bCs w:val="1"/>
                <w:color w:val="auto"/>
                <w:w w:val="97"/>
              </w:rPr>
              <w:t>Real Estate) &amp; Industrial</w:t>
            </w:r>
          </w:p>
        </w:tc>
        <w:tc>
          <w:tcPr>
            <w:tcW w:w="80" w:type="dxa"/>
            <w:vAlign w:val="bottom"/>
          </w:tcPr>
          <w:p>
            <w:pPr>
              <w:spacing w:after="0"/>
              <w:rPr>
                <w:sz w:val="20"/>
                <w:szCs w:val="20"/>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b w:val="1"/>
                <w:bCs w:val="1"/>
                <w:color w:val="auto"/>
                <w:w w:val="87"/>
              </w:rPr>
              <w:t>Construction</w:t>
            </w:r>
          </w:p>
        </w:tc>
        <w:tc>
          <w:tcPr>
            <w:tcW w:w="60" w:type="dxa"/>
            <w:vAlign w:val="bottom"/>
          </w:tcPr>
          <w:p>
            <w:pPr>
              <w:spacing w:after="0"/>
              <w:rPr>
                <w:sz w:val="20"/>
                <w:szCs w:val="20"/>
                <w:color w:val="auto"/>
              </w:rPr>
            </w:pPr>
          </w:p>
        </w:tc>
        <w:tc>
          <w:tcPr>
            <w:tcW w:w="960" w:type="dxa"/>
            <w:vAlign w:val="bottom"/>
            <w:gridSpan w:val="2"/>
          </w:tcPr>
          <w:p>
            <w:pPr>
              <w:jc w:val="right"/>
              <w:ind w:right="51"/>
              <w:spacing w:after="0"/>
              <w:rPr>
                <w:sz w:val="20"/>
                <w:szCs w:val="20"/>
                <w:color w:val="auto"/>
              </w:rPr>
            </w:pPr>
            <w:r>
              <w:rPr>
                <w:rFonts w:ascii="Arial" w:cs="Arial" w:eastAsia="Arial" w:hAnsi="Arial"/>
                <w:sz w:val="18"/>
                <w:szCs w:val="18"/>
                <w:b w:val="1"/>
                <w:bCs w:val="1"/>
                <w:color w:val="auto"/>
                <w:w w:val="98"/>
              </w:rPr>
              <w:t>Mortgage</w:t>
            </w:r>
          </w:p>
        </w:tc>
        <w:tc>
          <w:tcPr>
            <w:tcW w:w="1160" w:type="dxa"/>
            <w:vAlign w:val="bottom"/>
            <w:gridSpan w:val="3"/>
          </w:tcPr>
          <w:p>
            <w:pPr>
              <w:ind w:left="80"/>
              <w:spacing w:after="0"/>
              <w:rPr>
                <w:sz w:val="20"/>
                <w:szCs w:val="20"/>
                <w:color w:val="auto"/>
              </w:rPr>
            </w:pPr>
            <w:r>
              <w:rPr>
                <w:rFonts w:ascii="Arial" w:cs="Arial" w:eastAsia="Arial" w:hAnsi="Arial"/>
                <w:sz w:val="18"/>
                <w:szCs w:val="18"/>
                <w:b w:val="1"/>
                <w:bCs w:val="1"/>
                <w:color w:val="auto"/>
                <w:w w:val="94"/>
              </w:rPr>
              <w:t>Construction</w:t>
            </w:r>
          </w:p>
        </w:tc>
        <w:tc>
          <w:tcPr>
            <w:tcW w:w="80" w:type="dxa"/>
            <w:vAlign w:val="bottom"/>
          </w:tcPr>
          <w:p>
            <w:pPr>
              <w:spacing w:after="0"/>
              <w:rPr>
                <w:sz w:val="20"/>
                <w:szCs w:val="20"/>
                <w:color w:val="auto"/>
              </w:rPr>
            </w:pPr>
          </w:p>
        </w:tc>
        <w:tc>
          <w:tcPr>
            <w:tcW w:w="980" w:type="dxa"/>
            <w:vAlign w:val="bottom"/>
            <w:gridSpan w:val="2"/>
          </w:tcPr>
          <w:p>
            <w:pPr>
              <w:jc w:val="right"/>
              <w:ind w:right="11"/>
              <w:spacing w:after="0"/>
              <w:rPr>
                <w:sz w:val="20"/>
                <w:szCs w:val="20"/>
                <w:color w:val="auto"/>
              </w:rPr>
            </w:pPr>
            <w:r>
              <w:rPr>
                <w:rFonts w:ascii="Arial" w:cs="Arial" w:eastAsia="Arial" w:hAnsi="Arial"/>
                <w:sz w:val="18"/>
                <w:szCs w:val="18"/>
                <w:b w:val="1"/>
                <w:bCs w:val="1"/>
                <w:color w:val="auto"/>
                <w:w w:val="90"/>
              </w:rPr>
              <w:t>Installment</w:t>
            </w:r>
          </w:p>
        </w:tc>
        <w:tc>
          <w:tcPr>
            <w:tcW w:w="80" w:type="dxa"/>
            <w:vAlign w:val="bottom"/>
          </w:tcPr>
          <w:p>
            <w:pPr>
              <w:spacing w:after="0"/>
              <w:rPr>
                <w:sz w:val="20"/>
                <w:szCs w:val="20"/>
                <w:color w:val="auto"/>
              </w:rPr>
            </w:pPr>
          </w:p>
        </w:tc>
        <w:tc>
          <w:tcPr>
            <w:tcW w:w="1000" w:type="dxa"/>
            <w:vAlign w:val="bottom"/>
            <w:gridSpan w:val="2"/>
          </w:tcPr>
          <w:p>
            <w:pPr>
              <w:jc w:val="right"/>
              <w:ind w:right="11"/>
              <w:spacing w:after="0"/>
              <w:rPr>
                <w:sz w:val="20"/>
                <w:szCs w:val="20"/>
                <w:color w:val="auto"/>
              </w:rPr>
            </w:pPr>
            <w:r>
              <w:rPr>
                <w:rFonts w:ascii="Arial" w:cs="Arial" w:eastAsia="Arial" w:hAnsi="Arial"/>
                <w:sz w:val="18"/>
                <w:szCs w:val="18"/>
                <w:b w:val="1"/>
                <w:bCs w:val="1"/>
                <w:color w:val="auto"/>
                <w:w w:val="86"/>
              </w:rPr>
              <w:t>Unallocated</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jc w:val="right"/>
              <w:ind w:right="251"/>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00"/>
        </w:trPr>
        <w:tc>
          <w:tcPr>
            <w:tcW w:w="2800" w:type="dxa"/>
            <w:vAlign w:val="bottom"/>
            <w:tcBorders>
              <w:top w:val="single" w:sz="8" w:color="auto"/>
            </w:tcBorders>
          </w:tcPr>
          <w:p>
            <w:pPr>
              <w:spacing w:after="0" w:line="200" w:lineRule="exact"/>
              <w:rPr>
                <w:sz w:val="20"/>
                <w:szCs w:val="20"/>
                <w:color w:val="auto"/>
              </w:rPr>
            </w:pPr>
            <w:r>
              <w:rPr>
                <w:rFonts w:ascii="Arial" w:cs="Arial" w:eastAsia="Arial" w:hAnsi="Arial"/>
                <w:sz w:val="18"/>
                <w:szCs w:val="18"/>
                <w:color w:val="auto"/>
              </w:rPr>
              <w:t>Allowance for loan losses:</w:t>
            </w:r>
          </w:p>
        </w:tc>
        <w:tc>
          <w:tcPr>
            <w:tcW w:w="6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800" w:type="dxa"/>
            <w:vAlign w:val="bottom"/>
          </w:tcPr>
          <w:p>
            <w:pPr>
              <w:spacing w:after="0"/>
              <w:rPr>
                <w:sz w:val="20"/>
                <w:szCs w:val="20"/>
                <w:color w:val="auto"/>
              </w:rPr>
            </w:pPr>
            <w:r>
              <w:rPr>
                <w:rFonts w:ascii="Arial" w:cs="Arial" w:eastAsia="Arial" w:hAnsi="Arial"/>
                <w:sz w:val="18"/>
                <w:szCs w:val="18"/>
                <w:color w:val="auto"/>
              </w:rPr>
              <w:t>Beginning balance</w:t>
            </w:r>
          </w:p>
        </w:tc>
        <w:tc>
          <w:tcPr>
            <w:tcW w:w="180" w:type="dxa"/>
            <w:vAlign w:val="bottom"/>
            <w:gridSpan w:val="2"/>
          </w:tcPr>
          <w:p>
            <w:pPr>
              <w:ind w:left="6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31"/>
              <w:spacing w:after="0"/>
              <w:rPr>
                <w:sz w:val="20"/>
                <w:szCs w:val="20"/>
                <w:color w:val="auto"/>
              </w:rPr>
            </w:pPr>
            <w:r>
              <w:rPr>
                <w:rFonts w:ascii="Arial" w:cs="Arial" w:eastAsia="Arial" w:hAnsi="Arial"/>
                <w:sz w:val="18"/>
                <w:szCs w:val="18"/>
                <w:color w:val="auto"/>
              </w:rPr>
              <w:t>27,847</w:t>
            </w:r>
          </w:p>
        </w:tc>
        <w:tc>
          <w:tcPr>
            <w:tcW w:w="30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5,537</w:t>
            </w:r>
          </w:p>
        </w:tc>
        <w:tc>
          <w:tcPr>
            <w:tcW w:w="320" w:type="dxa"/>
            <w:vAlign w:val="bottom"/>
            <w:gridSpan w:val="2"/>
          </w:tcPr>
          <w:p>
            <w:pPr>
              <w:jc w:val="right"/>
              <w:ind w:right="84"/>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8,389</w:t>
            </w:r>
          </w:p>
        </w:tc>
        <w:tc>
          <w:tcPr>
            <w:tcW w:w="20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26,642</w:t>
            </w:r>
          </w:p>
        </w:tc>
        <w:tc>
          <w:tcPr>
            <w:tcW w:w="3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26,662</w:t>
            </w:r>
          </w:p>
        </w:tc>
        <w:tc>
          <w:tcPr>
            <w:tcW w:w="260" w:type="dxa"/>
            <w:vAlign w:val="bottom"/>
            <w:gridSpan w:val="2"/>
          </w:tcPr>
          <w:p>
            <w:pPr>
              <w:jc w:val="right"/>
              <w:ind w:right="24"/>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2,747</w:t>
            </w:r>
          </w:p>
        </w:tc>
        <w:tc>
          <w:tcPr>
            <w:tcW w:w="340" w:type="dxa"/>
            <w:vAlign w:val="bottom"/>
            <w:gridSpan w:val="2"/>
          </w:tcPr>
          <w:p>
            <w:pPr>
              <w:jc w:val="right"/>
              <w:ind w:right="106"/>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11"/>
              <w:spacing w:after="0"/>
              <w:rPr>
                <w:sz w:val="20"/>
                <w:szCs w:val="20"/>
                <w:color w:val="auto"/>
              </w:rPr>
            </w:pPr>
            <w:r>
              <w:rPr>
                <w:rFonts w:ascii="Arial" w:cs="Arial" w:eastAsia="Arial" w:hAnsi="Arial"/>
                <w:sz w:val="18"/>
                <w:szCs w:val="18"/>
                <w:color w:val="auto"/>
              </w:rPr>
              <w:t>9,313</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107,137</w:t>
            </w:r>
          </w:p>
        </w:tc>
        <w:tc>
          <w:tcPr>
            <w:tcW w:w="0" w:type="dxa"/>
            <w:vAlign w:val="bottom"/>
          </w:tcPr>
          <w:p>
            <w:pPr>
              <w:spacing w:after="0"/>
              <w:rPr>
                <w:sz w:val="1"/>
                <w:szCs w:val="1"/>
                <w:color w:val="auto"/>
              </w:rPr>
            </w:pPr>
          </w:p>
        </w:tc>
      </w:tr>
      <w:tr>
        <w:trPr>
          <w:trHeight w:val="214"/>
        </w:trPr>
        <w:tc>
          <w:tcPr>
            <w:tcW w:w="2800" w:type="dxa"/>
            <w:vAlign w:val="bottom"/>
          </w:tcPr>
          <w:p>
            <w:pPr>
              <w:ind w:left="140"/>
              <w:spacing w:after="0"/>
              <w:rPr>
                <w:sz w:val="20"/>
                <w:szCs w:val="20"/>
                <w:color w:val="auto"/>
              </w:rPr>
            </w:pPr>
            <w:r>
              <w:rPr>
                <w:rFonts w:ascii="Arial" w:cs="Arial" w:eastAsia="Arial" w:hAnsi="Arial"/>
                <w:sz w:val="18"/>
                <w:szCs w:val="18"/>
                <w:color w:val="auto"/>
              </w:rPr>
              <w:t>Charge-offs</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(32,194)</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(17,755)</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(6,350)</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(9,074)</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(21,512)</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(1,272)</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(88,157)</w:t>
            </w:r>
          </w:p>
        </w:tc>
        <w:tc>
          <w:tcPr>
            <w:tcW w:w="0" w:type="dxa"/>
            <w:vAlign w:val="bottom"/>
          </w:tcPr>
          <w:p>
            <w:pPr>
              <w:spacing w:after="0"/>
              <w:rPr>
                <w:sz w:val="1"/>
                <w:szCs w:val="1"/>
                <w:color w:val="auto"/>
              </w:rPr>
            </w:pPr>
          </w:p>
        </w:tc>
      </w:tr>
      <w:tr>
        <w:trPr>
          <w:trHeight w:val="214"/>
        </w:trPr>
        <w:tc>
          <w:tcPr>
            <w:tcW w:w="2800" w:type="dxa"/>
            <w:vAlign w:val="bottom"/>
          </w:tcPr>
          <w:p>
            <w:pPr>
              <w:ind w:left="140"/>
              <w:spacing w:after="0"/>
              <w:rPr>
                <w:sz w:val="20"/>
                <w:szCs w:val="20"/>
                <w:color w:val="auto"/>
              </w:rPr>
            </w:pPr>
            <w:r>
              <w:rPr>
                <w:rFonts w:ascii="Arial" w:cs="Arial" w:eastAsia="Arial" w:hAnsi="Arial"/>
                <w:sz w:val="18"/>
                <w:szCs w:val="18"/>
                <w:color w:val="auto"/>
              </w:rPr>
              <w:t>Recoveries</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ind w:right="31"/>
              <w:spacing w:after="0"/>
              <w:rPr>
                <w:sz w:val="20"/>
                <w:szCs w:val="20"/>
                <w:color w:val="auto"/>
              </w:rPr>
            </w:pPr>
            <w:r>
              <w:rPr>
                <w:rFonts w:ascii="Arial" w:cs="Arial" w:eastAsia="Arial" w:hAnsi="Arial"/>
                <w:sz w:val="18"/>
                <w:szCs w:val="18"/>
                <w:color w:val="auto"/>
              </w:rPr>
              <w:t>1,485</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678</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59</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418</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33</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692</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3,365</w:t>
            </w:r>
          </w:p>
        </w:tc>
        <w:tc>
          <w:tcPr>
            <w:tcW w:w="0" w:type="dxa"/>
            <w:vAlign w:val="bottom"/>
          </w:tcPr>
          <w:p>
            <w:pPr>
              <w:spacing w:after="0"/>
              <w:rPr>
                <w:sz w:val="1"/>
                <w:szCs w:val="1"/>
                <w:color w:val="auto"/>
              </w:rPr>
            </w:pPr>
          </w:p>
        </w:tc>
      </w:tr>
      <w:tr>
        <w:trPr>
          <w:trHeight w:val="235"/>
        </w:trPr>
        <w:tc>
          <w:tcPr>
            <w:tcW w:w="2800" w:type="dxa"/>
            <w:vAlign w:val="bottom"/>
          </w:tcPr>
          <w:p>
            <w:pPr>
              <w:ind w:left="140"/>
              <w:spacing w:after="0"/>
              <w:rPr>
                <w:sz w:val="20"/>
                <w:szCs w:val="20"/>
                <w:color w:val="auto"/>
              </w:rPr>
            </w:pPr>
            <w:r>
              <w:rPr>
                <w:rFonts w:ascii="Arial" w:cs="Arial" w:eastAsia="Arial" w:hAnsi="Arial"/>
                <w:sz w:val="18"/>
                <w:szCs w:val="18"/>
                <w:color w:val="auto"/>
              </w:rPr>
              <w:t>Provision</w:t>
            </w:r>
          </w:p>
        </w:tc>
        <w:tc>
          <w:tcPr>
            <w:tcW w:w="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25,670</w:t>
            </w:r>
          </w:p>
        </w:tc>
        <w:tc>
          <w:tcPr>
            <w:tcW w:w="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19,594</w:t>
            </w: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2,177</w:t>
            </w:r>
          </w:p>
        </w:tc>
        <w:tc>
          <w:tcPr>
            <w:tcW w:w="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2,041</w:t>
            </w:r>
          </w:p>
        </w:tc>
        <w:tc>
          <w:tcPr>
            <w:tcW w:w="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12,139</w:t>
            </w:r>
          </w:p>
        </w:tc>
        <w:tc>
          <w:tcPr>
            <w:tcW w:w="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223</w:t>
            </w:r>
          </w:p>
        </w:tc>
        <w:tc>
          <w:tcPr>
            <w:tcW w:w="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(2,344)</w:t>
            </w:r>
          </w:p>
        </w:tc>
        <w:tc>
          <w:tcPr>
            <w:tcW w:w="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59,500</w:t>
            </w:r>
          </w:p>
        </w:tc>
        <w:tc>
          <w:tcPr>
            <w:tcW w:w="0" w:type="dxa"/>
            <w:vAlign w:val="bottom"/>
          </w:tcPr>
          <w:p>
            <w:pPr>
              <w:spacing w:after="0"/>
              <w:rPr>
                <w:sz w:val="1"/>
                <w:szCs w:val="1"/>
                <w:color w:val="auto"/>
              </w:rPr>
            </w:pPr>
          </w:p>
        </w:tc>
      </w:tr>
      <w:tr>
        <w:trPr>
          <w:trHeight w:val="214"/>
        </w:trPr>
        <w:tc>
          <w:tcPr>
            <w:tcW w:w="2800" w:type="dxa"/>
            <w:vAlign w:val="bottom"/>
          </w:tcPr>
          <w:p>
            <w:pPr>
              <w:spacing w:after="0"/>
              <w:rPr>
                <w:sz w:val="20"/>
                <w:szCs w:val="20"/>
                <w:color w:val="auto"/>
              </w:rPr>
            </w:pPr>
            <w:r>
              <w:rPr>
                <w:rFonts w:ascii="Arial" w:cs="Arial" w:eastAsia="Arial" w:hAnsi="Arial"/>
                <w:sz w:val="18"/>
                <w:szCs w:val="18"/>
                <w:color w:val="auto"/>
              </w:rPr>
              <w:t>Ending balance</w:t>
            </w:r>
          </w:p>
        </w:tc>
        <w:tc>
          <w:tcPr>
            <w:tcW w:w="60" w:type="dxa"/>
            <w:vAlign w:val="bottom"/>
          </w:tcPr>
          <w:p>
            <w:pPr>
              <w:spacing w:after="0"/>
              <w:rPr>
                <w:sz w:val="18"/>
                <w:szCs w:val="18"/>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22,808</w:t>
            </w:r>
          </w:p>
        </w:tc>
        <w:tc>
          <w:tcPr>
            <w:tcW w:w="60" w:type="dxa"/>
            <w:vAlign w:val="bottom"/>
          </w:tcPr>
          <w:p>
            <w:pPr>
              <w:spacing w:after="0"/>
              <w:rPr>
                <w:sz w:val="18"/>
                <w:szCs w:val="18"/>
                <w:color w:val="auto"/>
              </w:rPr>
            </w:pPr>
          </w:p>
        </w:tc>
        <w:tc>
          <w:tcPr>
            <w:tcW w:w="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8,054</w:t>
            </w:r>
          </w:p>
        </w:tc>
        <w:tc>
          <w:tcPr>
            <w:tcW w:w="80" w:type="dxa"/>
            <w:vAlign w:val="bottom"/>
          </w:tcPr>
          <w:p>
            <w:pPr>
              <w:spacing w:after="0"/>
              <w:rPr>
                <w:sz w:val="18"/>
                <w:szCs w:val="18"/>
                <w:color w:val="auto"/>
              </w:rPr>
            </w:pPr>
          </w:p>
        </w:tc>
        <w:tc>
          <w:tcPr>
            <w:tcW w:w="24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4,275</w:t>
            </w:r>
          </w:p>
        </w:tc>
        <w:tc>
          <w:tcPr>
            <w:tcW w:w="60" w:type="dxa"/>
            <w:vAlign w:val="bottom"/>
          </w:tcPr>
          <w:p>
            <w:pPr>
              <w:spacing w:after="0"/>
              <w:rPr>
                <w:sz w:val="18"/>
                <w:szCs w:val="18"/>
                <w:color w:val="auto"/>
              </w:rPr>
            </w:pP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20,027</w:t>
            </w:r>
          </w:p>
        </w:tc>
        <w:tc>
          <w:tcPr>
            <w:tcW w:w="80" w:type="dxa"/>
            <w:vAlign w:val="bottom"/>
          </w:tcPr>
          <w:p>
            <w:pPr>
              <w:spacing w:after="0"/>
              <w:rPr>
                <w:sz w:val="18"/>
                <w:szCs w:val="18"/>
                <w:color w:val="auto"/>
              </w:rPr>
            </w:pPr>
          </w:p>
        </w:tc>
        <w:tc>
          <w:tcPr>
            <w:tcW w:w="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17,322</w:t>
            </w:r>
          </w:p>
        </w:tc>
        <w:tc>
          <w:tcPr>
            <w:tcW w:w="80" w:type="dxa"/>
            <w:vAlign w:val="bottom"/>
          </w:tcPr>
          <w:p>
            <w:pPr>
              <w:spacing w:after="0"/>
              <w:rPr>
                <w:sz w:val="18"/>
                <w:szCs w:val="18"/>
                <w:color w:val="auto"/>
              </w:rPr>
            </w:pPr>
          </w:p>
        </w:tc>
        <w:tc>
          <w:tcPr>
            <w:tcW w:w="18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2,390</w:t>
            </w:r>
          </w:p>
        </w:tc>
        <w:tc>
          <w:tcPr>
            <w:tcW w:w="80" w:type="dxa"/>
            <w:vAlign w:val="bottom"/>
          </w:tcPr>
          <w:p>
            <w:pPr>
              <w:spacing w:after="0"/>
              <w:rPr>
                <w:sz w:val="18"/>
                <w:szCs w:val="18"/>
                <w:color w:val="auto"/>
              </w:rPr>
            </w:pPr>
          </w:p>
        </w:tc>
        <w:tc>
          <w:tcPr>
            <w:tcW w:w="260" w:type="dxa"/>
            <w:vAlign w:val="bottom"/>
            <w:tcBorders>
              <w:bottom w:val="single" w:sz="8" w:color="auto"/>
            </w:tcBorders>
          </w:tcPr>
          <w:p>
            <w:pPr>
              <w:jc w:val="right"/>
              <w:ind w:right="106"/>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6,969</w:t>
            </w:r>
          </w:p>
        </w:tc>
        <w:tc>
          <w:tcPr>
            <w:tcW w:w="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81,845</w:t>
            </w:r>
          </w:p>
        </w:tc>
        <w:tc>
          <w:tcPr>
            <w:tcW w:w="0" w:type="dxa"/>
            <w:vAlign w:val="bottom"/>
          </w:tcPr>
          <w:p>
            <w:pPr>
              <w:spacing w:after="0"/>
              <w:rPr>
                <w:sz w:val="1"/>
                <w:szCs w:val="1"/>
                <w:color w:val="auto"/>
              </w:rPr>
            </w:pPr>
          </w:p>
        </w:tc>
      </w:tr>
      <w:tr>
        <w:trPr>
          <w:trHeight w:val="20"/>
        </w:trPr>
        <w:tc>
          <w:tcPr>
            <w:tcW w:w="2800" w:type="dxa"/>
            <w:vAlign w:val="bottom"/>
            <w:vMerge w:val="restart"/>
          </w:tcPr>
          <w:p>
            <w:pPr>
              <w:spacing w:after="0"/>
              <w:rPr>
                <w:sz w:val="20"/>
                <w:szCs w:val="20"/>
                <w:color w:val="auto"/>
              </w:rPr>
            </w:pPr>
            <w:r>
              <w:rPr>
                <w:rFonts w:ascii="Arial" w:cs="Arial" w:eastAsia="Arial" w:hAnsi="Arial"/>
                <w:sz w:val="18"/>
                <w:szCs w:val="18"/>
                <w:color w:val="auto"/>
                <w:w w:val="90"/>
              </w:rPr>
              <w:t>Ending allowance attributable to loans:</w:t>
            </w: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3"/>
        </w:trPr>
        <w:tc>
          <w:tcPr>
            <w:tcW w:w="280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2800" w:type="dxa"/>
            <w:vAlign w:val="bottom"/>
          </w:tcPr>
          <w:p>
            <w:pPr>
              <w:ind w:left="140"/>
              <w:spacing w:after="0"/>
              <w:rPr>
                <w:sz w:val="20"/>
                <w:szCs w:val="20"/>
                <w:color w:val="auto"/>
              </w:rPr>
            </w:pPr>
            <w:r>
              <w:rPr>
                <w:rFonts w:ascii="Arial" w:cs="Arial" w:eastAsia="Arial" w:hAnsi="Arial"/>
                <w:sz w:val="18"/>
                <w:szCs w:val="18"/>
                <w:color w:val="auto"/>
              </w:rPr>
              <w:t>Individually evaluated for</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800" w:type="dxa"/>
            <w:vAlign w:val="bottom"/>
          </w:tcPr>
          <w:p>
            <w:pPr>
              <w:spacing w:after="0"/>
              <w:rPr>
                <w:sz w:val="20"/>
                <w:szCs w:val="20"/>
                <w:color w:val="auto"/>
              </w:rPr>
            </w:pPr>
            <w:r>
              <w:rPr>
                <w:rFonts w:ascii="Arial" w:cs="Arial" w:eastAsia="Arial" w:hAnsi="Arial"/>
                <w:sz w:val="18"/>
                <w:szCs w:val="18"/>
                <w:color w:val="auto"/>
              </w:rPr>
              <w:t>impairment</w:t>
            </w:r>
          </w:p>
        </w:tc>
        <w:tc>
          <w:tcPr>
            <w:tcW w:w="180" w:type="dxa"/>
            <w:vAlign w:val="bottom"/>
            <w:gridSpan w:val="2"/>
          </w:tcPr>
          <w:p>
            <w:pPr>
              <w:ind w:left="6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31"/>
              <w:spacing w:after="0"/>
              <w:rPr>
                <w:sz w:val="20"/>
                <w:szCs w:val="20"/>
                <w:color w:val="auto"/>
              </w:rPr>
            </w:pPr>
            <w:r>
              <w:rPr>
                <w:rFonts w:ascii="Arial" w:cs="Arial" w:eastAsia="Arial" w:hAnsi="Arial"/>
                <w:sz w:val="18"/>
                <w:szCs w:val="18"/>
                <w:color w:val="auto"/>
              </w:rPr>
              <w:t>2,862</w:t>
            </w:r>
          </w:p>
        </w:tc>
        <w:tc>
          <w:tcPr>
            <w:tcW w:w="30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129</w:t>
            </w:r>
          </w:p>
        </w:tc>
        <w:tc>
          <w:tcPr>
            <w:tcW w:w="320" w:type="dxa"/>
            <w:vAlign w:val="bottom"/>
            <w:gridSpan w:val="2"/>
          </w:tcPr>
          <w:p>
            <w:pPr>
              <w:jc w:val="right"/>
              <w:ind w:right="84"/>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440</w:t>
            </w:r>
          </w:p>
        </w:tc>
        <w:tc>
          <w:tcPr>
            <w:tcW w:w="20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1,197</w:t>
            </w:r>
          </w:p>
        </w:tc>
        <w:tc>
          <w:tcPr>
            <w:tcW w:w="3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417</w:t>
            </w:r>
          </w:p>
        </w:tc>
        <w:tc>
          <w:tcPr>
            <w:tcW w:w="260" w:type="dxa"/>
            <w:vAlign w:val="bottom"/>
            <w:gridSpan w:val="2"/>
          </w:tcPr>
          <w:p>
            <w:pPr>
              <w:jc w:val="right"/>
              <w:ind w:right="24"/>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12</w:t>
            </w:r>
          </w:p>
        </w:tc>
        <w:tc>
          <w:tcPr>
            <w:tcW w:w="340" w:type="dxa"/>
            <w:vAlign w:val="bottom"/>
            <w:gridSpan w:val="2"/>
          </w:tcPr>
          <w:p>
            <w:pPr>
              <w:jc w:val="right"/>
              <w:ind w:right="106"/>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5,057</w:t>
            </w:r>
          </w:p>
        </w:tc>
        <w:tc>
          <w:tcPr>
            <w:tcW w:w="0" w:type="dxa"/>
            <w:vAlign w:val="bottom"/>
          </w:tcPr>
          <w:p>
            <w:pPr>
              <w:spacing w:after="0"/>
              <w:rPr>
                <w:sz w:val="1"/>
                <w:szCs w:val="1"/>
                <w:color w:val="auto"/>
              </w:rPr>
            </w:pPr>
          </w:p>
        </w:tc>
      </w:tr>
      <w:tr>
        <w:trPr>
          <w:trHeight w:val="214"/>
        </w:trPr>
        <w:tc>
          <w:tcPr>
            <w:tcW w:w="2800" w:type="dxa"/>
            <w:vAlign w:val="bottom"/>
          </w:tcPr>
          <w:p>
            <w:pPr>
              <w:ind w:left="140"/>
              <w:spacing w:after="0"/>
              <w:rPr>
                <w:sz w:val="20"/>
                <w:szCs w:val="20"/>
                <w:color w:val="auto"/>
              </w:rPr>
            </w:pPr>
            <w:r>
              <w:rPr>
                <w:rFonts w:ascii="Arial" w:cs="Arial" w:eastAsia="Arial" w:hAnsi="Arial"/>
                <w:sz w:val="18"/>
                <w:szCs w:val="18"/>
                <w:color w:val="auto"/>
              </w:rPr>
              <w:t>Collectively evaluated for</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2800" w:type="dxa"/>
            <w:vAlign w:val="bottom"/>
          </w:tcPr>
          <w:p>
            <w:pPr>
              <w:spacing w:after="0"/>
              <w:rPr>
                <w:sz w:val="20"/>
                <w:szCs w:val="20"/>
                <w:color w:val="auto"/>
              </w:rPr>
            </w:pPr>
            <w:r>
              <w:rPr>
                <w:rFonts w:ascii="Arial" w:cs="Arial" w:eastAsia="Arial" w:hAnsi="Arial"/>
                <w:sz w:val="18"/>
                <w:szCs w:val="18"/>
                <w:color w:val="auto"/>
              </w:rPr>
              <w:t>impairment</w:t>
            </w:r>
          </w:p>
        </w:tc>
        <w:tc>
          <w:tcPr>
            <w:tcW w:w="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19,946</w:t>
            </w:r>
          </w:p>
        </w:tc>
        <w:tc>
          <w:tcPr>
            <w:tcW w:w="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7,925</w:t>
            </w: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3,835</w:t>
            </w:r>
          </w:p>
        </w:tc>
        <w:tc>
          <w:tcPr>
            <w:tcW w:w="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18,830</w:t>
            </w:r>
          </w:p>
        </w:tc>
        <w:tc>
          <w:tcPr>
            <w:tcW w:w="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16,905</w:t>
            </w:r>
          </w:p>
        </w:tc>
        <w:tc>
          <w:tcPr>
            <w:tcW w:w="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2,378</w:t>
            </w:r>
          </w:p>
        </w:tc>
        <w:tc>
          <w:tcPr>
            <w:tcW w:w="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6,969</w:t>
            </w:r>
          </w:p>
        </w:tc>
        <w:tc>
          <w:tcPr>
            <w:tcW w:w="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76,788</w:t>
            </w:r>
          </w:p>
        </w:tc>
        <w:tc>
          <w:tcPr>
            <w:tcW w:w="0" w:type="dxa"/>
            <w:vAlign w:val="bottom"/>
          </w:tcPr>
          <w:p>
            <w:pPr>
              <w:spacing w:after="0"/>
              <w:rPr>
                <w:sz w:val="1"/>
                <w:szCs w:val="1"/>
                <w:color w:val="auto"/>
              </w:rPr>
            </w:pPr>
          </w:p>
        </w:tc>
      </w:tr>
      <w:tr>
        <w:trPr>
          <w:trHeight w:val="214"/>
        </w:trPr>
        <w:tc>
          <w:tcPr>
            <w:tcW w:w="2800" w:type="dxa"/>
            <w:vAlign w:val="bottom"/>
          </w:tcPr>
          <w:p>
            <w:pPr>
              <w:ind w:left="360"/>
              <w:spacing w:after="0"/>
              <w:rPr>
                <w:sz w:val="20"/>
                <w:szCs w:val="20"/>
                <w:color w:val="auto"/>
              </w:rPr>
            </w:pPr>
            <w:r>
              <w:rPr>
                <w:rFonts w:ascii="Arial" w:cs="Arial" w:eastAsia="Arial" w:hAnsi="Arial"/>
                <w:sz w:val="18"/>
                <w:szCs w:val="18"/>
                <w:color w:val="auto"/>
                <w:w w:val="95"/>
              </w:rPr>
              <w:t>Total ending allowance balance</w:t>
            </w:r>
          </w:p>
        </w:tc>
        <w:tc>
          <w:tcPr>
            <w:tcW w:w="60" w:type="dxa"/>
            <w:vAlign w:val="bottom"/>
          </w:tcPr>
          <w:p>
            <w:pPr>
              <w:spacing w:after="0"/>
              <w:rPr>
                <w:sz w:val="18"/>
                <w:szCs w:val="18"/>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22,808</w:t>
            </w:r>
          </w:p>
        </w:tc>
        <w:tc>
          <w:tcPr>
            <w:tcW w:w="60" w:type="dxa"/>
            <w:vAlign w:val="bottom"/>
          </w:tcPr>
          <w:p>
            <w:pPr>
              <w:spacing w:after="0"/>
              <w:rPr>
                <w:sz w:val="18"/>
                <w:szCs w:val="18"/>
                <w:color w:val="auto"/>
              </w:rPr>
            </w:pPr>
          </w:p>
        </w:tc>
        <w:tc>
          <w:tcPr>
            <w:tcW w:w="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8,054</w:t>
            </w:r>
          </w:p>
        </w:tc>
        <w:tc>
          <w:tcPr>
            <w:tcW w:w="80" w:type="dxa"/>
            <w:vAlign w:val="bottom"/>
          </w:tcPr>
          <w:p>
            <w:pPr>
              <w:spacing w:after="0"/>
              <w:rPr>
                <w:sz w:val="18"/>
                <w:szCs w:val="18"/>
                <w:color w:val="auto"/>
              </w:rPr>
            </w:pPr>
          </w:p>
        </w:tc>
        <w:tc>
          <w:tcPr>
            <w:tcW w:w="24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4,275</w:t>
            </w:r>
          </w:p>
        </w:tc>
        <w:tc>
          <w:tcPr>
            <w:tcW w:w="60" w:type="dxa"/>
            <w:vAlign w:val="bottom"/>
          </w:tcPr>
          <w:p>
            <w:pPr>
              <w:spacing w:after="0"/>
              <w:rPr>
                <w:sz w:val="18"/>
                <w:szCs w:val="18"/>
                <w:color w:val="auto"/>
              </w:rPr>
            </w:pP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20,027</w:t>
            </w:r>
          </w:p>
        </w:tc>
        <w:tc>
          <w:tcPr>
            <w:tcW w:w="80" w:type="dxa"/>
            <w:vAlign w:val="bottom"/>
          </w:tcPr>
          <w:p>
            <w:pPr>
              <w:spacing w:after="0"/>
              <w:rPr>
                <w:sz w:val="18"/>
                <w:szCs w:val="18"/>
                <w:color w:val="auto"/>
              </w:rPr>
            </w:pPr>
          </w:p>
        </w:tc>
        <w:tc>
          <w:tcPr>
            <w:tcW w:w="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17,322</w:t>
            </w:r>
          </w:p>
        </w:tc>
        <w:tc>
          <w:tcPr>
            <w:tcW w:w="80" w:type="dxa"/>
            <w:vAlign w:val="bottom"/>
          </w:tcPr>
          <w:p>
            <w:pPr>
              <w:spacing w:after="0"/>
              <w:rPr>
                <w:sz w:val="18"/>
                <w:szCs w:val="18"/>
                <w:color w:val="auto"/>
              </w:rPr>
            </w:pPr>
          </w:p>
        </w:tc>
        <w:tc>
          <w:tcPr>
            <w:tcW w:w="18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2,390</w:t>
            </w:r>
          </w:p>
        </w:tc>
        <w:tc>
          <w:tcPr>
            <w:tcW w:w="80" w:type="dxa"/>
            <w:vAlign w:val="bottom"/>
          </w:tcPr>
          <w:p>
            <w:pPr>
              <w:spacing w:after="0"/>
              <w:rPr>
                <w:sz w:val="18"/>
                <w:szCs w:val="18"/>
                <w:color w:val="auto"/>
              </w:rPr>
            </w:pPr>
          </w:p>
        </w:tc>
        <w:tc>
          <w:tcPr>
            <w:tcW w:w="260" w:type="dxa"/>
            <w:vAlign w:val="bottom"/>
            <w:tcBorders>
              <w:bottom w:val="single" w:sz="8" w:color="auto"/>
            </w:tcBorders>
          </w:tcPr>
          <w:p>
            <w:pPr>
              <w:jc w:val="right"/>
              <w:ind w:right="106"/>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6,969</w:t>
            </w:r>
          </w:p>
        </w:tc>
        <w:tc>
          <w:tcPr>
            <w:tcW w:w="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81,845</w:t>
            </w:r>
          </w:p>
        </w:tc>
        <w:tc>
          <w:tcPr>
            <w:tcW w:w="0" w:type="dxa"/>
            <w:vAlign w:val="bottom"/>
          </w:tcPr>
          <w:p>
            <w:pPr>
              <w:spacing w:after="0"/>
              <w:rPr>
                <w:sz w:val="1"/>
                <w:szCs w:val="1"/>
                <w:color w:val="auto"/>
              </w:rPr>
            </w:pPr>
          </w:p>
        </w:tc>
      </w:tr>
      <w:tr>
        <w:trPr>
          <w:trHeight w:val="20"/>
        </w:trPr>
        <w:tc>
          <w:tcPr>
            <w:tcW w:w="2800" w:type="dxa"/>
            <w:vAlign w:val="bottom"/>
            <w:vMerge w:val="restart"/>
          </w:tcPr>
          <w:p>
            <w:pPr>
              <w:spacing w:after="0"/>
              <w:rPr>
                <w:sz w:val="20"/>
                <w:szCs w:val="20"/>
                <w:color w:val="auto"/>
              </w:rPr>
            </w:pPr>
            <w:r>
              <w:rPr>
                <w:rFonts w:ascii="Arial" w:cs="Arial" w:eastAsia="Arial" w:hAnsi="Arial"/>
                <w:sz w:val="18"/>
                <w:szCs w:val="18"/>
                <w:color w:val="auto"/>
              </w:rPr>
              <w:t>Loans:</w:t>
            </w: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3"/>
        </w:trPr>
        <w:tc>
          <w:tcPr>
            <w:tcW w:w="280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2800" w:type="dxa"/>
            <w:vAlign w:val="bottom"/>
          </w:tcPr>
          <w:p>
            <w:pPr>
              <w:ind w:left="140"/>
              <w:spacing w:after="0"/>
              <w:rPr>
                <w:sz w:val="20"/>
                <w:szCs w:val="20"/>
                <w:color w:val="auto"/>
              </w:rPr>
            </w:pPr>
            <w:r>
              <w:rPr>
                <w:rFonts w:ascii="Arial" w:cs="Arial" w:eastAsia="Arial" w:hAnsi="Arial"/>
                <w:sz w:val="18"/>
                <w:szCs w:val="18"/>
                <w:color w:val="auto"/>
              </w:rPr>
              <w:t>Individually evaluated for</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800" w:type="dxa"/>
            <w:vAlign w:val="bottom"/>
          </w:tcPr>
          <w:p>
            <w:pPr>
              <w:spacing w:after="0"/>
              <w:rPr>
                <w:sz w:val="20"/>
                <w:szCs w:val="20"/>
                <w:color w:val="auto"/>
              </w:rPr>
            </w:pPr>
            <w:r>
              <w:rPr>
                <w:rFonts w:ascii="Arial" w:cs="Arial" w:eastAsia="Arial" w:hAnsi="Arial"/>
                <w:sz w:val="18"/>
                <w:szCs w:val="18"/>
                <w:color w:val="auto"/>
              </w:rPr>
              <w:t>impairment</w:t>
            </w:r>
          </w:p>
        </w:tc>
        <w:tc>
          <w:tcPr>
            <w:tcW w:w="180" w:type="dxa"/>
            <w:vAlign w:val="bottom"/>
            <w:gridSpan w:val="2"/>
          </w:tcPr>
          <w:p>
            <w:pPr>
              <w:ind w:left="6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31"/>
              <w:spacing w:after="0"/>
              <w:rPr>
                <w:sz w:val="20"/>
                <w:szCs w:val="20"/>
                <w:color w:val="auto"/>
              </w:rPr>
            </w:pPr>
            <w:r>
              <w:rPr>
                <w:rFonts w:ascii="Arial" w:cs="Arial" w:eastAsia="Arial" w:hAnsi="Arial"/>
                <w:sz w:val="18"/>
                <w:szCs w:val="18"/>
                <w:color w:val="auto"/>
              </w:rPr>
              <w:t>52,297</w:t>
            </w:r>
          </w:p>
        </w:tc>
        <w:tc>
          <w:tcPr>
            <w:tcW w:w="30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5,738</w:t>
            </w:r>
          </w:p>
        </w:tc>
        <w:tc>
          <w:tcPr>
            <w:tcW w:w="320" w:type="dxa"/>
            <w:vAlign w:val="bottom"/>
            <w:gridSpan w:val="2"/>
          </w:tcPr>
          <w:p>
            <w:pPr>
              <w:jc w:val="right"/>
              <w:ind w:right="84"/>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12,955</w:t>
            </w:r>
          </w:p>
        </w:tc>
        <w:tc>
          <w:tcPr>
            <w:tcW w:w="20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18,393</w:t>
            </w:r>
          </w:p>
        </w:tc>
        <w:tc>
          <w:tcPr>
            <w:tcW w:w="3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14,095</w:t>
            </w:r>
          </w:p>
        </w:tc>
        <w:tc>
          <w:tcPr>
            <w:tcW w:w="260" w:type="dxa"/>
            <w:vAlign w:val="bottom"/>
            <w:gridSpan w:val="2"/>
          </w:tcPr>
          <w:p>
            <w:pPr>
              <w:jc w:val="right"/>
              <w:ind w:right="24"/>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337</w:t>
            </w:r>
          </w:p>
        </w:tc>
        <w:tc>
          <w:tcPr>
            <w:tcW w:w="340" w:type="dxa"/>
            <w:vAlign w:val="bottom"/>
            <w:gridSpan w:val="2"/>
          </w:tcPr>
          <w:p>
            <w:pPr>
              <w:jc w:val="right"/>
              <w:ind w:right="106"/>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103,815</w:t>
            </w:r>
          </w:p>
        </w:tc>
        <w:tc>
          <w:tcPr>
            <w:tcW w:w="0" w:type="dxa"/>
            <w:vAlign w:val="bottom"/>
          </w:tcPr>
          <w:p>
            <w:pPr>
              <w:spacing w:after="0"/>
              <w:rPr>
                <w:sz w:val="1"/>
                <w:szCs w:val="1"/>
                <w:color w:val="auto"/>
              </w:rPr>
            </w:pPr>
          </w:p>
        </w:tc>
      </w:tr>
      <w:tr>
        <w:trPr>
          <w:trHeight w:val="214"/>
        </w:trPr>
        <w:tc>
          <w:tcPr>
            <w:tcW w:w="2800" w:type="dxa"/>
            <w:vAlign w:val="bottom"/>
          </w:tcPr>
          <w:p>
            <w:pPr>
              <w:ind w:left="140"/>
              <w:spacing w:after="0"/>
              <w:rPr>
                <w:sz w:val="20"/>
                <w:szCs w:val="20"/>
                <w:color w:val="auto"/>
              </w:rPr>
            </w:pPr>
            <w:r>
              <w:rPr>
                <w:rFonts w:ascii="Arial" w:cs="Arial" w:eastAsia="Arial" w:hAnsi="Arial"/>
                <w:sz w:val="18"/>
                <w:szCs w:val="18"/>
                <w:color w:val="auto"/>
              </w:rPr>
              <w:t>Collectively evaluated for</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2800" w:type="dxa"/>
            <w:vAlign w:val="bottom"/>
          </w:tcPr>
          <w:p>
            <w:pPr>
              <w:spacing w:after="0"/>
              <w:rPr>
                <w:sz w:val="20"/>
                <w:szCs w:val="20"/>
                <w:color w:val="auto"/>
              </w:rPr>
            </w:pPr>
            <w:r>
              <w:rPr>
                <w:rFonts w:ascii="Arial" w:cs="Arial" w:eastAsia="Arial" w:hAnsi="Arial"/>
                <w:sz w:val="18"/>
                <w:szCs w:val="18"/>
                <w:color w:val="auto"/>
              </w:rPr>
              <w:t>impairment</w:t>
            </w:r>
          </w:p>
        </w:tc>
        <w:tc>
          <w:tcPr>
            <w:tcW w:w="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w w:val="87"/>
              </w:rPr>
              <w:t>1,695,848</w:t>
            </w:r>
          </w:p>
        </w:tc>
        <w:tc>
          <w:tcPr>
            <w:tcW w:w="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431,250</w:t>
            </w: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119,607</w:t>
            </w:r>
          </w:p>
        </w:tc>
        <w:tc>
          <w:tcPr>
            <w:tcW w:w="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1,260,166</w:t>
            </w:r>
          </w:p>
        </w:tc>
        <w:tc>
          <w:tcPr>
            <w:tcW w:w="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317,586</w:t>
            </w:r>
          </w:p>
        </w:tc>
        <w:tc>
          <w:tcPr>
            <w:tcW w:w="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261,096</w:t>
            </w:r>
          </w:p>
        </w:tc>
        <w:tc>
          <w:tcPr>
            <w:tcW w:w="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w w:val="89"/>
              </w:rPr>
              <w:t>4,085,553</w:t>
            </w:r>
          </w:p>
        </w:tc>
        <w:tc>
          <w:tcPr>
            <w:tcW w:w="0" w:type="dxa"/>
            <w:vAlign w:val="bottom"/>
          </w:tcPr>
          <w:p>
            <w:pPr>
              <w:spacing w:after="0"/>
              <w:rPr>
                <w:sz w:val="1"/>
                <w:szCs w:val="1"/>
                <w:color w:val="auto"/>
              </w:rPr>
            </w:pPr>
          </w:p>
        </w:tc>
      </w:tr>
      <w:tr>
        <w:trPr>
          <w:trHeight w:val="214"/>
        </w:trPr>
        <w:tc>
          <w:tcPr>
            <w:tcW w:w="2800" w:type="dxa"/>
            <w:vAlign w:val="bottom"/>
          </w:tcPr>
          <w:p>
            <w:pPr>
              <w:ind w:left="360"/>
              <w:spacing w:after="0"/>
              <w:rPr>
                <w:sz w:val="20"/>
                <w:szCs w:val="20"/>
                <w:color w:val="auto"/>
              </w:rPr>
            </w:pPr>
            <w:r>
              <w:rPr>
                <w:rFonts w:ascii="Arial" w:cs="Arial" w:eastAsia="Arial" w:hAnsi="Arial"/>
                <w:sz w:val="18"/>
                <w:szCs w:val="18"/>
                <w:color w:val="auto"/>
              </w:rPr>
              <w:t>Total loans</w:t>
            </w:r>
          </w:p>
        </w:tc>
        <w:tc>
          <w:tcPr>
            <w:tcW w:w="60" w:type="dxa"/>
            <w:vAlign w:val="bottom"/>
          </w:tcPr>
          <w:p>
            <w:pPr>
              <w:spacing w:after="0"/>
              <w:rPr>
                <w:sz w:val="18"/>
                <w:szCs w:val="18"/>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w w:val="87"/>
              </w:rPr>
              <w:t>1,748,145</w:t>
            </w:r>
          </w:p>
        </w:tc>
        <w:tc>
          <w:tcPr>
            <w:tcW w:w="60" w:type="dxa"/>
            <w:vAlign w:val="bottom"/>
          </w:tcPr>
          <w:p>
            <w:pPr>
              <w:spacing w:after="0"/>
              <w:rPr>
                <w:sz w:val="18"/>
                <w:szCs w:val="18"/>
                <w:color w:val="auto"/>
              </w:rPr>
            </w:pPr>
          </w:p>
        </w:tc>
        <w:tc>
          <w:tcPr>
            <w:tcW w:w="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436,988</w:t>
            </w:r>
          </w:p>
        </w:tc>
        <w:tc>
          <w:tcPr>
            <w:tcW w:w="80" w:type="dxa"/>
            <w:vAlign w:val="bottom"/>
          </w:tcPr>
          <w:p>
            <w:pPr>
              <w:spacing w:after="0"/>
              <w:rPr>
                <w:sz w:val="18"/>
                <w:szCs w:val="18"/>
                <w:color w:val="auto"/>
              </w:rPr>
            </w:pPr>
          </w:p>
        </w:tc>
        <w:tc>
          <w:tcPr>
            <w:tcW w:w="24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132,562</w:t>
            </w:r>
          </w:p>
        </w:tc>
        <w:tc>
          <w:tcPr>
            <w:tcW w:w="60" w:type="dxa"/>
            <w:vAlign w:val="bottom"/>
          </w:tcPr>
          <w:p>
            <w:pPr>
              <w:spacing w:after="0"/>
              <w:rPr>
                <w:sz w:val="18"/>
                <w:szCs w:val="18"/>
                <w:color w:val="auto"/>
              </w:rPr>
            </w:pP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1,278,559</w:t>
            </w:r>
          </w:p>
        </w:tc>
        <w:tc>
          <w:tcPr>
            <w:tcW w:w="80" w:type="dxa"/>
            <w:vAlign w:val="bottom"/>
          </w:tcPr>
          <w:p>
            <w:pPr>
              <w:spacing w:after="0"/>
              <w:rPr>
                <w:sz w:val="18"/>
                <w:szCs w:val="18"/>
                <w:color w:val="auto"/>
              </w:rPr>
            </w:pPr>
          </w:p>
        </w:tc>
        <w:tc>
          <w:tcPr>
            <w:tcW w:w="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331,681</w:t>
            </w:r>
          </w:p>
        </w:tc>
        <w:tc>
          <w:tcPr>
            <w:tcW w:w="80" w:type="dxa"/>
            <w:vAlign w:val="bottom"/>
          </w:tcPr>
          <w:p>
            <w:pPr>
              <w:spacing w:after="0"/>
              <w:rPr>
                <w:sz w:val="18"/>
                <w:szCs w:val="18"/>
                <w:color w:val="auto"/>
              </w:rPr>
            </w:pPr>
          </w:p>
        </w:tc>
        <w:tc>
          <w:tcPr>
            <w:tcW w:w="18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261,433</w:t>
            </w:r>
          </w:p>
        </w:tc>
        <w:tc>
          <w:tcPr>
            <w:tcW w:w="80" w:type="dxa"/>
            <w:vAlign w:val="bottom"/>
          </w:tcPr>
          <w:p>
            <w:pPr>
              <w:spacing w:after="0"/>
              <w:rPr>
                <w:sz w:val="18"/>
                <w:szCs w:val="18"/>
                <w:color w:val="auto"/>
              </w:rPr>
            </w:pPr>
          </w:p>
        </w:tc>
        <w:tc>
          <w:tcPr>
            <w:tcW w:w="260" w:type="dxa"/>
            <w:vAlign w:val="bottom"/>
            <w:tcBorders>
              <w:bottom w:val="single" w:sz="8" w:color="auto"/>
            </w:tcBorders>
          </w:tcPr>
          <w:p>
            <w:pPr>
              <w:jc w:val="right"/>
              <w:ind w:right="106"/>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w w:val="89"/>
              </w:rPr>
              <w:t>4,189,368</w:t>
            </w:r>
          </w:p>
        </w:tc>
        <w:tc>
          <w:tcPr>
            <w:tcW w:w="0" w:type="dxa"/>
            <w:vAlign w:val="bottom"/>
          </w:tcPr>
          <w:p>
            <w:pPr>
              <w:spacing w:after="0"/>
              <w:rPr>
                <w:sz w:val="1"/>
                <w:szCs w:val="1"/>
                <w:color w:val="auto"/>
              </w:rPr>
            </w:pPr>
          </w:p>
        </w:tc>
      </w:tr>
      <w:tr>
        <w:trPr>
          <w:trHeight w:val="20"/>
        </w:trPr>
        <w:tc>
          <w:tcPr>
            <w:tcW w:w="2800" w:type="dxa"/>
            <w:vAlign w:val="bottom"/>
            <w:vMerge w:val="restart"/>
          </w:tcPr>
          <w:p>
            <w:pPr>
              <w:spacing w:after="0"/>
              <w:rPr>
                <w:sz w:val="20"/>
                <w:szCs w:val="20"/>
                <w:color w:val="auto"/>
              </w:rPr>
            </w:pPr>
            <w:r>
              <w:rPr>
                <w:rFonts w:ascii="Arial" w:cs="Arial" w:eastAsia="Arial" w:hAnsi="Arial"/>
                <w:sz w:val="18"/>
                <w:szCs w:val="18"/>
                <w:b w:val="1"/>
                <w:bCs w:val="1"/>
                <w:color w:val="auto"/>
              </w:rPr>
              <w:t>December 31, 2012</w:t>
            </w: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4"/>
        </w:trPr>
        <w:tc>
          <w:tcPr>
            <w:tcW w:w="2800" w:type="dxa"/>
            <w:vAlign w:val="bottom"/>
            <w:tcBorders>
              <w:bottom w:val="single" w:sz="8" w:color="auto"/>
            </w:tcBorders>
            <w:vMerge w:val="continue"/>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2800" w:type="dxa"/>
            <w:vAlign w:val="bottom"/>
          </w:tcPr>
          <w:p>
            <w:pPr>
              <w:spacing w:after="0" w:line="200" w:lineRule="exact"/>
              <w:rPr>
                <w:sz w:val="20"/>
                <w:szCs w:val="20"/>
                <w:color w:val="auto"/>
              </w:rPr>
            </w:pPr>
            <w:r>
              <w:rPr>
                <w:rFonts w:ascii="Arial" w:cs="Arial" w:eastAsia="Arial" w:hAnsi="Arial"/>
                <w:sz w:val="18"/>
                <w:szCs w:val="18"/>
                <w:color w:val="auto"/>
              </w:rPr>
              <w:t>Allowance for loan losses:</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800" w:type="dxa"/>
            <w:vAlign w:val="bottom"/>
          </w:tcPr>
          <w:p>
            <w:pPr>
              <w:spacing w:after="0"/>
              <w:rPr>
                <w:sz w:val="20"/>
                <w:szCs w:val="20"/>
                <w:color w:val="auto"/>
              </w:rPr>
            </w:pPr>
            <w:r>
              <w:rPr>
                <w:rFonts w:ascii="Arial" w:cs="Arial" w:eastAsia="Arial" w:hAnsi="Arial"/>
                <w:sz w:val="18"/>
                <w:szCs w:val="18"/>
                <w:color w:val="auto"/>
                <w:w w:val="90"/>
              </w:rPr>
              <w:t>Ending allowance attributable to loans:</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800" w:type="dxa"/>
            <w:vAlign w:val="bottom"/>
          </w:tcPr>
          <w:p>
            <w:pPr>
              <w:ind w:left="140"/>
              <w:spacing w:after="0"/>
              <w:rPr>
                <w:sz w:val="20"/>
                <w:szCs w:val="20"/>
                <w:color w:val="auto"/>
              </w:rPr>
            </w:pPr>
            <w:r>
              <w:rPr>
                <w:rFonts w:ascii="Arial" w:cs="Arial" w:eastAsia="Arial" w:hAnsi="Arial"/>
                <w:sz w:val="18"/>
                <w:szCs w:val="18"/>
                <w:color w:val="auto"/>
              </w:rPr>
              <w:t>Individually evaluated for</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800" w:type="dxa"/>
            <w:vAlign w:val="bottom"/>
          </w:tcPr>
          <w:p>
            <w:pPr>
              <w:spacing w:after="0"/>
              <w:rPr>
                <w:sz w:val="20"/>
                <w:szCs w:val="20"/>
                <w:color w:val="auto"/>
              </w:rPr>
            </w:pPr>
            <w:r>
              <w:rPr>
                <w:rFonts w:ascii="Arial" w:cs="Arial" w:eastAsia="Arial" w:hAnsi="Arial"/>
                <w:sz w:val="18"/>
                <w:szCs w:val="18"/>
                <w:color w:val="auto"/>
              </w:rPr>
              <w:t>impairment</w:t>
            </w:r>
          </w:p>
        </w:tc>
        <w:tc>
          <w:tcPr>
            <w:tcW w:w="180" w:type="dxa"/>
            <w:vAlign w:val="bottom"/>
            <w:gridSpan w:val="2"/>
          </w:tcPr>
          <w:p>
            <w:pPr>
              <w:ind w:left="6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31"/>
              <w:spacing w:after="0"/>
              <w:rPr>
                <w:sz w:val="20"/>
                <w:szCs w:val="20"/>
                <w:color w:val="auto"/>
              </w:rPr>
            </w:pPr>
            <w:r>
              <w:rPr>
                <w:rFonts w:ascii="Arial" w:cs="Arial" w:eastAsia="Arial" w:hAnsi="Arial"/>
                <w:sz w:val="18"/>
                <w:szCs w:val="18"/>
                <w:color w:val="auto"/>
              </w:rPr>
              <w:t>6,106</w:t>
            </w:r>
          </w:p>
        </w:tc>
        <w:tc>
          <w:tcPr>
            <w:tcW w:w="30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490</w:t>
            </w:r>
          </w:p>
        </w:tc>
        <w:tc>
          <w:tcPr>
            <w:tcW w:w="320" w:type="dxa"/>
            <w:vAlign w:val="bottom"/>
            <w:gridSpan w:val="2"/>
          </w:tcPr>
          <w:p>
            <w:pPr>
              <w:jc w:val="right"/>
              <w:ind w:right="84"/>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2,239</w:t>
            </w:r>
          </w:p>
        </w:tc>
        <w:tc>
          <w:tcPr>
            <w:tcW w:w="20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2,165</w:t>
            </w:r>
          </w:p>
        </w:tc>
        <w:tc>
          <w:tcPr>
            <w:tcW w:w="3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625</w:t>
            </w:r>
          </w:p>
        </w:tc>
        <w:tc>
          <w:tcPr>
            <w:tcW w:w="260" w:type="dxa"/>
            <w:vAlign w:val="bottom"/>
            <w:gridSpan w:val="2"/>
          </w:tcPr>
          <w:p>
            <w:pPr>
              <w:jc w:val="right"/>
              <w:ind w:right="24"/>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19</w:t>
            </w:r>
          </w:p>
        </w:tc>
        <w:tc>
          <w:tcPr>
            <w:tcW w:w="340" w:type="dxa"/>
            <w:vAlign w:val="bottom"/>
            <w:gridSpan w:val="2"/>
          </w:tcPr>
          <w:p>
            <w:pPr>
              <w:jc w:val="right"/>
              <w:ind w:right="106"/>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11,644</w:t>
            </w:r>
          </w:p>
        </w:tc>
        <w:tc>
          <w:tcPr>
            <w:tcW w:w="0" w:type="dxa"/>
            <w:vAlign w:val="bottom"/>
          </w:tcPr>
          <w:p>
            <w:pPr>
              <w:spacing w:after="0"/>
              <w:rPr>
                <w:sz w:val="1"/>
                <w:szCs w:val="1"/>
                <w:color w:val="auto"/>
              </w:rPr>
            </w:pPr>
          </w:p>
        </w:tc>
      </w:tr>
      <w:tr>
        <w:trPr>
          <w:trHeight w:val="214"/>
        </w:trPr>
        <w:tc>
          <w:tcPr>
            <w:tcW w:w="2800" w:type="dxa"/>
            <w:vAlign w:val="bottom"/>
          </w:tcPr>
          <w:p>
            <w:pPr>
              <w:ind w:left="140"/>
              <w:spacing w:after="0"/>
              <w:rPr>
                <w:sz w:val="20"/>
                <w:szCs w:val="20"/>
                <w:color w:val="auto"/>
              </w:rPr>
            </w:pPr>
            <w:r>
              <w:rPr>
                <w:rFonts w:ascii="Arial" w:cs="Arial" w:eastAsia="Arial" w:hAnsi="Arial"/>
                <w:sz w:val="18"/>
                <w:szCs w:val="18"/>
                <w:color w:val="auto"/>
              </w:rPr>
              <w:t>Collectively evaluated for</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2800" w:type="dxa"/>
            <w:vAlign w:val="bottom"/>
          </w:tcPr>
          <w:p>
            <w:pPr>
              <w:spacing w:after="0"/>
              <w:rPr>
                <w:sz w:val="20"/>
                <w:szCs w:val="20"/>
                <w:color w:val="auto"/>
              </w:rPr>
            </w:pPr>
            <w:r>
              <w:rPr>
                <w:rFonts w:ascii="Arial" w:cs="Arial" w:eastAsia="Arial" w:hAnsi="Arial"/>
                <w:sz w:val="18"/>
                <w:szCs w:val="18"/>
                <w:color w:val="auto"/>
              </w:rPr>
              <w:t>impairment</w:t>
            </w:r>
          </w:p>
        </w:tc>
        <w:tc>
          <w:tcPr>
            <w:tcW w:w="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21,741</w:t>
            </w:r>
          </w:p>
        </w:tc>
        <w:tc>
          <w:tcPr>
            <w:tcW w:w="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5,047</w:t>
            </w: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6,150</w:t>
            </w:r>
          </w:p>
        </w:tc>
        <w:tc>
          <w:tcPr>
            <w:tcW w:w="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24,477</w:t>
            </w:r>
          </w:p>
        </w:tc>
        <w:tc>
          <w:tcPr>
            <w:tcW w:w="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26,037</w:t>
            </w:r>
          </w:p>
        </w:tc>
        <w:tc>
          <w:tcPr>
            <w:tcW w:w="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2,728</w:t>
            </w:r>
          </w:p>
        </w:tc>
        <w:tc>
          <w:tcPr>
            <w:tcW w:w="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9,313</w:t>
            </w:r>
          </w:p>
        </w:tc>
        <w:tc>
          <w:tcPr>
            <w:tcW w:w="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95,493</w:t>
            </w:r>
          </w:p>
        </w:tc>
        <w:tc>
          <w:tcPr>
            <w:tcW w:w="0" w:type="dxa"/>
            <w:vAlign w:val="bottom"/>
          </w:tcPr>
          <w:p>
            <w:pPr>
              <w:spacing w:after="0"/>
              <w:rPr>
                <w:sz w:val="1"/>
                <w:szCs w:val="1"/>
                <w:color w:val="auto"/>
              </w:rPr>
            </w:pPr>
          </w:p>
        </w:tc>
      </w:tr>
      <w:tr>
        <w:trPr>
          <w:trHeight w:val="214"/>
        </w:trPr>
        <w:tc>
          <w:tcPr>
            <w:tcW w:w="2800" w:type="dxa"/>
            <w:vAlign w:val="bottom"/>
          </w:tcPr>
          <w:p>
            <w:pPr>
              <w:ind w:left="360"/>
              <w:spacing w:after="0"/>
              <w:rPr>
                <w:sz w:val="20"/>
                <w:szCs w:val="20"/>
                <w:color w:val="auto"/>
              </w:rPr>
            </w:pPr>
            <w:r>
              <w:rPr>
                <w:rFonts w:ascii="Arial" w:cs="Arial" w:eastAsia="Arial" w:hAnsi="Arial"/>
                <w:sz w:val="18"/>
                <w:szCs w:val="18"/>
                <w:color w:val="auto"/>
                <w:w w:val="95"/>
              </w:rPr>
              <w:t>Total ending allowance balance</w:t>
            </w:r>
          </w:p>
        </w:tc>
        <w:tc>
          <w:tcPr>
            <w:tcW w:w="60" w:type="dxa"/>
            <w:vAlign w:val="bottom"/>
          </w:tcPr>
          <w:p>
            <w:pPr>
              <w:spacing w:after="0"/>
              <w:rPr>
                <w:sz w:val="18"/>
                <w:szCs w:val="18"/>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27,847</w:t>
            </w:r>
          </w:p>
        </w:tc>
        <w:tc>
          <w:tcPr>
            <w:tcW w:w="60" w:type="dxa"/>
            <w:vAlign w:val="bottom"/>
          </w:tcPr>
          <w:p>
            <w:pPr>
              <w:spacing w:after="0"/>
              <w:rPr>
                <w:sz w:val="18"/>
                <w:szCs w:val="18"/>
                <w:color w:val="auto"/>
              </w:rPr>
            </w:pPr>
          </w:p>
        </w:tc>
        <w:tc>
          <w:tcPr>
            <w:tcW w:w="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5,537</w:t>
            </w:r>
          </w:p>
        </w:tc>
        <w:tc>
          <w:tcPr>
            <w:tcW w:w="80" w:type="dxa"/>
            <w:vAlign w:val="bottom"/>
          </w:tcPr>
          <w:p>
            <w:pPr>
              <w:spacing w:after="0"/>
              <w:rPr>
                <w:sz w:val="18"/>
                <w:szCs w:val="18"/>
                <w:color w:val="auto"/>
              </w:rPr>
            </w:pPr>
          </w:p>
        </w:tc>
        <w:tc>
          <w:tcPr>
            <w:tcW w:w="24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8,389</w:t>
            </w:r>
          </w:p>
        </w:tc>
        <w:tc>
          <w:tcPr>
            <w:tcW w:w="60" w:type="dxa"/>
            <w:vAlign w:val="bottom"/>
          </w:tcPr>
          <w:p>
            <w:pPr>
              <w:spacing w:after="0"/>
              <w:rPr>
                <w:sz w:val="18"/>
                <w:szCs w:val="18"/>
                <w:color w:val="auto"/>
              </w:rPr>
            </w:pP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26,642</w:t>
            </w:r>
          </w:p>
        </w:tc>
        <w:tc>
          <w:tcPr>
            <w:tcW w:w="80" w:type="dxa"/>
            <w:vAlign w:val="bottom"/>
          </w:tcPr>
          <w:p>
            <w:pPr>
              <w:spacing w:after="0"/>
              <w:rPr>
                <w:sz w:val="18"/>
                <w:szCs w:val="18"/>
                <w:color w:val="auto"/>
              </w:rPr>
            </w:pPr>
          </w:p>
        </w:tc>
        <w:tc>
          <w:tcPr>
            <w:tcW w:w="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26,662</w:t>
            </w:r>
          </w:p>
        </w:tc>
        <w:tc>
          <w:tcPr>
            <w:tcW w:w="80" w:type="dxa"/>
            <w:vAlign w:val="bottom"/>
          </w:tcPr>
          <w:p>
            <w:pPr>
              <w:spacing w:after="0"/>
              <w:rPr>
                <w:sz w:val="18"/>
                <w:szCs w:val="18"/>
                <w:color w:val="auto"/>
              </w:rPr>
            </w:pPr>
          </w:p>
        </w:tc>
        <w:tc>
          <w:tcPr>
            <w:tcW w:w="18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2,747</w:t>
            </w:r>
          </w:p>
        </w:tc>
        <w:tc>
          <w:tcPr>
            <w:tcW w:w="80" w:type="dxa"/>
            <w:vAlign w:val="bottom"/>
          </w:tcPr>
          <w:p>
            <w:pPr>
              <w:spacing w:after="0"/>
              <w:rPr>
                <w:sz w:val="18"/>
                <w:szCs w:val="18"/>
                <w:color w:val="auto"/>
              </w:rPr>
            </w:pPr>
          </w:p>
        </w:tc>
        <w:tc>
          <w:tcPr>
            <w:tcW w:w="260" w:type="dxa"/>
            <w:vAlign w:val="bottom"/>
            <w:tcBorders>
              <w:bottom w:val="single" w:sz="8" w:color="auto"/>
            </w:tcBorders>
          </w:tcPr>
          <w:p>
            <w:pPr>
              <w:jc w:val="right"/>
              <w:ind w:right="106"/>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9,313</w:t>
            </w:r>
          </w:p>
        </w:tc>
        <w:tc>
          <w:tcPr>
            <w:tcW w:w="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107,137</w:t>
            </w:r>
          </w:p>
        </w:tc>
        <w:tc>
          <w:tcPr>
            <w:tcW w:w="0" w:type="dxa"/>
            <w:vAlign w:val="bottom"/>
          </w:tcPr>
          <w:p>
            <w:pPr>
              <w:spacing w:after="0"/>
              <w:rPr>
                <w:sz w:val="1"/>
                <w:szCs w:val="1"/>
                <w:color w:val="auto"/>
              </w:rPr>
            </w:pPr>
          </w:p>
        </w:tc>
      </w:tr>
      <w:tr>
        <w:trPr>
          <w:trHeight w:val="20"/>
        </w:trPr>
        <w:tc>
          <w:tcPr>
            <w:tcW w:w="2800" w:type="dxa"/>
            <w:vAlign w:val="bottom"/>
            <w:vMerge w:val="restart"/>
          </w:tcPr>
          <w:p>
            <w:pPr>
              <w:spacing w:after="0"/>
              <w:rPr>
                <w:sz w:val="20"/>
                <w:szCs w:val="20"/>
                <w:color w:val="auto"/>
              </w:rPr>
            </w:pPr>
            <w:r>
              <w:rPr>
                <w:rFonts w:ascii="Arial" w:cs="Arial" w:eastAsia="Arial" w:hAnsi="Arial"/>
                <w:sz w:val="18"/>
                <w:szCs w:val="18"/>
                <w:color w:val="auto"/>
              </w:rPr>
              <w:t>Loans:</w:t>
            </w: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3"/>
        </w:trPr>
        <w:tc>
          <w:tcPr>
            <w:tcW w:w="280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2800" w:type="dxa"/>
            <w:vAlign w:val="bottom"/>
          </w:tcPr>
          <w:p>
            <w:pPr>
              <w:ind w:left="140"/>
              <w:spacing w:after="0"/>
              <w:rPr>
                <w:sz w:val="20"/>
                <w:szCs w:val="20"/>
                <w:color w:val="auto"/>
              </w:rPr>
            </w:pPr>
            <w:r>
              <w:rPr>
                <w:rFonts w:ascii="Arial" w:cs="Arial" w:eastAsia="Arial" w:hAnsi="Arial"/>
                <w:sz w:val="18"/>
                <w:szCs w:val="18"/>
                <w:color w:val="auto"/>
              </w:rPr>
              <w:t>Individually evaluated for</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800" w:type="dxa"/>
            <w:vAlign w:val="bottom"/>
          </w:tcPr>
          <w:p>
            <w:pPr>
              <w:spacing w:after="0"/>
              <w:rPr>
                <w:sz w:val="20"/>
                <w:szCs w:val="20"/>
                <w:color w:val="auto"/>
              </w:rPr>
            </w:pPr>
            <w:r>
              <w:rPr>
                <w:rFonts w:ascii="Arial" w:cs="Arial" w:eastAsia="Arial" w:hAnsi="Arial"/>
                <w:sz w:val="18"/>
                <w:szCs w:val="18"/>
                <w:color w:val="auto"/>
              </w:rPr>
              <w:t>impairment</w:t>
            </w:r>
          </w:p>
        </w:tc>
        <w:tc>
          <w:tcPr>
            <w:tcW w:w="180" w:type="dxa"/>
            <w:vAlign w:val="bottom"/>
            <w:gridSpan w:val="2"/>
          </w:tcPr>
          <w:p>
            <w:pPr>
              <w:ind w:left="6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31"/>
              <w:spacing w:after="0"/>
              <w:rPr>
                <w:sz w:val="20"/>
                <w:szCs w:val="20"/>
                <w:color w:val="auto"/>
              </w:rPr>
            </w:pPr>
            <w:r>
              <w:rPr>
                <w:rFonts w:ascii="Arial" w:cs="Arial" w:eastAsia="Arial" w:hAnsi="Arial"/>
                <w:sz w:val="18"/>
                <w:szCs w:val="18"/>
                <w:color w:val="auto"/>
              </w:rPr>
              <w:t>104,409</w:t>
            </w:r>
          </w:p>
        </w:tc>
        <w:tc>
          <w:tcPr>
            <w:tcW w:w="30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51,501</w:t>
            </w:r>
          </w:p>
        </w:tc>
        <w:tc>
          <w:tcPr>
            <w:tcW w:w="320" w:type="dxa"/>
            <w:vAlign w:val="bottom"/>
            <w:gridSpan w:val="2"/>
          </w:tcPr>
          <w:p>
            <w:pPr>
              <w:jc w:val="right"/>
              <w:ind w:right="84"/>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40,168</w:t>
            </w:r>
          </w:p>
        </w:tc>
        <w:tc>
          <w:tcPr>
            <w:tcW w:w="20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22,247</w:t>
            </w:r>
          </w:p>
        </w:tc>
        <w:tc>
          <w:tcPr>
            <w:tcW w:w="3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34,055</w:t>
            </w:r>
          </w:p>
        </w:tc>
        <w:tc>
          <w:tcPr>
            <w:tcW w:w="260" w:type="dxa"/>
            <w:vAlign w:val="bottom"/>
            <w:gridSpan w:val="2"/>
          </w:tcPr>
          <w:p>
            <w:pPr>
              <w:jc w:val="right"/>
              <w:ind w:right="24"/>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430</w:t>
            </w:r>
          </w:p>
        </w:tc>
        <w:tc>
          <w:tcPr>
            <w:tcW w:w="340" w:type="dxa"/>
            <w:vAlign w:val="bottom"/>
            <w:gridSpan w:val="2"/>
          </w:tcPr>
          <w:p>
            <w:pPr>
              <w:jc w:val="right"/>
              <w:ind w:right="106"/>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252,810</w:t>
            </w:r>
          </w:p>
        </w:tc>
        <w:tc>
          <w:tcPr>
            <w:tcW w:w="0" w:type="dxa"/>
            <w:vAlign w:val="bottom"/>
          </w:tcPr>
          <w:p>
            <w:pPr>
              <w:spacing w:after="0"/>
              <w:rPr>
                <w:sz w:val="1"/>
                <w:szCs w:val="1"/>
                <w:color w:val="auto"/>
              </w:rPr>
            </w:pPr>
          </w:p>
        </w:tc>
      </w:tr>
      <w:tr>
        <w:trPr>
          <w:trHeight w:val="214"/>
        </w:trPr>
        <w:tc>
          <w:tcPr>
            <w:tcW w:w="2800" w:type="dxa"/>
            <w:vAlign w:val="bottom"/>
          </w:tcPr>
          <w:p>
            <w:pPr>
              <w:ind w:left="140"/>
              <w:spacing w:after="0"/>
              <w:rPr>
                <w:sz w:val="20"/>
                <w:szCs w:val="20"/>
                <w:color w:val="auto"/>
              </w:rPr>
            </w:pPr>
            <w:r>
              <w:rPr>
                <w:rFonts w:ascii="Arial" w:cs="Arial" w:eastAsia="Arial" w:hAnsi="Arial"/>
                <w:sz w:val="18"/>
                <w:szCs w:val="18"/>
                <w:color w:val="auto"/>
              </w:rPr>
              <w:t>Collectively evaluated for</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2800" w:type="dxa"/>
            <w:vAlign w:val="bottom"/>
          </w:tcPr>
          <w:p>
            <w:pPr>
              <w:spacing w:after="0"/>
              <w:rPr>
                <w:sz w:val="20"/>
                <w:szCs w:val="20"/>
                <w:color w:val="auto"/>
              </w:rPr>
            </w:pPr>
            <w:r>
              <w:rPr>
                <w:rFonts w:ascii="Arial" w:cs="Arial" w:eastAsia="Arial" w:hAnsi="Arial"/>
                <w:sz w:val="18"/>
                <w:szCs w:val="18"/>
                <w:color w:val="auto"/>
              </w:rPr>
              <w:t>impairment</w:t>
            </w:r>
          </w:p>
        </w:tc>
        <w:tc>
          <w:tcPr>
            <w:tcW w:w="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w w:val="87"/>
              </w:rPr>
              <w:t>1,708,956</w:t>
            </w:r>
          </w:p>
        </w:tc>
        <w:tc>
          <w:tcPr>
            <w:tcW w:w="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406,745</w:t>
            </w: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114,601</w:t>
            </w:r>
          </w:p>
        </w:tc>
        <w:tc>
          <w:tcPr>
            <w:tcW w:w="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1,191,956</w:t>
            </w:r>
          </w:p>
        </w:tc>
        <w:tc>
          <w:tcPr>
            <w:tcW w:w="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347,622</w:t>
            </w:r>
          </w:p>
        </w:tc>
        <w:tc>
          <w:tcPr>
            <w:tcW w:w="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152,318</w:t>
            </w:r>
          </w:p>
        </w:tc>
        <w:tc>
          <w:tcPr>
            <w:tcW w:w="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w w:val="89"/>
              </w:rPr>
              <w:t>3,922,198</w:t>
            </w:r>
          </w:p>
        </w:tc>
        <w:tc>
          <w:tcPr>
            <w:tcW w:w="0" w:type="dxa"/>
            <w:vAlign w:val="bottom"/>
          </w:tcPr>
          <w:p>
            <w:pPr>
              <w:spacing w:after="0"/>
              <w:rPr>
                <w:sz w:val="1"/>
                <w:szCs w:val="1"/>
                <w:color w:val="auto"/>
              </w:rPr>
            </w:pPr>
          </w:p>
        </w:tc>
      </w:tr>
      <w:tr>
        <w:trPr>
          <w:trHeight w:val="214"/>
        </w:trPr>
        <w:tc>
          <w:tcPr>
            <w:tcW w:w="2800" w:type="dxa"/>
            <w:vAlign w:val="bottom"/>
          </w:tcPr>
          <w:p>
            <w:pPr>
              <w:ind w:left="360"/>
              <w:spacing w:after="0"/>
              <w:rPr>
                <w:sz w:val="20"/>
                <w:szCs w:val="20"/>
                <w:color w:val="auto"/>
              </w:rPr>
            </w:pPr>
            <w:r>
              <w:rPr>
                <w:rFonts w:ascii="Arial" w:cs="Arial" w:eastAsia="Arial" w:hAnsi="Arial"/>
                <w:sz w:val="18"/>
                <w:szCs w:val="18"/>
                <w:color w:val="auto"/>
              </w:rPr>
              <w:t>Total loans</w:t>
            </w:r>
          </w:p>
        </w:tc>
        <w:tc>
          <w:tcPr>
            <w:tcW w:w="60" w:type="dxa"/>
            <w:vAlign w:val="bottom"/>
          </w:tcPr>
          <w:p>
            <w:pPr>
              <w:spacing w:after="0"/>
              <w:rPr>
                <w:sz w:val="18"/>
                <w:szCs w:val="18"/>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w w:val="87"/>
              </w:rPr>
              <w:t>1,813,365</w:t>
            </w:r>
          </w:p>
        </w:tc>
        <w:tc>
          <w:tcPr>
            <w:tcW w:w="60" w:type="dxa"/>
            <w:vAlign w:val="bottom"/>
          </w:tcPr>
          <w:p>
            <w:pPr>
              <w:spacing w:after="0"/>
              <w:rPr>
                <w:sz w:val="18"/>
                <w:szCs w:val="18"/>
                <w:color w:val="auto"/>
              </w:rPr>
            </w:pPr>
          </w:p>
        </w:tc>
        <w:tc>
          <w:tcPr>
            <w:tcW w:w="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458,246</w:t>
            </w:r>
          </w:p>
        </w:tc>
        <w:tc>
          <w:tcPr>
            <w:tcW w:w="80" w:type="dxa"/>
            <w:vAlign w:val="bottom"/>
          </w:tcPr>
          <w:p>
            <w:pPr>
              <w:spacing w:after="0"/>
              <w:rPr>
                <w:sz w:val="18"/>
                <w:szCs w:val="18"/>
                <w:color w:val="auto"/>
              </w:rPr>
            </w:pPr>
          </w:p>
        </w:tc>
        <w:tc>
          <w:tcPr>
            <w:tcW w:w="24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154,769</w:t>
            </w:r>
          </w:p>
        </w:tc>
        <w:tc>
          <w:tcPr>
            <w:tcW w:w="60" w:type="dxa"/>
            <w:vAlign w:val="bottom"/>
          </w:tcPr>
          <w:p>
            <w:pPr>
              <w:spacing w:after="0"/>
              <w:rPr>
                <w:sz w:val="18"/>
                <w:szCs w:val="18"/>
                <w:color w:val="auto"/>
              </w:rPr>
            </w:pP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1,214,203</w:t>
            </w:r>
          </w:p>
        </w:tc>
        <w:tc>
          <w:tcPr>
            <w:tcW w:w="80" w:type="dxa"/>
            <w:vAlign w:val="bottom"/>
          </w:tcPr>
          <w:p>
            <w:pPr>
              <w:spacing w:after="0"/>
              <w:rPr>
                <w:sz w:val="18"/>
                <w:szCs w:val="18"/>
                <w:color w:val="auto"/>
              </w:rPr>
            </w:pPr>
          </w:p>
        </w:tc>
        <w:tc>
          <w:tcPr>
            <w:tcW w:w="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381,677</w:t>
            </w:r>
          </w:p>
        </w:tc>
        <w:tc>
          <w:tcPr>
            <w:tcW w:w="80" w:type="dxa"/>
            <w:vAlign w:val="bottom"/>
          </w:tcPr>
          <w:p>
            <w:pPr>
              <w:spacing w:after="0"/>
              <w:rPr>
                <w:sz w:val="18"/>
                <w:szCs w:val="18"/>
                <w:color w:val="auto"/>
              </w:rPr>
            </w:pPr>
          </w:p>
        </w:tc>
        <w:tc>
          <w:tcPr>
            <w:tcW w:w="18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152,748</w:t>
            </w:r>
          </w:p>
        </w:tc>
        <w:tc>
          <w:tcPr>
            <w:tcW w:w="80" w:type="dxa"/>
            <w:vAlign w:val="bottom"/>
          </w:tcPr>
          <w:p>
            <w:pPr>
              <w:spacing w:after="0"/>
              <w:rPr>
                <w:sz w:val="18"/>
                <w:szCs w:val="18"/>
                <w:color w:val="auto"/>
              </w:rPr>
            </w:pPr>
          </w:p>
        </w:tc>
        <w:tc>
          <w:tcPr>
            <w:tcW w:w="260" w:type="dxa"/>
            <w:vAlign w:val="bottom"/>
            <w:tcBorders>
              <w:bottom w:val="single" w:sz="8" w:color="auto"/>
            </w:tcBorders>
          </w:tcPr>
          <w:p>
            <w:pPr>
              <w:jc w:val="right"/>
              <w:ind w:right="106"/>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w w:val="89"/>
              </w:rPr>
              <w:t>4,175,008</w:t>
            </w:r>
          </w:p>
        </w:tc>
        <w:tc>
          <w:tcPr>
            <w:tcW w:w="0" w:type="dxa"/>
            <w:vAlign w:val="bottom"/>
          </w:tcPr>
          <w:p>
            <w:pPr>
              <w:spacing w:after="0"/>
              <w:rPr>
                <w:sz w:val="1"/>
                <w:szCs w:val="1"/>
                <w:color w:val="auto"/>
              </w:rPr>
            </w:pPr>
          </w:p>
        </w:tc>
      </w:tr>
      <w:tr>
        <w:trPr>
          <w:trHeight w:val="20"/>
        </w:trPr>
        <w:tc>
          <w:tcPr>
            <w:tcW w:w="2800" w:type="dxa"/>
            <w:vAlign w:val="bottom"/>
            <w:vMerge w:val="restart"/>
          </w:tcPr>
          <w:p>
            <w:pPr>
              <w:spacing w:after="0"/>
              <w:rPr>
                <w:sz w:val="20"/>
                <w:szCs w:val="20"/>
                <w:color w:val="auto"/>
              </w:rPr>
            </w:pPr>
            <w:r>
              <w:rPr>
                <w:rFonts w:ascii="Arial" w:cs="Arial" w:eastAsia="Arial" w:hAnsi="Arial"/>
                <w:sz w:val="18"/>
                <w:szCs w:val="18"/>
                <w:b w:val="1"/>
                <w:bCs w:val="1"/>
                <w:color w:val="auto"/>
                <w:w w:val="99"/>
              </w:rPr>
              <w:t>Six Months Ended June 30, 2012</w:t>
            </w: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0"/>
        </w:trPr>
        <w:tc>
          <w:tcPr>
            <w:tcW w:w="2800" w:type="dxa"/>
            <w:vAlign w:val="bottom"/>
            <w:tcBorders>
              <w:bottom w:val="single" w:sz="8" w:color="auto"/>
            </w:tcBorders>
            <w:vMerge w:val="continue"/>
          </w:tcPr>
          <w:p>
            <w:pPr>
              <w:spacing w:after="0"/>
              <w:rPr>
                <w:sz w:val="18"/>
                <w:szCs w:val="18"/>
                <w:color w:val="auto"/>
              </w:rPr>
            </w:pPr>
          </w:p>
        </w:tc>
        <w:tc>
          <w:tcPr>
            <w:tcW w:w="180" w:type="dxa"/>
            <w:vAlign w:val="bottom"/>
            <w:gridSpan w:val="2"/>
            <w:vMerge w:val="restart"/>
          </w:tcPr>
          <w:p>
            <w:pPr>
              <w:ind w:left="60"/>
              <w:spacing w:after="0"/>
              <w:rPr>
                <w:sz w:val="20"/>
                <w:szCs w:val="20"/>
                <w:color w:val="auto"/>
              </w:rPr>
            </w:pPr>
            <w:r>
              <w:rPr>
                <w:rFonts w:ascii="Arial" w:cs="Arial" w:eastAsia="Arial" w:hAnsi="Arial"/>
                <w:sz w:val="18"/>
                <w:szCs w:val="18"/>
                <w:color w:val="auto"/>
                <w:w w:val="99"/>
              </w:rPr>
              <w:t>$</w:t>
            </w:r>
          </w:p>
        </w:tc>
        <w:tc>
          <w:tcPr>
            <w:tcW w:w="840" w:type="dxa"/>
            <w:vAlign w:val="bottom"/>
            <w:vMerge w:val="restart"/>
          </w:tcPr>
          <w:p>
            <w:pPr>
              <w:jc w:val="right"/>
              <w:ind w:right="31"/>
              <w:spacing w:after="0"/>
              <w:rPr>
                <w:sz w:val="20"/>
                <w:szCs w:val="20"/>
                <w:color w:val="auto"/>
              </w:rPr>
            </w:pPr>
            <w:r>
              <w:rPr>
                <w:rFonts w:ascii="Arial" w:cs="Arial" w:eastAsia="Arial" w:hAnsi="Arial"/>
                <w:sz w:val="18"/>
                <w:szCs w:val="18"/>
                <w:color w:val="auto"/>
              </w:rPr>
              <w:t>31,644</w:t>
            </w:r>
          </w:p>
        </w:tc>
        <w:tc>
          <w:tcPr>
            <w:tcW w:w="300" w:type="dxa"/>
            <w:vAlign w:val="bottom"/>
            <w:gridSpan w:val="2"/>
            <w:vMerge w:val="restart"/>
          </w:tcPr>
          <w:p>
            <w:pPr>
              <w:ind w:left="60"/>
              <w:spacing w:after="0"/>
              <w:rPr>
                <w:sz w:val="20"/>
                <w:szCs w:val="20"/>
                <w:color w:val="auto"/>
              </w:rPr>
            </w:pPr>
            <w:r>
              <w:rPr>
                <w:rFonts w:ascii="Arial" w:cs="Arial" w:eastAsia="Arial" w:hAnsi="Arial"/>
                <w:sz w:val="18"/>
                <w:szCs w:val="18"/>
                <w:color w:val="auto"/>
              </w:rPr>
              <w:t>$</w:t>
            </w: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5,681</w:t>
            </w:r>
          </w:p>
        </w:tc>
        <w:tc>
          <w:tcPr>
            <w:tcW w:w="320" w:type="dxa"/>
            <w:vAlign w:val="bottom"/>
            <w:gridSpan w:val="2"/>
            <w:vMerge w:val="restart"/>
          </w:tcPr>
          <w:p>
            <w:pPr>
              <w:jc w:val="right"/>
              <w:ind w:right="84"/>
              <w:spacing w:after="0"/>
              <w:rPr>
                <w:sz w:val="20"/>
                <w:szCs w:val="20"/>
                <w:color w:val="auto"/>
              </w:rPr>
            </w:pPr>
            <w:r>
              <w:rPr>
                <w:rFonts w:ascii="Arial" w:cs="Arial" w:eastAsia="Arial" w:hAnsi="Arial"/>
                <w:sz w:val="18"/>
                <w:szCs w:val="18"/>
                <w:color w:val="auto"/>
              </w:rPr>
              <w:t>$</w:t>
            </w: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6,097</w:t>
            </w:r>
          </w:p>
        </w:tc>
        <w:tc>
          <w:tcPr>
            <w:tcW w:w="200" w:type="dxa"/>
            <w:vAlign w:val="bottom"/>
            <w:gridSpan w:val="2"/>
            <w:vMerge w:val="restart"/>
          </w:tcPr>
          <w:p>
            <w:pPr>
              <w:ind w:left="60"/>
              <w:spacing w:after="0"/>
              <w:rPr>
                <w:sz w:val="20"/>
                <w:szCs w:val="20"/>
                <w:color w:val="auto"/>
              </w:rPr>
            </w:pPr>
            <w:r>
              <w:rPr>
                <w:rFonts w:ascii="Arial" w:cs="Arial" w:eastAsia="Arial" w:hAnsi="Arial"/>
                <w:sz w:val="18"/>
                <w:szCs w:val="18"/>
                <w:color w:val="auto"/>
              </w:rPr>
              <w:t>$</w:t>
            </w: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29,076</w:t>
            </w:r>
          </w:p>
        </w:tc>
        <w:tc>
          <w:tcPr>
            <w:tcW w:w="340" w:type="dxa"/>
            <w:vAlign w:val="bottom"/>
            <w:gridSpan w:val="2"/>
            <w:vMerge w:val="restart"/>
          </w:tcPr>
          <w:p>
            <w:pPr>
              <w:ind w:left="80"/>
              <w:spacing w:after="0"/>
              <w:rPr>
                <w:sz w:val="20"/>
                <w:szCs w:val="20"/>
                <w:color w:val="auto"/>
              </w:rPr>
            </w:pPr>
            <w:r>
              <w:rPr>
                <w:rFonts w:ascii="Arial" w:cs="Arial" w:eastAsia="Arial" w:hAnsi="Arial"/>
                <w:sz w:val="18"/>
                <w:szCs w:val="18"/>
                <w:color w:val="auto"/>
              </w:rPr>
              <w:t>$</w:t>
            </w: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30,379</w:t>
            </w:r>
          </w:p>
        </w:tc>
        <w:tc>
          <w:tcPr>
            <w:tcW w:w="260" w:type="dxa"/>
            <w:vAlign w:val="bottom"/>
            <w:gridSpan w:val="2"/>
            <w:vMerge w:val="restart"/>
          </w:tcPr>
          <w:p>
            <w:pPr>
              <w:jc w:val="right"/>
              <w:ind w:right="24"/>
              <w:spacing w:after="0"/>
              <w:rPr>
                <w:sz w:val="20"/>
                <w:szCs w:val="20"/>
                <w:color w:val="auto"/>
              </w:rPr>
            </w:pPr>
            <w:r>
              <w:rPr>
                <w:rFonts w:ascii="Arial" w:cs="Arial" w:eastAsia="Arial" w:hAnsi="Arial"/>
                <w:sz w:val="18"/>
                <w:szCs w:val="18"/>
                <w:color w:val="auto"/>
              </w:rPr>
              <w:t>$</w:t>
            </w:r>
          </w:p>
        </w:tc>
        <w:tc>
          <w:tcPr>
            <w:tcW w:w="800" w:type="dxa"/>
            <w:vAlign w:val="bottom"/>
            <w:vMerge w:val="restart"/>
          </w:tcPr>
          <w:p>
            <w:pPr>
              <w:jc w:val="right"/>
              <w:ind w:right="11"/>
              <w:spacing w:after="0"/>
              <w:rPr>
                <w:sz w:val="20"/>
                <w:szCs w:val="20"/>
                <w:color w:val="auto"/>
              </w:rPr>
            </w:pPr>
            <w:r>
              <w:rPr>
                <w:rFonts w:ascii="Arial" w:cs="Arial" w:eastAsia="Arial" w:hAnsi="Arial"/>
                <w:sz w:val="18"/>
                <w:szCs w:val="18"/>
                <w:color w:val="auto"/>
              </w:rPr>
              <w:t>2,124</w:t>
            </w:r>
          </w:p>
        </w:tc>
        <w:tc>
          <w:tcPr>
            <w:tcW w:w="340" w:type="dxa"/>
            <w:vAlign w:val="bottom"/>
            <w:gridSpan w:val="2"/>
            <w:vMerge w:val="restart"/>
          </w:tcPr>
          <w:p>
            <w:pPr>
              <w:jc w:val="right"/>
              <w:ind w:right="106"/>
              <w:spacing w:after="0"/>
              <w:rPr>
                <w:sz w:val="20"/>
                <w:szCs w:val="20"/>
                <w:color w:val="auto"/>
              </w:rPr>
            </w:pPr>
            <w:r>
              <w:rPr>
                <w:rFonts w:ascii="Arial" w:cs="Arial" w:eastAsia="Arial" w:hAnsi="Arial"/>
                <w:sz w:val="18"/>
                <w:szCs w:val="18"/>
                <w:color w:val="auto"/>
              </w:rPr>
              <w:t>$</w:t>
            </w:r>
          </w:p>
        </w:tc>
        <w:tc>
          <w:tcPr>
            <w:tcW w:w="740" w:type="dxa"/>
            <w:vAlign w:val="bottom"/>
            <w:vMerge w:val="restart"/>
          </w:tcPr>
          <w:p>
            <w:pPr>
              <w:jc w:val="right"/>
              <w:ind w:right="11"/>
              <w:spacing w:after="0"/>
              <w:rPr>
                <w:sz w:val="20"/>
                <w:szCs w:val="20"/>
                <w:color w:val="auto"/>
              </w:rPr>
            </w:pPr>
            <w:r>
              <w:rPr>
                <w:rFonts w:ascii="Arial" w:cs="Arial" w:eastAsia="Arial" w:hAnsi="Arial"/>
                <w:sz w:val="18"/>
                <w:szCs w:val="18"/>
                <w:color w:val="auto"/>
              </w:rPr>
              <w:t>9,467</w:t>
            </w:r>
          </w:p>
        </w:tc>
        <w:tc>
          <w:tcPr>
            <w:tcW w:w="20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840" w:type="dxa"/>
            <w:vAlign w:val="bottom"/>
            <w:vMerge w:val="restart"/>
          </w:tcPr>
          <w:p>
            <w:pPr>
              <w:jc w:val="right"/>
              <w:ind w:right="11"/>
              <w:spacing w:after="0"/>
              <w:rPr>
                <w:sz w:val="20"/>
                <w:szCs w:val="20"/>
                <w:color w:val="auto"/>
              </w:rPr>
            </w:pPr>
            <w:r>
              <w:rPr>
                <w:rFonts w:ascii="Arial" w:cs="Arial" w:eastAsia="Arial" w:hAnsi="Arial"/>
                <w:sz w:val="18"/>
                <w:szCs w:val="18"/>
                <w:color w:val="auto"/>
              </w:rPr>
              <w:t>114,468</w:t>
            </w:r>
          </w:p>
        </w:tc>
        <w:tc>
          <w:tcPr>
            <w:tcW w:w="0" w:type="dxa"/>
            <w:vAlign w:val="bottom"/>
          </w:tcPr>
          <w:p>
            <w:pPr>
              <w:spacing w:after="0"/>
              <w:rPr>
                <w:sz w:val="1"/>
                <w:szCs w:val="1"/>
                <w:color w:val="auto"/>
              </w:rPr>
            </w:pPr>
          </w:p>
        </w:tc>
      </w:tr>
      <w:tr>
        <w:trPr>
          <w:trHeight w:val="200"/>
        </w:trPr>
        <w:tc>
          <w:tcPr>
            <w:tcW w:w="2800" w:type="dxa"/>
            <w:vAlign w:val="bottom"/>
          </w:tcPr>
          <w:p>
            <w:pPr>
              <w:spacing w:after="0" w:line="200" w:lineRule="exact"/>
              <w:rPr>
                <w:sz w:val="20"/>
                <w:szCs w:val="20"/>
                <w:color w:val="auto"/>
              </w:rPr>
            </w:pPr>
            <w:r>
              <w:rPr>
                <w:rFonts w:ascii="Arial" w:cs="Arial" w:eastAsia="Arial" w:hAnsi="Arial"/>
                <w:sz w:val="18"/>
                <w:szCs w:val="18"/>
                <w:color w:val="auto"/>
              </w:rPr>
              <w:t>Beginning balance</w:t>
            </w:r>
          </w:p>
        </w:tc>
        <w:tc>
          <w:tcPr>
            <w:tcW w:w="180" w:type="dxa"/>
            <w:vAlign w:val="bottom"/>
            <w:gridSpan w:val="2"/>
            <w:vMerge w:val="continue"/>
          </w:tcPr>
          <w:p>
            <w:pPr>
              <w:spacing w:after="0"/>
              <w:rPr>
                <w:sz w:val="17"/>
                <w:szCs w:val="17"/>
                <w:color w:val="auto"/>
              </w:rPr>
            </w:pPr>
          </w:p>
        </w:tc>
        <w:tc>
          <w:tcPr>
            <w:tcW w:w="840" w:type="dxa"/>
            <w:vAlign w:val="bottom"/>
            <w:vMerge w:val="continue"/>
          </w:tcPr>
          <w:p>
            <w:pPr>
              <w:spacing w:after="0"/>
              <w:rPr>
                <w:sz w:val="17"/>
                <w:szCs w:val="17"/>
                <w:color w:val="auto"/>
              </w:rPr>
            </w:pPr>
          </w:p>
        </w:tc>
        <w:tc>
          <w:tcPr>
            <w:tcW w:w="300" w:type="dxa"/>
            <w:vAlign w:val="bottom"/>
            <w:gridSpan w:val="2"/>
            <w:vMerge w:val="continue"/>
          </w:tcPr>
          <w:p>
            <w:pPr>
              <w:spacing w:after="0"/>
              <w:rPr>
                <w:sz w:val="17"/>
                <w:szCs w:val="17"/>
                <w:color w:val="auto"/>
              </w:rPr>
            </w:pPr>
          </w:p>
        </w:tc>
        <w:tc>
          <w:tcPr>
            <w:tcW w:w="800" w:type="dxa"/>
            <w:vAlign w:val="bottom"/>
            <w:vMerge w:val="continue"/>
          </w:tcPr>
          <w:p>
            <w:pPr>
              <w:spacing w:after="0"/>
              <w:rPr>
                <w:sz w:val="17"/>
                <w:szCs w:val="17"/>
                <w:color w:val="auto"/>
              </w:rPr>
            </w:pPr>
          </w:p>
        </w:tc>
        <w:tc>
          <w:tcPr>
            <w:tcW w:w="320" w:type="dxa"/>
            <w:vAlign w:val="bottom"/>
            <w:gridSpan w:val="2"/>
            <w:vMerge w:val="continue"/>
          </w:tcPr>
          <w:p>
            <w:pPr>
              <w:spacing w:after="0"/>
              <w:rPr>
                <w:sz w:val="17"/>
                <w:szCs w:val="17"/>
                <w:color w:val="auto"/>
              </w:rPr>
            </w:pPr>
          </w:p>
        </w:tc>
        <w:tc>
          <w:tcPr>
            <w:tcW w:w="820" w:type="dxa"/>
            <w:vAlign w:val="bottom"/>
            <w:vMerge w:val="continue"/>
          </w:tcPr>
          <w:p>
            <w:pPr>
              <w:spacing w:after="0"/>
              <w:rPr>
                <w:sz w:val="17"/>
                <w:szCs w:val="17"/>
                <w:color w:val="auto"/>
              </w:rPr>
            </w:pPr>
          </w:p>
        </w:tc>
        <w:tc>
          <w:tcPr>
            <w:tcW w:w="200" w:type="dxa"/>
            <w:vAlign w:val="bottom"/>
            <w:gridSpan w:val="2"/>
            <w:vMerge w:val="continue"/>
          </w:tcPr>
          <w:p>
            <w:pPr>
              <w:spacing w:after="0"/>
              <w:rPr>
                <w:sz w:val="17"/>
                <w:szCs w:val="17"/>
                <w:color w:val="auto"/>
              </w:rPr>
            </w:pPr>
          </w:p>
        </w:tc>
        <w:tc>
          <w:tcPr>
            <w:tcW w:w="820" w:type="dxa"/>
            <w:vAlign w:val="bottom"/>
            <w:vMerge w:val="continue"/>
          </w:tcPr>
          <w:p>
            <w:pPr>
              <w:spacing w:after="0"/>
              <w:rPr>
                <w:sz w:val="17"/>
                <w:szCs w:val="17"/>
                <w:color w:val="auto"/>
              </w:rPr>
            </w:pPr>
          </w:p>
        </w:tc>
        <w:tc>
          <w:tcPr>
            <w:tcW w:w="340" w:type="dxa"/>
            <w:vAlign w:val="bottom"/>
            <w:gridSpan w:val="2"/>
            <w:vMerge w:val="continue"/>
          </w:tcPr>
          <w:p>
            <w:pPr>
              <w:spacing w:after="0"/>
              <w:rPr>
                <w:sz w:val="17"/>
                <w:szCs w:val="17"/>
                <w:color w:val="auto"/>
              </w:rPr>
            </w:pPr>
          </w:p>
        </w:tc>
        <w:tc>
          <w:tcPr>
            <w:tcW w:w="820" w:type="dxa"/>
            <w:vAlign w:val="bottom"/>
            <w:vMerge w:val="continue"/>
          </w:tcPr>
          <w:p>
            <w:pPr>
              <w:spacing w:after="0"/>
              <w:rPr>
                <w:sz w:val="17"/>
                <w:szCs w:val="17"/>
                <w:color w:val="auto"/>
              </w:rPr>
            </w:pPr>
          </w:p>
        </w:tc>
        <w:tc>
          <w:tcPr>
            <w:tcW w:w="260" w:type="dxa"/>
            <w:vAlign w:val="bottom"/>
            <w:gridSpan w:val="2"/>
            <w:vMerge w:val="continue"/>
          </w:tcPr>
          <w:p>
            <w:pPr>
              <w:spacing w:after="0"/>
              <w:rPr>
                <w:sz w:val="17"/>
                <w:szCs w:val="17"/>
                <w:color w:val="auto"/>
              </w:rPr>
            </w:pPr>
          </w:p>
        </w:tc>
        <w:tc>
          <w:tcPr>
            <w:tcW w:w="800" w:type="dxa"/>
            <w:vAlign w:val="bottom"/>
            <w:vMerge w:val="continue"/>
          </w:tcPr>
          <w:p>
            <w:pPr>
              <w:spacing w:after="0"/>
              <w:rPr>
                <w:sz w:val="17"/>
                <w:szCs w:val="17"/>
                <w:color w:val="auto"/>
              </w:rPr>
            </w:pPr>
          </w:p>
        </w:tc>
        <w:tc>
          <w:tcPr>
            <w:tcW w:w="340" w:type="dxa"/>
            <w:vAlign w:val="bottom"/>
            <w:gridSpan w:val="2"/>
            <w:vMerge w:val="continue"/>
          </w:tcPr>
          <w:p>
            <w:pPr>
              <w:spacing w:after="0"/>
              <w:rPr>
                <w:sz w:val="17"/>
                <w:szCs w:val="17"/>
                <w:color w:val="auto"/>
              </w:rPr>
            </w:pPr>
          </w:p>
        </w:tc>
        <w:tc>
          <w:tcPr>
            <w:tcW w:w="740" w:type="dxa"/>
            <w:vAlign w:val="bottom"/>
            <w:vMerge w:val="continue"/>
          </w:tcPr>
          <w:p>
            <w:pPr>
              <w:spacing w:after="0"/>
              <w:rPr>
                <w:sz w:val="17"/>
                <w:szCs w:val="17"/>
                <w:color w:val="auto"/>
              </w:rPr>
            </w:pPr>
          </w:p>
        </w:tc>
        <w:tc>
          <w:tcPr>
            <w:tcW w:w="200" w:type="dxa"/>
            <w:vAlign w:val="bottom"/>
            <w:gridSpan w:val="2"/>
            <w:vMerge w:val="continue"/>
          </w:tcPr>
          <w:p>
            <w:pPr>
              <w:spacing w:after="0"/>
              <w:rPr>
                <w:sz w:val="17"/>
                <w:szCs w:val="17"/>
                <w:color w:val="auto"/>
              </w:rPr>
            </w:pPr>
          </w:p>
        </w:tc>
        <w:tc>
          <w:tcPr>
            <w:tcW w:w="8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800" w:type="dxa"/>
            <w:vAlign w:val="bottom"/>
          </w:tcPr>
          <w:p>
            <w:pPr>
              <w:ind w:left="140"/>
              <w:spacing w:after="0"/>
              <w:rPr>
                <w:sz w:val="20"/>
                <w:szCs w:val="20"/>
                <w:color w:val="auto"/>
              </w:rPr>
            </w:pPr>
            <w:r>
              <w:rPr>
                <w:rFonts w:ascii="Arial" w:cs="Arial" w:eastAsia="Arial" w:hAnsi="Arial"/>
                <w:sz w:val="18"/>
                <w:szCs w:val="18"/>
                <w:color w:val="auto"/>
              </w:rPr>
              <w:t>Charge-offs</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(8,346)</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(1,644)</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(452)</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(9,781)</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(15,475)</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(1,161)</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(36,859)</w:t>
            </w:r>
          </w:p>
        </w:tc>
        <w:tc>
          <w:tcPr>
            <w:tcW w:w="0" w:type="dxa"/>
            <w:vAlign w:val="bottom"/>
          </w:tcPr>
          <w:p>
            <w:pPr>
              <w:spacing w:after="0"/>
              <w:rPr>
                <w:sz w:val="1"/>
                <w:szCs w:val="1"/>
                <w:color w:val="auto"/>
              </w:rPr>
            </w:pPr>
          </w:p>
        </w:tc>
      </w:tr>
      <w:tr>
        <w:trPr>
          <w:trHeight w:val="214"/>
        </w:trPr>
        <w:tc>
          <w:tcPr>
            <w:tcW w:w="2800" w:type="dxa"/>
            <w:vAlign w:val="bottom"/>
          </w:tcPr>
          <w:p>
            <w:pPr>
              <w:ind w:left="140"/>
              <w:spacing w:after="0"/>
              <w:rPr>
                <w:sz w:val="20"/>
                <w:szCs w:val="20"/>
                <w:color w:val="auto"/>
              </w:rPr>
            </w:pPr>
            <w:r>
              <w:rPr>
                <w:rFonts w:ascii="Arial" w:cs="Arial" w:eastAsia="Arial" w:hAnsi="Arial"/>
                <w:sz w:val="18"/>
                <w:szCs w:val="18"/>
                <w:color w:val="auto"/>
              </w:rPr>
              <w:t>Recoveries</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ind w:right="31"/>
              <w:spacing w:after="0"/>
              <w:rPr>
                <w:sz w:val="20"/>
                <w:szCs w:val="20"/>
                <w:color w:val="auto"/>
              </w:rPr>
            </w:pPr>
            <w:r>
              <w:rPr>
                <w:rFonts w:ascii="Arial" w:cs="Arial" w:eastAsia="Arial" w:hAnsi="Arial"/>
                <w:sz w:val="18"/>
                <w:szCs w:val="18"/>
                <w:color w:val="auto"/>
              </w:rPr>
              <w:t>300</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200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30</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544</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598</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424</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2,096</w:t>
            </w:r>
          </w:p>
        </w:tc>
        <w:tc>
          <w:tcPr>
            <w:tcW w:w="0" w:type="dxa"/>
            <w:vAlign w:val="bottom"/>
          </w:tcPr>
          <w:p>
            <w:pPr>
              <w:spacing w:after="0"/>
              <w:rPr>
                <w:sz w:val="1"/>
                <w:szCs w:val="1"/>
                <w:color w:val="auto"/>
              </w:rPr>
            </w:pPr>
          </w:p>
        </w:tc>
      </w:tr>
      <w:tr>
        <w:trPr>
          <w:trHeight w:val="235"/>
        </w:trPr>
        <w:tc>
          <w:tcPr>
            <w:tcW w:w="2800" w:type="dxa"/>
            <w:vAlign w:val="bottom"/>
          </w:tcPr>
          <w:p>
            <w:pPr>
              <w:ind w:left="140"/>
              <w:spacing w:after="0"/>
              <w:rPr>
                <w:sz w:val="20"/>
                <w:szCs w:val="20"/>
                <w:color w:val="auto"/>
              </w:rPr>
            </w:pPr>
            <w:r>
              <w:rPr>
                <w:rFonts w:ascii="Arial" w:cs="Arial" w:eastAsia="Arial" w:hAnsi="Arial"/>
                <w:sz w:val="18"/>
                <w:szCs w:val="18"/>
                <w:color w:val="auto"/>
              </w:rPr>
              <w:t>Provision</w:t>
            </w:r>
          </w:p>
        </w:tc>
        <w:tc>
          <w:tcPr>
            <w:tcW w:w="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6,288</w:t>
            </w:r>
          </w:p>
        </w:tc>
        <w:tc>
          <w:tcPr>
            <w:tcW w:w="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1,061</w:t>
            </w: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4,662</w:t>
            </w:r>
          </w:p>
        </w:tc>
        <w:tc>
          <w:tcPr>
            <w:tcW w:w="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6,471</w:t>
            </w:r>
          </w:p>
        </w:tc>
        <w:tc>
          <w:tcPr>
            <w:tcW w:w="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13,712</w:t>
            </w:r>
          </w:p>
        </w:tc>
        <w:tc>
          <w:tcPr>
            <w:tcW w:w="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1,183</w:t>
            </w:r>
          </w:p>
        </w:tc>
        <w:tc>
          <w:tcPr>
            <w:tcW w:w="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(377)</w:t>
            </w:r>
          </w:p>
        </w:tc>
        <w:tc>
          <w:tcPr>
            <w:tcW w:w="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33,000</w:t>
            </w:r>
          </w:p>
        </w:tc>
        <w:tc>
          <w:tcPr>
            <w:tcW w:w="0" w:type="dxa"/>
            <w:vAlign w:val="bottom"/>
          </w:tcPr>
          <w:p>
            <w:pPr>
              <w:spacing w:after="0"/>
              <w:rPr>
                <w:sz w:val="1"/>
                <w:szCs w:val="1"/>
                <w:color w:val="auto"/>
              </w:rPr>
            </w:pPr>
          </w:p>
        </w:tc>
      </w:tr>
      <w:tr>
        <w:trPr>
          <w:trHeight w:val="214"/>
        </w:trPr>
        <w:tc>
          <w:tcPr>
            <w:tcW w:w="2800" w:type="dxa"/>
            <w:vAlign w:val="bottom"/>
          </w:tcPr>
          <w:p>
            <w:pPr>
              <w:spacing w:after="0"/>
              <w:rPr>
                <w:sz w:val="20"/>
                <w:szCs w:val="20"/>
                <w:color w:val="auto"/>
              </w:rPr>
            </w:pPr>
            <w:r>
              <w:rPr>
                <w:rFonts w:ascii="Arial" w:cs="Arial" w:eastAsia="Arial" w:hAnsi="Arial"/>
                <w:sz w:val="18"/>
                <w:szCs w:val="18"/>
                <w:color w:val="auto"/>
              </w:rPr>
              <w:t>Ending balance</w:t>
            </w:r>
          </w:p>
        </w:tc>
        <w:tc>
          <w:tcPr>
            <w:tcW w:w="60" w:type="dxa"/>
            <w:vAlign w:val="bottom"/>
          </w:tcPr>
          <w:p>
            <w:pPr>
              <w:spacing w:after="0"/>
              <w:rPr>
                <w:sz w:val="18"/>
                <w:szCs w:val="18"/>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29,886</w:t>
            </w:r>
          </w:p>
        </w:tc>
        <w:tc>
          <w:tcPr>
            <w:tcW w:w="60" w:type="dxa"/>
            <w:vAlign w:val="bottom"/>
          </w:tcPr>
          <w:p>
            <w:pPr>
              <w:spacing w:after="0"/>
              <w:rPr>
                <w:sz w:val="18"/>
                <w:szCs w:val="18"/>
                <w:color w:val="auto"/>
              </w:rPr>
            </w:pPr>
          </w:p>
        </w:tc>
        <w:tc>
          <w:tcPr>
            <w:tcW w:w="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5,298</w:t>
            </w:r>
          </w:p>
        </w:tc>
        <w:tc>
          <w:tcPr>
            <w:tcW w:w="80" w:type="dxa"/>
            <w:vAlign w:val="bottom"/>
          </w:tcPr>
          <w:p>
            <w:pPr>
              <w:spacing w:after="0"/>
              <w:rPr>
                <w:sz w:val="18"/>
                <w:szCs w:val="18"/>
                <w:color w:val="auto"/>
              </w:rPr>
            </w:pPr>
          </w:p>
        </w:tc>
        <w:tc>
          <w:tcPr>
            <w:tcW w:w="24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10,337</w:t>
            </w:r>
          </w:p>
        </w:tc>
        <w:tc>
          <w:tcPr>
            <w:tcW w:w="60" w:type="dxa"/>
            <w:vAlign w:val="bottom"/>
          </w:tcPr>
          <w:p>
            <w:pPr>
              <w:spacing w:after="0"/>
              <w:rPr>
                <w:sz w:val="18"/>
                <w:szCs w:val="18"/>
                <w:color w:val="auto"/>
              </w:rPr>
            </w:pP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26,310</w:t>
            </w:r>
          </w:p>
        </w:tc>
        <w:tc>
          <w:tcPr>
            <w:tcW w:w="80" w:type="dxa"/>
            <w:vAlign w:val="bottom"/>
          </w:tcPr>
          <w:p>
            <w:pPr>
              <w:spacing w:after="0"/>
              <w:rPr>
                <w:sz w:val="18"/>
                <w:szCs w:val="18"/>
                <w:color w:val="auto"/>
              </w:rPr>
            </w:pPr>
          </w:p>
        </w:tc>
        <w:tc>
          <w:tcPr>
            <w:tcW w:w="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29,214</w:t>
            </w:r>
          </w:p>
        </w:tc>
        <w:tc>
          <w:tcPr>
            <w:tcW w:w="80" w:type="dxa"/>
            <w:vAlign w:val="bottom"/>
          </w:tcPr>
          <w:p>
            <w:pPr>
              <w:spacing w:after="0"/>
              <w:rPr>
                <w:sz w:val="18"/>
                <w:szCs w:val="18"/>
                <w:color w:val="auto"/>
              </w:rPr>
            </w:pPr>
          </w:p>
        </w:tc>
        <w:tc>
          <w:tcPr>
            <w:tcW w:w="18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2,570</w:t>
            </w:r>
          </w:p>
        </w:tc>
        <w:tc>
          <w:tcPr>
            <w:tcW w:w="80" w:type="dxa"/>
            <w:vAlign w:val="bottom"/>
          </w:tcPr>
          <w:p>
            <w:pPr>
              <w:spacing w:after="0"/>
              <w:rPr>
                <w:sz w:val="18"/>
                <w:szCs w:val="18"/>
                <w:color w:val="auto"/>
              </w:rPr>
            </w:pPr>
          </w:p>
        </w:tc>
        <w:tc>
          <w:tcPr>
            <w:tcW w:w="260" w:type="dxa"/>
            <w:vAlign w:val="bottom"/>
            <w:tcBorders>
              <w:bottom w:val="single" w:sz="8" w:color="auto"/>
            </w:tcBorders>
          </w:tcPr>
          <w:p>
            <w:pPr>
              <w:jc w:val="right"/>
              <w:ind w:right="106"/>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9,090</w:t>
            </w:r>
          </w:p>
        </w:tc>
        <w:tc>
          <w:tcPr>
            <w:tcW w:w="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112,705</w:t>
            </w:r>
          </w:p>
        </w:tc>
        <w:tc>
          <w:tcPr>
            <w:tcW w:w="0" w:type="dxa"/>
            <w:vAlign w:val="bottom"/>
          </w:tcPr>
          <w:p>
            <w:pPr>
              <w:spacing w:after="0"/>
              <w:rPr>
                <w:sz w:val="1"/>
                <w:szCs w:val="1"/>
                <w:color w:val="auto"/>
              </w:rPr>
            </w:pPr>
          </w:p>
        </w:tc>
      </w:tr>
      <w:tr>
        <w:trPr>
          <w:trHeight w:val="20"/>
        </w:trPr>
        <w:tc>
          <w:tcPr>
            <w:tcW w:w="2800" w:type="dxa"/>
            <w:vAlign w:val="bottom"/>
            <w:vMerge w:val="restart"/>
          </w:tcPr>
          <w:p>
            <w:pPr>
              <w:spacing w:after="0"/>
              <w:rPr>
                <w:sz w:val="20"/>
                <w:szCs w:val="20"/>
                <w:color w:val="auto"/>
              </w:rPr>
            </w:pPr>
            <w:r>
              <w:rPr>
                <w:rFonts w:ascii="Arial" w:cs="Arial" w:eastAsia="Arial" w:hAnsi="Arial"/>
                <w:sz w:val="18"/>
                <w:szCs w:val="18"/>
                <w:color w:val="auto"/>
                <w:w w:val="90"/>
              </w:rPr>
              <w:t>Ending allowance attributable to loans:</w:t>
            </w: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3"/>
        </w:trPr>
        <w:tc>
          <w:tcPr>
            <w:tcW w:w="280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2800" w:type="dxa"/>
            <w:vAlign w:val="bottom"/>
          </w:tcPr>
          <w:p>
            <w:pPr>
              <w:ind w:left="140"/>
              <w:spacing w:after="0"/>
              <w:rPr>
                <w:sz w:val="20"/>
                <w:szCs w:val="20"/>
                <w:color w:val="auto"/>
              </w:rPr>
            </w:pPr>
            <w:r>
              <w:rPr>
                <w:rFonts w:ascii="Arial" w:cs="Arial" w:eastAsia="Arial" w:hAnsi="Arial"/>
                <w:sz w:val="18"/>
                <w:szCs w:val="18"/>
                <w:color w:val="auto"/>
              </w:rPr>
              <w:t>Individually evaluated for</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800" w:type="dxa"/>
            <w:vAlign w:val="bottom"/>
          </w:tcPr>
          <w:p>
            <w:pPr>
              <w:spacing w:after="0"/>
              <w:rPr>
                <w:sz w:val="20"/>
                <w:szCs w:val="20"/>
                <w:color w:val="auto"/>
              </w:rPr>
            </w:pPr>
            <w:r>
              <w:rPr>
                <w:rFonts w:ascii="Arial" w:cs="Arial" w:eastAsia="Arial" w:hAnsi="Arial"/>
                <w:sz w:val="18"/>
                <w:szCs w:val="18"/>
                <w:color w:val="auto"/>
              </w:rPr>
              <w:t>impairment</w:t>
            </w:r>
          </w:p>
        </w:tc>
        <w:tc>
          <w:tcPr>
            <w:tcW w:w="180" w:type="dxa"/>
            <w:vAlign w:val="bottom"/>
            <w:gridSpan w:val="2"/>
          </w:tcPr>
          <w:p>
            <w:pPr>
              <w:ind w:left="6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31"/>
              <w:spacing w:after="0"/>
              <w:rPr>
                <w:sz w:val="20"/>
                <w:szCs w:val="20"/>
                <w:color w:val="auto"/>
              </w:rPr>
            </w:pPr>
            <w:r>
              <w:rPr>
                <w:rFonts w:ascii="Arial" w:cs="Arial" w:eastAsia="Arial" w:hAnsi="Arial"/>
                <w:sz w:val="18"/>
                <w:szCs w:val="18"/>
                <w:color w:val="auto"/>
              </w:rPr>
              <w:t>8,544</w:t>
            </w:r>
          </w:p>
        </w:tc>
        <w:tc>
          <w:tcPr>
            <w:tcW w:w="30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753</w:t>
            </w:r>
          </w:p>
        </w:tc>
        <w:tc>
          <w:tcPr>
            <w:tcW w:w="320" w:type="dxa"/>
            <w:vAlign w:val="bottom"/>
            <w:gridSpan w:val="2"/>
          </w:tcPr>
          <w:p>
            <w:pPr>
              <w:jc w:val="right"/>
              <w:ind w:right="84"/>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2,476</w:t>
            </w:r>
          </w:p>
        </w:tc>
        <w:tc>
          <w:tcPr>
            <w:tcW w:w="20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1,389</w:t>
            </w:r>
          </w:p>
        </w:tc>
        <w:tc>
          <w:tcPr>
            <w:tcW w:w="3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4,188</w:t>
            </w:r>
          </w:p>
        </w:tc>
        <w:tc>
          <w:tcPr>
            <w:tcW w:w="260" w:type="dxa"/>
            <w:vAlign w:val="bottom"/>
            <w:gridSpan w:val="2"/>
          </w:tcPr>
          <w:p>
            <w:pPr>
              <w:jc w:val="right"/>
              <w:ind w:right="24"/>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20</w:t>
            </w:r>
          </w:p>
        </w:tc>
        <w:tc>
          <w:tcPr>
            <w:tcW w:w="340" w:type="dxa"/>
            <w:vAlign w:val="bottom"/>
            <w:gridSpan w:val="2"/>
          </w:tcPr>
          <w:p>
            <w:pPr>
              <w:jc w:val="right"/>
              <w:ind w:right="106"/>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17,370</w:t>
            </w:r>
          </w:p>
        </w:tc>
        <w:tc>
          <w:tcPr>
            <w:tcW w:w="0" w:type="dxa"/>
            <w:vAlign w:val="bottom"/>
          </w:tcPr>
          <w:p>
            <w:pPr>
              <w:spacing w:after="0"/>
              <w:rPr>
                <w:sz w:val="1"/>
                <w:szCs w:val="1"/>
                <w:color w:val="auto"/>
              </w:rPr>
            </w:pPr>
          </w:p>
        </w:tc>
      </w:tr>
      <w:tr>
        <w:trPr>
          <w:trHeight w:val="214"/>
        </w:trPr>
        <w:tc>
          <w:tcPr>
            <w:tcW w:w="2800" w:type="dxa"/>
            <w:vAlign w:val="bottom"/>
          </w:tcPr>
          <w:p>
            <w:pPr>
              <w:ind w:left="140"/>
              <w:spacing w:after="0"/>
              <w:rPr>
                <w:sz w:val="20"/>
                <w:szCs w:val="20"/>
                <w:color w:val="auto"/>
              </w:rPr>
            </w:pPr>
            <w:r>
              <w:rPr>
                <w:rFonts w:ascii="Arial" w:cs="Arial" w:eastAsia="Arial" w:hAnsi="Arial"/>
                <w:sz w:val="18"/>
                <w:szCs w:val="18"/>
                <w:color w:val="auto"/>
              </w:rPr>
              <w:t>Collectively evaluated for</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2800" w:type="dxa"/>
            <w:vAlign w:val="bottom"/>
          </w:tcPr>
          <w:p>
            <w:pPr>
              <w:spacing w:after="0"/>
              <w:rPr>
                <w:sz w:val="20"/>
                <w:szCs w:val="20"/>
                <w:color w:val="auto"/>
              </w:rPr>
            </w:pPr>
            <w:r>
              <w:rPr>
                <w:rFonts w:ascii="Arial" w:cs="Arial" w:eastAsia="Arial" w:hAnsi="Arial"/>
                <w:sz w:val="18"/>
                <w:szCs w:val="18"/>
                <w:color w:val="auto"/>
              </w:rPr>
              <w:t>impairment</w:t>
            </w:r>
          </w:p>
        </w:tc>
        <w:tc>
          <w:tcPr>
            <w:tcW w:w="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21,342</w:t>
            </w:r>
          </w:p>
        </w:tc>
        <w:tc>
          <w:tcPr>
            <w:tcW w:w="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4,545</w:t>
            </w: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7,861</w:t>
            </w:r>
          </w:p>
        </w:tc>
        <w:tc>
          <w:tcPr>
            <w:tcW w:w="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24,921</w:t>
            </w:r>
          </w:p>
        </w:tc>
        <w:tc>
          <w:tcPr>
            <w:tcW w:w="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25,026</w:t>
            </w:r>
          </w:p>
        </w:tc>
        <w:tc>
          <w:tcPr>
            <w:tcW w:w="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2,550</w:t>
            </w:r>
          </w:p>
        </w:tc>
        <w:tc>
          <w:tcPr>
            <w:tcW w:w="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9,090</w:t>
            </w:r>
          </w:p>
        </w:tc>
        <w:tc>
          <w:tcPr>
            <w:tcW w:w="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95,335</w:t>
            </w:r>
          </w:p>
        </w:tc>
        <w:tc>
          <w:tcPr>
            <w:tcW w:w="0" w:type="dxa"/>
            <w:vAlign w:val="bottom"/>
          </w:tcPr>
          <w:p>
            <w:pPr>
              <w:spacing w:after="0"/>
              <w:rPr>
                <w:sz w:val="1"/>
                <w:szCs w:val="1"/>
                <w:color w:val="auto"/>
              </w:rPr>
            </w:pPr>
          </w:p>
        </w:tc>
      </w:tr>
      <w:tr>
        <w:trPr>
          <w:trHeight w:val="214"/>
        </w:trPr>
        <w:tc>
          <w:tcPr>
            <w:tcW w:w="2800" w:type="dxa"/>
            <w:vAlign w:val="bottom"/>
          </w:tcPr>
          <w:p>
            <w:pPr>
              <w:ind w:left="360"/>
              <w:spacing w:after="0"/>
              <w:rPr>
                <w:sz w:val="20"/>
                <w:szCs w:val="20"/>
                <w:color w:val="auto"/>
              </w:rPr>
            </w:pPr>
            <w:r>
              <w:rPr>
                <w:rFonts w:ascii="Arial" w:cs="Arial" w:eastAsia="Arial" w:hAnsi="Arial"/>
                <w:sz w:val="18"/>
                <w:szCs w:val="18"/>
                <w:color w:val="auto"/>
                <w:w w:val="95"/>
              </w:rPr>
              <w:t>Total ending allowance balance</w:t>
            </w:r>
          </w:p>
        </w:tc>
        <w:tc>
          <w:tcPr>
            <w:tcW w:w="60" w:type="dxa"/>
            <w:vAlign w:val="bottom"/>
          </w:tcPr>
          <w:p>
            <w:pPr>
              <w:spacing w:after="0"/>
              <w:rPr>
                <w:sz w:val="18"/>
                <w:szCs w:val="18"/>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29,886</w:t>
            </w:r>
          </w:p>
        </w:tc>
        <w:tc>
          <w:tcPr>
            <w:tcW w:w="60" w:type="dxa"/>
            <w:vAlign w:val="bottom"/>
          </w:tcPr>
          <w:p>
            <w:pPr>
              <w:spacing w:after="0"/>
              <w:rPr>
                <w:sz w:val="18"/>
                <w:szCs w:val="18"/>
                <w:color w:val="auto"/>
              </w:rPr>
            </w:pPr>
          </w:p>
        </w:tc>
        <w:tc>
          <w:tcPr>
            <w:tcW w:w="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5,298</w:t>
            </w:r>
          </w:p>
        </w:tc>
        <w:tc>
          <w:tcPr>
            <w:tcW w:w="80" w:type="dxa"/>
            <w:vAlign w:val="bottom"/>
          </w:tcPr>
          <w:p>
            <w:pPr>
              <w:spacing w:after="0"/>
              <w:rPr>
                <w:sz w:val="18"/>
                <w:szCs w:val="18"/>
                <w:color w:val="auto"/>
              </w:rPr>
            </w:pPr>
          </w:p>
        </w:tc>
        <w:tc>
          <w:tcPr>
            <w:tcW w:w="24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10,337</w:t>
            </w:r>
          </w:p>
        </w:tc>
        <w:tc>
          <w:tcPr>
            <w:tcW w:w="60" w:type="dxa"/>
            <w:vAlign w:val="bottom"/>
          </w:tcPr>
          <w:p>
            <w:pPr>
              <w:spacing w:after="0"/>
              <w:rPr>
                <w:sz w:val="18"/>
                <w:szCs w:val="18"/>
                <w:color w:val="auto"/>
              </w:rPr>
            </w:pP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26,310</w:t>
            </w:r>
          </w:p>
        </w:tc>
        <w:tc>
          <w:tcPr>
            <w:tcW w:w="80" w:type="dxa"/>
            <w:vAlign w:val="bottom"/>
          </w:tcPr>
          <w:p>
            <w:pPr>
              <w:spacing w:after="0"/>
              <w:rPr>
                <w:sz w:val="18"/>
                <w:szCs w:val="18"/>
                <w:color w:val="auto"/>
              </w:rPr>
            </w:pPr>
          </w:p>
        </w:tc>
        <w:tc>
          <w:tcPr>
            <w:tcW w:w="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29,214</w:t>
            </w:r>
          </w:p>
        </w:tc>
        <w:tc>
          <w:tcPr>
            <w:tcW w:w="80" w:type="dxa"/>
            <w:vAlign w:val="bottom"/>
          </w:tcPr>
          <w:p>
            <w:pPr>
              <w:spacing w:after="0"/>
              <w:rPr>
                <w:sz w:val="18"/>
                <w:szCs w:val="18"/>
                <w:color w:val="auto"/>
              </w:rPr>
            </w:pPr>
          </w:p>
        </w:tc>
        <w:tc>
          <w:tcPr>
            <w:tcW w:w="18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2,570</w:t>
            </w:r>
          </w:p>
        </w:tc>
        <w:tc>
          <w:tcPr>
            <w:tcW w:w="80" w:type="dxa"/>
            <w:vAlign w:val="bottom"/>
          </w:tcPr>
          <w:p>
            <w:pPr>
              <w:spacing w:after="0"/>
              <w:rPr>
                <w:sz w:val="18"/>
                <w:szCs w:val="18"/>
                <w:color w:val="auto"/>
              </w:rPr>
            </w:pPr>
          </w:p>
        </w:tc>
        <w:tc>
          <w:tcPr>
            <w:tcW w:w="260" w:type="dxa"/>
            <w:vAlign w:val="bottom"/>
            <w:tcBorders>
              <w:bottom w:val="single" w:sz="8" w:color="auto"/>
            </w:tcBorders>
          </w:tcPr>
          <w:p>
            <w:pPr>
              <w:jc w:val="right"/>
              <w:ind w:right="106"/>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9,090</w:t>
            </w:r>
          </w:p>
        </w:tc>
        <w:tc>
          <w:tcPr>
            <w:tcW w:w="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112,705</w:t>
            </w:r>
          </w:p>
        </w:tc>
        <w:tc>
          <w:tcPr>
            <w:tcW w:w="0" w:type="dxa"/>
            <w:vAlign w:val="bottom"/>
          </w:tcPr>
          <w:p>
            <w:pPr>
              <w:spacing w:after="0"/>
              <w:rPr>
                <w:sz w:val="1"/>
                <w:szCs w:val="1"/>
                <w:color w:val="auto"/>
              </w:rPr>
            </w:pPr>
          </w:p>
        </w:tc>
      </w:tr>
      <w:tr>
        <w:trPr>
          <w:trHeight w:val="20"/>
        </w:trPr>
        <w:tc>
          <w:tcPr>
            <w:tcW w:w="2800" w:type="dxa"/>
            <w:vAlign w:val="bottom"/>
            <w:vMerge w:val="restart"/>
          </w:tcPr>
          <w:p>
            <w:pPr>
              <w:spacing w:after="0"/>
              <w:rPr>
                <w:sz w:val="20"/>
                <w:szCs w:val="20"/>
                <w:color w:val="auto"/>
              </w:rPr>
            </w:pPr>
            <w:r>
              <w:rPr>
                <w:rFonts w:ascii="Arial" w:cs="Arial" w:eastAsia="Arial" w:hAnsi="Arial"/>
                <w:sz w:val="18"/>
                <w:szCs w:val="18"/>
                <w:color w:val="auto"/>
              </w:rPr>
              <w:t>Loans:</w:t>
            </w: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3"/>
        </w:trPr>
        <w:tc>
          <w:tcPr>
            <w:tcW w:w="280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2800" w:type="dxa"/>
            <w:vAlign w:val="bottom"/>
          </w:tcPr>
          <w:p>
            <w:pPr>
              <w:ind w:left="140"/>
              <w:spacing w:after="0"/>
              <w:rPr>
                <w:sz w:val="20"/>
                <w:szCs w:val="20"/>
                <w:color w:val="auto"/>
              </w:rPr>
            </w:pPr>
            <w:r>
              <w:rPr>
                <w:rFonts w:ascii="Arial" w:cs="Arial" w:eastAsia="Arial" w:hAnsi="Arial"/>
                <w:sz w:val="18"/>
                <w:szCs w:val="18"/>
                <w:color w:val="auto"/>
              </w:rPr>
              <w:t>Individually evaluated for</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800" w:type="dxa"/>
            <w:vAlign w:val="bottom"/>
          </w:tcPr>
          <w:p>
            <w:pPr>
              <w:spacing w:after="0"/>
              <w:rPr>
                <w:sz w:val="20"/>
                <w:szCs w:val="20"/>
                <w:color w:val="auto"/>
              </w:rPr>
            </w:pPr>
            <w:r>
              <w:rPr>
                <w:rFonts w:ascii="Arial" w:cs="Arial" w:eastAsia="Arial" w:hAnsi="Arial"/>
                <w:sz w:val="18"/>
                <w:szCs w:val="18"/>
                <w:color w:val="auto"/>
              </w:rPr>
              <w:t>impairment</w:t>
            </w:r>
          </w:p>
        </w:tc>
        <w:tc>
          <w:tcPr>
            <w:tcW w:w="180" w:type="dxa"/>
            <w:vAlign w:val="bottom"/>
            <w:gridSpan w:val="2"/>
          </w:tcPr>
          <w:p>
            <w:pPr>
              <w:ind w:left="6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31"/>
              <w:spacing w:after="0"/>
              <w:rPr>
                <w:sz w:val="20"/>
                <w:szCs w:val="20"/>
                <w:color w:val="auto"/>
              </w:rPr>
            </w:pPr>
            <w:r>
              <w:rPr>
                <w:rFonts w:ascii="Arial" w:cs="Arial" w:eastAsia="Arial" w:hAnsi="Arial"/>
                <w:sz w:val="18"/>
                <w:szCs w:val="18"/>
                <w:color w:val="auto"/>
              </w:rPr>
              <w:t>130,838</w:t>
            </w:r>
          </w:p>
        </w:tc>
        <w:tc>
          <w:tcPr>
            <w:tcW w:w="30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57,747</w:t>
            </w:r>
          </w:p>
        </w:tc>
        <w:tc>
          <w:tcPr>
            <w:tcW w:w="320" w:type="dxa"/>
            <w:vAlign w:val="bottom"/>
            <w:gridSpan w:val="2"/>
          </w:tcPr>
          <w:p>
            <w:pPr>
              <w:jc w:val="right"/>
              <w:ind w:right="84"/>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42,833</w:t>
            </w:r>
          </w:p>
        </w:tc>
        <w:tc>
          <w:tcPr>
            <w:tcW w:w="20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19,844</w:t>
            </w:r>
          </w:p>
        </w:tc>
        <w:tc>
          <w:tcPr>
            <w:tcW w:w="3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41,906</w:t>
            </w:r>
          </w:p>
        </w:tc>
        <w:tc>
          <w:tcPr>
            <w:tcW w:w="260" w:type="dxa"/>
            <w:vAlign w:val="bottom"/>
            <w:gridSpan w:val="2"/>
          </w:tcPr>
          <w:p>
            <w:pPr>
              <w:jc w:val="right"/>
              <w:ind w:right="24"/>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511</w:t>
            </w:r>
          </w:p>
        </w:tc>
        <w:tc>
          <w:tcPr>
            <w:tcW w:w="340" w:type="dxa"/>
            <w:vAlign w:val="bottom"/>
            <w:gridSpan w:val="2"/>
          </w:tcPr>
          <w:p>
            <w:pPr>
              <w:jc w:val="right"/>
              <w:ind w:right="106"/>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1"/>
              <w:spacing w:after="0"/>
              <w:rPr>
                <w:sz w:val="20"/>
                <w:szCs w:val="20"/>
                <w:color w:val="auto"/>
              </w:rPr>
            </w:pPr>
            <w:r>
              <w:rPr>
                <w:rFonts w:ascii="Arial" w:cs="Arial" w:eastAsia="Arial" w:hAnsi="Arial"/>
                <w:sz w:val="18"/>
                <w:szCs w:val="18"/>
                <w:color w:val="auto"/>
              </w:rPr>
              <w:t>293,679</w:t>
            </w:r>
          </w:p>
        </w:tc>
        <w:tc>
          <w:tcPr>
            <w:tcW w:w="0" w:type="dxa"/>
            <w:vAlign w:val="bottom"/>
          </w:tcPr>
          <w:p>
            <w:pPr>
              <w:spacing w:after="0"/>
              <w:rPr>
                <w:sz w:val="1"/>
                <w:szCs w:val="1"/>
                <w:color w:val="auto"/>
              </w:rPr>
            </w:pPr>
          </w:p>
        </w:tc>
      </w:tr>
      <w:tr>
        <w:trPr>
          <w:trHeight w:val="214"/>
        </w:trPr>
        <w:tc>
          <w:tcPr>
            <w:tcW w:w="2800" w:type="dxa"/>
            <w:vAlign w:val="bottom"/>
          </w:tcPr>
          <w:p>
            <w:pPr>
              <w:ind w:left="140"/>
              <w:spacing w:after="0"/>
              <w:rPr>
                <w:sz w:val="20"/>
                <w:szCs w:val="20"/>
                <w:color w:val="auto"/>
              </w:rPr>
            </w:pPr>
            <w:r>
              <w:rPr>
                <w:rFonts w:ascii="Arial" w:cs="Arial" w:eastAsia="Arial" w:hAnsi="Arial"/>
                <w:sz w:val="18"/>
                <w:szCs w:val="18"/>
                <w:color w:val="auto"/>
              </w:rPr>
              <w:t>Collectively evaluated for</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2800" w:type="dxa"/>
            <w:vAlign w:val="bottom"/>
          </w:tcPr>
          <w:p>
            <w:pPr>
              <w:spacing w:after="0"/>
              <w:rPr>
                <w:sz w:val="20"/>
                <w:szCs w:val="20"/>
                <w:color w:val="auto"/>
              </w:rPr>
            </w:pPr>
            <w:r>
              <w:rPr>
                <w:rFonts w:ascii="Arial" w:cs="Arial" w:eastAsia="Arial" w:hAnsi="Arial"/>
                <w:sz w:val="18"/>
                <w:szCs w:val="18"/>
                <w:color w:val="auto"/>
              </w:rPr>
              <w:t>impairment</w:t>
            </w:r>
          </w:p>
        </w:tc>
        <w:tc>
          <w:tcPr>
            <w:tcW w:w="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w w:val="87"/>
              </w:rPr>
              <w:t>1,705,639</w:t>
            </w:r>
          </w:p>
        </w:tc>
        <w:tc>
          <w:tcPr>
            <w:tcW w:w="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392,475</w:t>
            </w: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126,505</w:t>
            </w:r>
          </w:p>
        </w:tc>
        <w:tc>
          <w:tcPr>
            <w:tcW w:w="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1,108,492</w:t>
            </w:r>
          </w:p>
        </w:tc>
        <w:tc>
          <w:tcPr>
            <w:tcW w:w="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367,060</w:t>
            </w:r>
          </w:p>
        </w:tc>
        <w:tc>
          <w:tcPr>
            <w:tcW w:w="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125,385</w:t>
            </w:r>
          </w:p>
        </w:tc>
        <w:tc>
          <w:tcPr>
            <w:tcW w:w="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w w:val="89"/>
              </w:rPr>
              <w:t>3,825,556</w:t>
            </w:r>
          </w:p>
        </w:tc>
        <w:tc>
          <w:tcPr>
            <w:tcW w:w="0" w:type="dxa"/>
            <w:vAlign w:val="bottom"/>
          </w:tcPr>
          <w:p>
            <w:pPr>
              <w:spacing w:after="0"/>
              <w:rPr>
                <w:sz w:val="1"/>
                <w:szCs w:val="1"/>
                <w:color w:val="auto"/>
              </w:rPr>
            </w:pPr>
          </w:p>
        </w:tc>
      </w:tr>
      <w:tr>
        <w:trPr>
          <w:trHeight w:val="214"/>
        </w:trPr>
        <w:tc>
          <w:tcPr>
            <w:tcW w:w="2800" w:type="dxa"/>
            <w:vAlign w:val="bottom"/>
          </w:tcPr>
          <w:p>
            <w:pPr>
              <w:ind w:left="360"/>
              <w:spacing w:after="0"/>
              <w:rPr>
                <w:sz w:val="20"/>
                <w:szCs w:val="20"/>
                <w:color w:val="auto"/>
              </w:rPr>
            </w:pPr>
            <w:r>
              <w:rPr>
                <w:rFonts w:ascii="Arial" w:cs="Arial" w:eastAsia="Arial" w:hAnsi="Arial"/>
                <w:sz w:val="18"/>
                <w:szCs w:val="18"/>
                <w:color w:val="auto"/>
              </w:rPr>
              <w:t>Total loans</w:t>
            </w:r>
          </w:p>
        </w:tc>
        <w:tc>
          <w:tcPr>
            <w:tcW w:w="60" w:type="dxa"/>
            <w:vAlign w:val="bottom"/>
          </w:tcPr>
          <w:p>
            <w:pPr>
              <w:spacing w:after="0"/>
              <w:rPr>
                <w:sz w:val="18"/>
                <w:szCs w:val="18"/>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w w:val="87"/>
              </w:rPr>
              <w:t>1,836,477</w:t>
            </w:r>
          </w:p>
        </w:tc>
        <w:tc>
          <w:tcPr>
            <w:tcW w:w="60" w:type="dxa"/>
            <w:vAlign w:val="bottom"/>
          </w:tcPr>
          <w:p>
            <w:pPr>
              <w:spacing w:after="0"/>
              <w:rPr>
                <w:sz w:val="18"/>
                <w:szCs w:val="18"/>
                <w:color w:val="auto"/>
              </w:rPr>
            </w:pPr>
          </w:p>
        </w:tc>
        <w:tc>
          <w:tcPr>
            <w:tcW w:w="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450,222</w:t>
            </w:r>
          </w:p>
        </w:tc>
        <w:tc>
          <w:tcPr>
            <w:tcW w:w="80" w:type="dxa"/>
            <w:vAlign w:val="bottom"/>
          </w:tcPr>
          <w:p>
            <w:pPr>
              <w:spacing w:after="0"/>
              <w:rPr>
                <w:sz w:val="18"/>
                <w:szCs w:val="18"/>
                <w:color w:val="auto"/>
              </w:rPr>
            </w:pPr>
          </w:p>
        </w:tc>
        <w:tc>
          <w:tcPr>
            <w:tcW w:w="24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169,338</w:t>
            </w:r>
          </w:p>
        </w:tc>
        <w:tc>
          <w:tcPr>
            <w:tcW w:w="60" w:type="dxa"/>
            <w:vAlign w:val="bottom"/>
          </w:tcPr>
          <w:p>
            <w:pPr>
              <w:spacing w:after="0"/>
              <w:rPr>
                <w:sz w:val="18"/>
                <w:szCs w:val="18"/>
                <w:color w:val="auto"/>
              </w:rPr>
            </w:pP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1,128,336</w:t>
            </w:r>
          </w:p>
        </w:tc>
        <w:tc>
          <w:tcPr>
            <w:tcW w:w="80" w:type="dxa"/>
            <w:vAlign w:val="bottom"/>
          </w:tcPr>
          <w:p>
            <w:pPr>
              <w:spacing w:after="0"/>
              <w:rPr>
                <w:sz w:val="18"/>
                <w:szCs w:val="18"/>
                <w:color w:val="auto"/>
              </w:rPr>
            </w:pPr>
          </w:p>
        </w:tc>
        <w:tc>
          <w:tcPr>
            <w:tcW w:w="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408,966</w:t>
            </w:r>
          </w:p>
        </w:tc>
        <w:tc>
          <w:tcPr>
            <w:tcW w:w="80" w:type="dxa"/>
            <w:vAlign w:val="bottom"/>
          </w:tcPr>
          <w:p>
            <w:pPr>
              <w:spacing w:after="0"/>
              <w:rPr>
                <w:sz w:val="18"/>
                <w:szCs w:val="18"/>
                <w:color w:val="auto"/>
              </w:rPr>
            </w:pPr>
          </w:p>
        </w:tc>
        <w:tc>
          <w:tcPr>
            <w:tcW w:w="18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125,896</w:t>
            </w:r>
          </w:p>
        </w:tc>
        <w:tc>
          <w:tcPr>
            <w:tcW w:w="80" w:type="dxa"/>
            <w:vAlign w:val="bottom"/>
          </w:tcPr>
          <w:p>
            <w:pPr>
              <w:spacing w:after="0"/>
              <w:rPr>
                <w:sz w:val="18"/>
                <w:szCs w:val="18"/>
                <w:color w:val="auto"/>
              </w:rPr>
            </w:pPr>
          </w:p>
        </w:tc>
        <w:tc>
          <w:tcPr>
            <w:tcW w:w="260" w:type="dxa"/>
            <w:vAlign w:val="bottom"/>
            <w:tcBorders>
              <w:bottom w:val="single" w:sz="8" w:color="auto"/>
            </w:tcBorders>
          </w:tcPr>
          <w:p>
            <w:pPr>
              <w:jc w:val="right"/>
              <w:ind w:right="106"/>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w w:val="89"/>
              </w:rPr>
              <w:t>4,119,235</w:t>
            </w:r>
          </w:p>
        </w:tc>
        <w:tc>
          <w:tcPr>
            <w:tcW w:w="0" w:type="dxa"/>
            <w:vAlign w:val="bottom"/>
          </w:tcPr>
          <w:p>
            <w:pPr>
              <w:spacing w:after="0"/>
              <w:rPr>
                <w:sz w:val="1"/>
                <w:szCs w:val="1"/>
                <w:color w:val="auto"/>
              </w:rPr>
            </w:pPr>
          </w:p>
        </w:tc>
      </w:tr>
      <w:tr>
        <w:trPr>
          <w:trHeight w:val="20"/>
        </w:trPr>
        <w:tc>
          <w:tcPr>
            <w:tcW w:w="2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When a loan officer determines that a loan is uncollectible, he or she is responsible for recommending to the local bank president that the loan be charged off. Full or partial charge-offs may also be recommended by the Collections Department, the Special Assets Department and the Foreclosure / OREO department. Nonaccrual real estate loans that are collateral dependent are generally charged down to 80% of the appraised value of the underlying collateral at the time they are placed on nonaccrual status.</w:t>
      </w:r>
    </w:p>
    <w:p>
      <w:pPr>
        <w:spacing w:after="0" w:line="215"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A committee consisting of the Chief Risk Officer, Senior Risk Officer and the Senior Credit Officers meets monthly to review charge-offs that have occurred during the previous month. The 10 largest charge-offs are reported quarterly to the Board of Directors.</w:t>
      </w:r>
    </w:p>
    <w:p>
      <w:pPr>
        <w:sectPr>
          <w:pgSz w:w="11900" w:h="16838" w:orient="portrait"/>
          <w:cols w:equalWidth="0" w:num="1">
            <w:col w:w="11420"/>
          </w:cols>
          <w:pgMar w:left="240" w:top="912" w:right="239" w:bottom="0" w:gutter="0" w:footer="0" w:header="0"/>
        </w:sectPr>
      </w:pPr>
    </w:p>
    <w:bookmarkStart w:id="19" w:name="page20"/>
    <w:bookmarkEnd w:id="19"/>
    <w:p>
      <w:pPr>
        <w:jc w:val="both"/>
        <w:spacing w:after="0" w:line="260" w:lineRule="auto"/>
        <w:rPr>
          <w:sz w:val="20"/>
          <w:szCs w:val="20"/>
          <w:color w:val="auto"/>
        </w:rPr>
      </w:pPr>
      <w:r>
        <w:rPr>
          <w:rFonts w:ascii="Arial" w:cs="Arial" w:eastAsia="Arial" w:hAnsi="Arial"/>
          <w:sz w:val="18"/>
          <w:szCs w:val="18"/>
          <w:color w:val="auto"/>
        </w:rPr>
        <w:t>Generally, closed-end retail loans (installment and residential mortgage loans) past due 120 cumulative days are charged-off unless the loan is well secured and in process of collection (within the next 90 days). Open-end (revolving) retail loans which are past due 180 cumulative days from their contractual due date are generally charged-off.</w:t>
      </w:r>
    </w:p>
    <w:p>
      <w:pPr>
        <w:spacing w:after="0" w:line="211"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At June 30, 2013, December 31, 2012 and June 30, 2012, loans with a carrying value of $2.00 billion, $1.90 billion and $1.61 billion, respectively, were pledged as collateral to secure FHLB advances and other contingent funding sources.</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13970</wp:posOffset>
            </wp:positionV>
            <wp:extent cx="724789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7890" cy="825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0" w:name="page21"/>
    <w:bookmarkEnd w:id="20"/>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6"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average balances of impaired loans and income recognized on impaired loans while they were considered impaired is presented below for the three and six months ended June 30, 2013 and 2012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72" w:lineRule="exact"/>
        <w:rPr>
          <w:sz w:val="20"/>
          <w:szCs w:val="20"/>
          <w:color w:val="auto"/>
        </w:rPr>
      </w:pPr>
    </w:p>
    <w:tbl>
      <w:tblPr>
        <w:tblLayout w:type="fixed"/>
        <w:tblInd w:w="300" w:type="dxa"/>
        <w:tblCellMar>
          <w:top w:w="0" w:type="dxa"/>
          <w:left w:w="0" w:type="dxa"/>
          <w:bottom w:w="0" w:type="dxa"/>
          <w:right w:w="0" w:type="dxa"/>
        </w:tblCellMar>
      </w:tblPr>
      <w:tr>
        <w:trPr>
          <w:trHeight w:val="239"/>
        </w:trPr>
        <w:tc>
          <w:tcPr>
            <w:tcW w:w="2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right="111"/>
              <w:spacing w:after="0"/>
              <w:rPr>
                <w:sz w:val="20"/>
                <w:szCs w:val="20"/>
                <w:color w:val="auto"/>
              </w:rPr>
            </w:pPr>
            <w:r>
              <w:rPr>
                <w:rFonts w:ascii="Arial" w:cs="Arial" w:eastAsia="Arial" w:hAnsi="Arial"/>
                <w:sz w:val="18"/>
                <w:szCs w:val="18"/>
                <w:b w:val="1"/>
                <w:bCs w:val="1"/>
                <w:color w:val="auto"/>
                <w:w w:val="84"/>
              </w:rPr>
              <w:t>2013</w:t>
            </w: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91"/>
              <w:spacing w:after="0"/>
              <w:rPr>
                <w:sz w:val="20"/>
                <w:szCs w:val="20"/>
                <w:color w:val="auto"/>
              </w:rPr>
            </w:pPr>
            <w:r>
              <w:rPr>
                <w:rFonts w:ascii="Arial" w:cs="Arial" w:eastAsia="Arial" w:hAnsi="Arial"/>
                <w:sz w:val="18"/>
                <w:szCs w:val="18"/>
                <w:b w:val="1"/>
                <w:bCs w:val="1"/>
                <w:color w:val="auto"/>
              </w:rPr>
              <w:t>2012</w:t>
            </w: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2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jc w:val="center"/>
              <w:ind w:right="131"/>
              <w:spacing w:after="0" w:line="196" w:lineRule="exact"/>
              <w:rPr>
                <w:sz w:val="20"/>
                <w:szCs w:val="20"/>
                <w:color w:val="auto"/>
              </w:rPr>
            </w:pPr>
            <w:r>
              <w:rPr>
                <w:rFonts w:ascii="Arial" w:cs="Arial" w:eastAsia="Arial" w:hAnsi="Arial"/>
                <w:sz w:val="18"/>
                <w:szCs w:val="18"/>
                <w:b w:val="1"/>
                <w:bCs w:val="1"/>
                <w:color w:val="auto"/>
                <w:w w:val="92"/>
              </w:rPr>
              <w:t>Interest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jc w:val="center"/>
              <w:ind w:right="111"/>
              <w:spacing w:after="0" w:line="196" w:lineRule="exact"/>
              <w:rPr>
                <w:sz w:val="20"/>
                <w:szCs w:val="20"/>
                <w:color w:val="auto"/>
              </w:rPr>
            </w:pPr>
            <w:r>
              <w:rPr>
                <w:rFonts w:ascii="Arial" w:cs="Arial" w:eastAsia="Arial" w:hAnsi="Arial"/>
                <w:sz w:val="18"/>
                <w:szCs w:val="18"/>
                <w:b w:val="1"/>
                <w:bCs w:val="1"/>
                <w:color w:val="auto"/>
                <w:w w:val="92"/>
              </w:rPr>
              <w:t>Interest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center"/>
              <w:ind w:right="111"/>
              <w:spacing w:after="0"/>
              <w:rPr>
                <w:sz w:val="20"/>
                <w:szCs w:val="20"/>
                <w:color w:val="auto"/>
              </w:rPr>
            </w:pPr>
            <w:r>
              <w:rPr>
                <w:rFonts w:ascii="Arial" w:cs="Arial" w:eastAsia="Arial" w:hAnsi="Arial"/>
                <w:sz w:val="18"/>
                <w:szCs w:val="18"/>
                <w:b w:val="1"/>
                <w:bCs w:val="1"/>
                <w:color w:val="auto"/>
                <w:w w:val="87"/>
              </w:rPr>
              <w:t>Revenue</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center"/>
              <w:ind w:right="151"/>
              <w:spacing w:after="0"/>
              <w:rPr>
                <w:sz w:val="20"/>
                <w:szCs w:val="20"/>
                <w:color w:val="auto"/>
              </w:rPr>
            </w:pPr>
            <w:r>
              <w:rPr>
                <w:rFonts w:ascii="Arial" w:cs="Arial" w:eastAsia="Arial" w:hAnsi="Arial"/>
                <w:sz w:val="18"/>
                <w:szCs w:val="18"/>
                <w:b w:val="1"/>
                <w:bCs w:val="1"/>
                <w:color w:val="auto"/>
                <w:w w:val="84"/>
              </w:rPr>
              <w:t>Cash Basis</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center"/>
              <w:ind w:right="131"/>
              <w:spacing w:after="0"/>
              <w:rPr>
                <w:sz w:val="20"/>
                <w:szCs w:val="20"/>
                <w:color w:val="auto"/>
              </w:rPr>
            </w:pPr>
            <w:r>
              <w:rPr>
                <w:rFonts w:ascii="Arial" w:cs="Arial" w:eastAsia="Arial" w:hAnsi="Arial"/>
                <w:sz w:val="18"/>
                <w:szCs w:val="18"/>
                <w:b w:val="1"/>
                <w:bCs w:val="1"/>
                <w:color w:val="auto"/>
                <w:w w:val="87"/>
              </w:rPr>
              <w:t>Revenue</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center"/>
              <w:ind w:right="171"/>
              <w:spacing w:after="0"/>
              <w:rPr>
                <w:sz w:val="20"/>
                <w:szCs w:val="20"/>
                <w:color w:val="auto"/>
              </w:rPr>
            </w:pPr>
            <w:r>
              <w:rPr>
                <w:rFonts w:ascii="Arial" w:cs="Arial" w:eastAsia="Arial" w:hAnsi="Arial"/>
                <w:sz w:val="18"/>
                <w:szCs w:val="18"/>
                <w:b w:val="1"/>
                <w:bCs w:val="1"/>
                <w:color w:val="auto"/>
                <w:w w:val="84"/>
              </w:rPr>
              <w:t>Cash Basis</w:t>
            </w:r>
          </w:p>
        </w:tc>
        <w:tc>
          <w:tcPr>
            <w:tcW w:w="0" w:type="dxa"/>
            <w:vAlign w:val="bottom"/>
          </w:tcPr>
          <w:p>
            <w:pPr>
              <w:spacing w:after="0"/>
              <w:rPr>
                <w:sz w:val="1"/>
                <w:szCs w:val="1"/>
                <w:color w:val="auto"/>
              </w:rPr>
            </w:pPr>
          </w:p>
        </w:tc>
      </w:tr>
      <w:tr>
        <w:trPr>
          <w:trHeight w:val="214"/>
        </w:trPr>
        <w:tc>
          <w:tcPr>
            <w:tcW w:w="2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center"/>
              <w:ind w:right="131"/>
              <w:spacing w:after="0"/>
              <w:rPr>
                <w:sz w:val="20"/>
                <w:szCs w:val="20"/>
                <w:color w:val="auto"/>
              </w:rPr>
            </w:pPr>
            <w:r>
              <w:rPr>
                <w:rFonts w:ascii="Arial" w:cs="Arial" w:eastAsia="Arial" w:hAnsi="Arial"/>
                <w:sz w:val="18"/>
                <w:szCs w:val="18"/>
                <w:b w:val="1"/>
                <w:bCs w:val="1"/>
                <w:color w:val="auto"/>
                <w:w w:val="87"/>
              </w:rPr>
              <w:t>Recognized</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center"/>
              <w:ind w:right="151"/>
              <w:spacing w:after="0"/>
              <w:rPr>
                <w:sz w:val="20"/>
                <w:szCs w:val="20"/>
                <w:color w:val="auto"/>
              </w:rPr>
            </w:pPr>
            <w:r>
              <w:rPr>
                <w:rFonts w:ascii="Arial" w:cs="Arial" w:eastAsia="Arial" w:hAnsi="Arial"/>
                <w:sz w:val="18"/>
                <w:szCs w:val="18"/>
                <w:b w:val="1"/>
                <w:bCs w:val="1"/>
                <w:color w:val="auto"/>
                <w:w w:val="89"/>
              </w:rPr>
              <w:t>Interest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center"/>
              <w:ind w:right="111"/>
              <w:spacing w:after="0"/>
              <w:rPr>
                <w:sz w:val="20"/>
                <w:szCs w:val="20"/>
                <w:color w:val="auto"/>
              </w:rPr>
            </w:pPr>
            <w:r>
              <w:rPr>
                <w:rFonts w:ascii="Arial" w:cs="Arial" w:eastAsia="Arial" w:hAnsi="Arial"/>
                <w:sz w:val="18"/>
                <w:szCs w:val="18"/>
                <w:b w:val="1"/>
                <w:bCs w:val="1"/>
                <w:color w:val="auto"/>
                <w:w w:val="87"/>
              </w:rPr>
              <w:t>Recognized</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center"/>
              <w:ind w:right="171"/>
              <w:spacing w:after="0"/>
              <w:rPr>
                <w:sz w:val="20"/>
                <w:szCs w:val="20"/>
                <w:color w:val="auto"/>
              </w:rPr>
            </w:pPr>
            <w:r>
              <w:rPr>
                <w:rFonts w:ascii="Arial" w:cs="Arial" w:eastAsia="Arial" w:hAnsi="Arial"/>
                <w:sz w:val="18"/>
                <w:szCs w:val="18"/>
                <w:b w:val="1"/>
                <w:bCs w:val="1"/>
                <w:color w:val="auto"/>
                <w:w w:val="89"/>
              </w:rPr>
              <w:t>Interest</w:t>
            </w:r>
          </w:p>
        </w:tc>
        <w:tc>
          <w:tcPr>
            <w:tcW w:w="0" w:type="dxa"/>
            <w:vAlign w:val="bottom"/>
          </w:tcPr>
          <w:p>
            <w:pPr>
              <w:spacing w:after="0"/>
              <w:rPr>
                <w:sz w:val="1"/>
                <w:szCs w:val="1"/>
                <w:color w:val="auto"/>
              </w:rPr>
            </w:pPr>
          </w:p>
        </w:tc>
      </w:tr>
      <w:tr>
        <w:trPr>
          <w:trHeight w:val="214"/>
        </w:trPr>
        <w:tc>
          <w:tcPr>
            <w:tcW w:w="2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ind w:right="271"/>
              <w:spacing w:after="0"/>
              <w:rPr>
                <w:sz w:val="20"/>
                <w:szCs w:val="20"/>
                <w:color w:val="auto"/>
              </w:rPr>
            </w:pPr>
            <w:r>
              <w:rPr>
                <w:rFonts w:ascii="Arial" w:cs="Arial" w:eastAsia="Arial" w:hAnsi="Arial"/>
                <w:sz w:val="18"/>
                <w:szCs w:val="18"/>
                <w:b w:val="1"/>
                <w:bCs w:val="1"/>
                <w:color w:val="auto"/>
                <w:w w:val="95"/>
              </w:rPr>
              <w:t>Average</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center"/>
              <w:ind w:right="111"/>
              <w:spacing w:after="0"/>
              <w:rPr>
                <w:sz w:val="20"/>
                <w:szCs w:val="20"/>
                <w:color w:val="auto"/>
              </w:rPr>
            </w:pPr>
            <w:r>
              <w:rPr>
                <w:rFonts w:ascii="Arial" w:cs="Arial" w:eastAsia="Arial" w:hAnsi="Arial"/>
                <w:sz w:val="18"/>
                <w:szCs w:val="18"/>
                <w:b w:val="1"/>
                <w:bCs w:val="1"/>
                <w:color w:val="auto"/>
                <w:w w:val="93"/>
              </w:rPr>
              <w:t>During</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center"/>
              <w:ind w:right="151"/>
              <w:spacing w:after="0"/>
              <w:rPr>
                <w:sz w:val="20"/>
                <w:szCs w:val="20"/>
                <w:color w:val="auto"/>
              </w:rPr>
            </w:pPr>
            <w:r>
              <w:rPr>
                <w:rFonts w:ascii="Arial" w:cs="Arial" w:eastAsia="Arial" w:hAnsi="Arial"/>
                <w:sz w:val="18"/>
                <w:szCs w:val="18"/>
                <w:b w:val="1"/>
                <w:bCs w:val="1"/>
                <w:color w:val="auto"/>
                <w:w w:val="87"/>
              </w:rPr>
              <w:t>Revenue</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ind w:right="291"/>
              <w:spacing w:after="0"/>
              <w:rPr>
                <w:sz w:val="20"/>
                <w:szCs w:val="20"/>
                <w:color w:val="auto"/>
              </w:rPr>
            </w:pPr>
            <w:r>
              <w:rPr>
                <w:rFonts w:ascii="Arial" w:cs="Arial" w:eastAsia="Arial" w:hAnsi="Arial"/>
                <w:sz w:val="18"/>
                <w:szCs w:val="18"/>
                <w:b w:val="1"/>
                <w:bCs w:val="1"/>
                <w:color w:val="auto"/>
                <w:w w:val="95"/>
              </w:rPr>
              <w:t>Average</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center"/>
              <w:ind w:right="131"/>
              <w:spacing w:after="0"/>
              <w:rPr>
                <w:sz w:val="20"/>
                <w:szCs w:val="20"/>
                <w:color w:val="auto"/>
              </w:rPr>
            </w:pPr>
            <w:r>
              <w:rPr>
                <w:rFonts w:ascii="Arial" w:cs="Arial" w:eastAsia="Arial" w:hAnsi="Arial"/>
                <w:sz w:val="18"/>
                <w:szCs w:val="18"/>
                <w:b w:val="1"/>
                <w:bCs w:val="1"/>
                <w:color w:val="auto"/>
                <w:w w:val="93"/>
              </w:rPr>
              <w:t>During</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center"/>
              <w:ind w:right="171"/>
              <w:spacing w:after="0"/>
              <w:rPr>
                <w:sz w:val="20"/>
                <w:szCs w:val="20"/>
                <w:color w:val="auto"/>
              </w:rPr>
            </w:pPr>
            <w:r>
              <w:rPr>
                <w:rFonts w:ascii="Arial" w:cs="Arial" w:eastAsia="Arial" w:hAnsi="Arial"/>
                <w:sz w:val="18"/>
                <w:szCs w:val="18"/>
                <w:b w:val="1"/>
                <w:bCs w:val="1"/>
                <w:color w:val="auto"/>
                <w:w w:val="87"/>
              </w:rPr>
              <w:t>Revenue</w:t>
            </w:r>
          </w:p>
        </w:tc>
        <w:tc>
          <w:tcPr>
            <w:tcW w:w="0" w:type="dxa"/>
            <w:vAlign w:val="bottom"/>
          </w:tcPr>
          <w:p>
            <w:pPr>
              <w:spacing w:after="0"/>
              <w:rPr>
                <w:sz w:val="1"/>
                <w:szCs w:val="1"/>
                <w:color w:val="auto"/>
              </w:rPr>
            </w:pPr>
          </w:p>
        </w:tc>
      </w:tr>
      <w:tr>
        <w:trPr>
          <w:trHeight w:val="239"/>
        </w:trPr>
        <w:tc>
          <w:tcPr>
            <w:tcW w:w="264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Three Months Ended June 30,</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291"/>
              <w:spacing w:after="0"/>
              <w:rPr>
                <w:sz w:val="20"/>
                <w:szCs w:val="20"/>
                <w:color w:val="auto"/>
              </w:rPr>
            </w:pPr>
            <w:r>
              <w:rPr>
                <w:rFonts w:ascii="Arial" w:cs="Arial" w:eastAsia="Arial" w:hAnsi="Arial"/>
                <w:sz w:val="18"/>
                <w:szCs w:val="18"/>
                <w:b w:val="1"/>
                <w:bCs w:val="1"/>
                <w:color w:val="auto"/>
                <w:w w:val="95"/>
              </w:rPr>
              <w:t>Balance</w:t>
            </w: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right="131"/>
              <w:spacing w:after="0"/>
              <w:rPr>
                <w:sz w:val="20"/>
                <w:szCs w:val="20"/>
                <w:color w:val="auto"/>
              </w:rPr>
            </w:pPr>
            <w:r>
              <w:rPr>
                <w:rFonts w:ascii="Arial" w:cs="Arial" w:eastAsia="Arial" w:hAnsi="Arial"/>
                <w:sz w:val="18"/>
                <w:szCs w:val="18"/>
                <w:b w:val="1"/>
                <w:bCs w:val="1"/>
                <w:color w:val="auto"/>
                <w:w w:val="94"/>
              </w:rPr>
              <w:t>Impairment</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right="151"/>
              <w:spacing w:after="0"/>
              <w:rPr>
                <w:sz w:val="20"/>
                <w:szCs w:val="20"/>
                <w:color w:val="auto"/>
              </w:rPr>
            </w:pPr>
            <w:r>
              <w:rPr>
                <w:rFonts w:ascii="Arial" w:cs="Arial" w:eastAsia="Arial" w:hAnsi="Arial"/>
                <w:sz w:val="18"/>
                <w:szCs w:val="18"/>
                <w:b w:val="1"/>
                <w:bCs w:val="1"/>
                <w:color w:val="auto"/>
                <w:w w:val="88"/>
              </w:rPr>
              <w:t>Received</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291"/>
              <w:spacing w:after="0"/>
              <w:rPr>
                <w:sz w:val="20"/>
                <w:szCs w:val="20"/>
                <w:color w:val="auto"/>
              </w:rPr>
            </w:pPr>
            <w:r>
              <w:rPr>
                <w:rFonts w:ascii="Arial" w:cs="Arial" w:eastAsia="Arial" w:hAnsi="Arial"/>
                <w:sz w:val="18"/>
                <w:szCs w:val="18"/>
                <w:b w:val="1"/>
                <w:bCs w:val="1"/>
                <w:color w:val="auto"/>
                <w:w w:val="98"/>
              </w:rPr>
              <w:t>Balance</w:t>
            </w: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center"/>
              <w:ind w:right="111"/>
              <w:spacing w:after="0"/>
              <w:rPr>
                <w:sz w:val="20"/>
                <w:szCs w:val="20"/>
                <w:color w:val="auto"/>
              </w:rPr>
            </w:pPr>
            <w:r>
              <w:rPr>
                <w:rFonts w:ascii="Arial" w:cs="Arial" w:eastAsia="Arial" w:hAnsi="Arial"/>
                <w:sz w:val="18"/>
                <w:szCs w:val="18"/>
                <w:b w:val="1"/>
                <w:bCs w:val="1"/>
                <w:color w:val="auto"/>
                <w:w w:val="94"/>
              </w:rPr>
              <w:t>Impairment</w:t>
            </w: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center"/>
              <w:ind w:right="171"/>
              <w:spacing w:after="0"/>
              <w:rPr>
                <w:sz w:val="20"/>
                <w:szCs w:val="20"/>
                <w:color w:val="auto"/>
              </w:rPr>
            </w:pPr>
            <w:r>
              <w:rPr>
                <w:rFonts w:ascii="Arial" w:cs="Arial" w:eastAsia="Arial" w:hAnsi="Arial"/>
                <w:sz w:val="18"/>
                <w:szCs w:val="18"/>
                <w:b w:val="1"/>
                <w:bCs w:val="1"/>
                <w:color w:val="auto"/>
                <w:w w:val="88"/>
              </w:rPr>
              <w:t>Received</w:t>
            </w:r>
          </w:p>
        </w:tc>
        <w:tc>
          <w:tcPr>
            <w:tcW w:w="0" w:type="dxa"/>
            <w:vAlign w:val="bottom"/>
          </w:tcPr>
          <w:p>
            <w:pPr>
              <w:spacing w:after="0"/>
              <w:rPr>
                <w:sz w:val="1"/>
                <w:szCs w:val="1"/>
                <w:color w:val="auto"/>
              </w:rPr>
            </w:pPr>
          </w:p>
        </w:tc>
      </w:tr>
      <w:tr>
        <w:trPr>
          <w:trHeight w:val="200"/>
        </w:trPr>
        <w:tc>
          <w:tcPr>
            <w:tcW w:w="2640" w:type="dxa"/>
            <w:vAlign w:val="bottom"/>
          </w:tcPr>
          <w:p>
            <w:pPr>
              <w:ind w:left="40"/>
              <w:spacing w:after="0" w:line="200" w:lineRule="exact"/>
              <w:rPr>
                <w:sz w:val="20"/>
                <w:szCs w:val="20"/>
                <w:color w:val="auto"/>
              </w:rPr>
            </w:pPr>
            <w:r>
              <w:rPr>
                <w:rFonts w:ascii="Arial" w:cs="Arial" w:eastAsia="Arial" w:hAnsi="Arial"/>
                <w:sz w:val="18"/>
                <w:szCs w:val="18"/>
                <w:color w:val="auto"/>
                <w:w w:val="88"/>
              </w:rPr>
              <w:t>Commercial (secured by real estate)</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ind w:right="31"/>
              <w:spacing w:after="0" w:line="200" w:lineRule="exact"/>
              <w:rPr>
                <w:sz w:val="20"/>
                <w:szCs w:val="20"/>
                <w:color w:val="auto"/>
              </w:rPr>
            </w:pPr>
            <w:r>
              <w:rPr>
                <w:rFonts w:ascii="Arial" w:cs="Arial" w:eastAsia="Arial" w:hAnsi="Arial"/>
                <w:sz w:val="18"/>
                <w:szCs w:val="18"/>
                <w:color w:val="auto"/>
              </w:rPr>
              <w:t>52,191</w:t>
            </w:r>
          </w:p>
        </w:tc>
        <w:tc>
          <w:tcPr>
            <w:tcW w:w="100" w:type="dxa"/>
            <w:vAlign w:val="bottom"/>
          </w:tcPr>
          <w:p>
            <w:pPr>
              <w:spacing w:after="0"/>
              <w:rPr>
                <w:sz w:val="17"/>
                <w:szCs w:val="17"/>
                <w:color w:val="auto"/>
              </w:rPr>
            </w:pPr>
          </w:p>
        </w:tc>
        <w:tc>
          <w:tcPr>
            <w:tcW w:w="100" w:type="dxa"/>
            <w:vAlign w:val="bottom"/>
          </w:tcPr>
          <w:p>
            <w:pPr>
              <w:jc w:val="right"/>
              <w:spacing w:after="0" w:line="200" w:lineRule="exact"/>
              <w:rPr>
                <w:sz w:val="20"/>
                <w:szCs w:val="20"/>
                <w:color w:val="auto"/>
              </w:rPr>
            </w:pPr>
            <w:r>
              <w:rPr>
                <w:rFonts w:ascii="Arial" w:cs="Arial" w:eastAsia="Arial" w:hAnsi="Arial"/>
                <w:sz w:val="18"/>
                <w:szCs w:val="18"/>
                <w:color w:val="auto"/>
                <w:w w:val="79"/>
              </w:rPr>
              <w:t>$</w:t>
            </w:r>
          </w:p>
        </w:tc>
        <w:tc>
          <w:tcPr>
            <w:tcW w:w="1140" w:type="dxa"/>
            <w:vAlign w:val="bottom"/>
          </w:tcPr>
          <w:p>
            <w:pPr>
              <w:jc w:val="right"/>
              <w:ind w:right="31"/>
              <w:spacing w:after="0" w:line="200" w:lineRule="exact"/>
              <w:rPr>
                <w:sz w:val="20"/>
                <w:szCs w:val="20"/>
                <w:color w:val="auto"/>
              </w:rPr>
            </w:pPr>
            <w:r>
              <w:rPr>
                <w:rFonts w:ascii="Arial" w:cs="Arial" w:eastAsia="Arial" w:hAnsi="Arial"/>
                <w:sz w:val="18"/>
                <w:szCs w:val="18"/>
                <w:color w:val="auto"/>
              </w:rPr>
              <w:t>631</w:t>
            </w:r>
          </w:p>
        </w:tc>
        <w:tc>
          <w:tcPr>
            <w:tcW w:w="100" w:type="dxa"/>
            <w:vAlign w:val="bottom"/>
          </w:tcPr>
          <w:p>
            <w:pPr>
              <w:spacing w:after="0"/>
              <w:rPr>
                <w:sz w:val="17"/>
                <w:szCs w:val="17"/>
                <w:color w:val="auto"/>
              </w:rPr>
            </w:pPr>
          </w:p>
        </w:tc>
        <w:tc>
          <w:tcPr>
            <w:tcW w:w="120" w:type="dxa"/>
            <w:vAlign w:val="bottom"/>
          </w:tcPr>
          <w:p>
            <w:pPr>
              <w:jc w:val="right"/>
              <w:spacing w:after="0" w:line="200" w:lineRule="exact"/>
              <w:rPr>
                <w:sz w:val="20"/>
                <w:szCs w:val="20"/>
                <w:color w:val="auto"/>
              </w:rPr>
            </w:pPr>
            <w:r>
              <w:rPr>
                <w:rFonts w:ascii="Arial" w:cs="Arial" w:eastAsia="Arial" w:hAnsi="Arial"/>
                <w:sz w:val="18"/>
                <w:szCs w:val="18"/>
                <w:color w:val="auto"/>
                <w:w w:val="79"/>
              </w:rPr>
              <w:t>$</w:t>
            </w:r>
          </w:p>
        </w:tc>
        <w:tc>
          <w:tcPr>
            <w:tcW w:w="1140" w:type="dxa"/>
            <w:vAlign w:val="bottom"/>
          </w:tcPr>
          <w:p>
            <w:pPr>
              <w:jc w:val="right"/>
              <w:ind w:right="31"/>
              <w:spacing w:after="0" w:line="200" w:lineRule="exact"/>
              <w:rPr>
                <w:sz w:val="20"/>
                <w:szCs w:val="20"/>
                <w:color w:val="auto"/>
              </w:rPr>
            </w:pPr>
            <w:r>
              <w:rPr>
                <w:rFonts w:ascii="Arial" w:cs="Arial" w:eastAsia="Arial" w:hAnsi="Arial"/>
                <w:sz w:val="18"/>
                <w:szCs w:val="18"/>
                <w:color w:val="auto"/>
              </w:rPr>
              <w:t>665</w:t>
            </w:r>
          </w:p>
        </w:tc>
        <w:tc>
          <w:tcPr>
            <w:tcW w:w="100" w:type="dxa"/>
            <w:vAlign w:val="bottom"/>
          </w:tcPr>
          <w:p>
            <w:pPr>
              <w:spacing w:after="0"/>
              <w:rPr>
                <w:sz w:val="17"/>
                <w:szCs w:val="17"/>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ind w:right="31"/>
              <w:spacing w:after="0" w:line="200" w:lineRule="exact"/>
              <w:rPr>
                <w:sz w:val="20"/>
                <w:szCs w:val="20"/>
                <w:color w:val="auto"/>
              </w:rPr>
            </w:pPr>
            <w:r>
              <w:rPr>
                <w:rFonts w:ascii="Arial" w:cs="Arial" w:eastAsia="Arial" w:hAnsi="Arial"/>
                <w:sz w:val="18"/>
                <w:szCs w:val="18"/>
                <w:color w:val="auto"/>
              </w:rPr>
              <w:t>125,419</w:t>
            </w:r>
          </w:p>
        </w:tc>
        <w:tc>
          <w:tcPr>
            <w:tcW w:w="1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ind w:right="11"/>
              <w:spacing w:after="0" w:line="200" w:lineRule="exact"/>
              <w:rPr>
                <w:sz w:val="20"/>
                <w:szCs w:val="20"/>
                <w:color w:val="auto"/>
              </w:rPr>
            </w:pPr>
            <w:r>
              <w:rPr>
                <w:rFonts w:ascii="Arial" w:cs="Arial" w:eastAsia="Arial" w:hAnsi="Arial"/>
                <w:sz w:val="18"/>
                <w:szCs w:val="18"/>
                <w:color w:val="auto"/>
              </w:rPr>
              <w:t>1,414</w:t>
            </w:r>
          </w:p>
        </w:tc>
        <w:tc>
          <w:tcPr>
            <w:tcW w:w="1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ind w:right="31"/>
              <w:spacing w:after="0" w:line="200" w:lineRule="exact"/>
              <w:rPr>
                <w:sz w:val="20"/>
                <w:szCs w:val="20"/>
                <w:color w:val="auto"/>
              </w:rPr>
            </w:pPr>
            <w:r>
              <w:rPr>
                <w:rFonts w:ascii="Arial" w:cs="Arial" w:eastAsia="Arial" w:hAnsi="Arial"/>
                <w:sz w:val="18"/>
                <w:szCs w:val="18"/>
                <w:color w:val="auto"/>
              </w:rPr>
              <w:t>1,476</w:t>
            </w:r>
          </w:p>
        </w:tc>
        <w:tc>
          <w:tcPr>
            <w:tcW w:w="0" w:type="dxa"/>
            <w:vAlign w:val="bottom"/>
          </w:tcPr>
          <w:p>
            <w:pPr>
              <w:spacing w:after="0"/>
              <w:rPr>
                <w:sz w:val="1"/>
                <w:szCs w:val="1"/>
                <w:color w:val="auto"/>
              </w:rPr>
            </w:pPr>
          </w:p>
        </w:tc>
      </w:tr>
      <w:tr>
        <w:trPr>
          <w:trHeight w:val="214"/>
        </w:trPr>
        <w:tc>
          <w:tcPr>
            <w:tcW w:w="2640" w:type="dxa"/>
            <w:vAlign w:val="bottom"/>
          </w:tcPr>
          <w:p>
            <w:pPr>
              <w:ind w:left="40"/>
              <w:spacing w:after="0"/>
              <w:rPr>
                <w:sz w:val="20"/>
                <w:szCs w:val="20"/>
                <w:color w:val="auto"/>
              </w:rPr>
            </w:pPr>
            <w:r>
              <w:rPr>
                <w:rFonts w:ascii="Arial" w:cs="Arial" w:eastAsia="Arial" w:hAnsi="Arial"/>
                <w:sz w:val="18"/>
                <w:szCs w:val="18"/>
                <w:color w:val="auto"/>
              </w:rPr>
              <w:t>Commercial &amp; industrial</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5,804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48,984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191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700</w:t>
            </w:r>
          </w:p>
        </w:tc>
        <w:tc>
          <w:tcPr>
            <w:tcW w:w="0" w:type="dxa"/>
            <w:vAlign w:val="bottom"/>
          </w:tcPr>
          <w:p>
            <w:pPr>
              <w:spacing w:after="0"/>
              <w:rPr>
                <w:sz w:val="1"/>
                <w:szCs w:val="1"/>
                <w:color w:val="auto"/>
              </w:rPr>
            </w:pPr>
          </w:p>
        </w:tc>
      </w:tr>
      <w:tr>
        <w:trPr>
          <w:trHeight w:val="235"/>
        </w:trPr>
        <w:tc>
          <w:tcPr>
            <w:tcW w:w="2640" w:type="dxa"/>
            <w:vAlign w:val="bottom"/>
          </w:tcPr>
          <w:p>
            <w:pPr>
              <w:ind w:left="40"/>
              <w:spacing w:after="0"/>
              <w:rPr>
                <w:sz w:val="20"/>
                <w:szCs w:val="20"/>
                <w:color w:val="auto"/>
              </w:rPr>
            </w:pPr>
            <w:r>
              <w:rPr>
                <w:rFonts w:ascii="Arial" w:cs="Arial" w:eastAsia="Arial" w:hAnsi="Arial"/>
                <w:sz w:val="18"/>
                <w:szCs w:val="18"/>
                <w:color w:val="auto"/>
              </w:rPr>
              <w:t>Commercial construction</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13,034</w:t>
            </w: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114</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115</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41,242</w:t>
            </w: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217</w:t>
            </w: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304</w:t>
            </w:r>
          </w:p>
        </w:tc>
        <w:tc>
          <w:tcPr>
            <w:tcW w:w="0" w:type="dxa"/>
            <w:vAlign w:val="bottom"/>
          </w:tcPr>
          <w:p>
            <w:pPr>
              <w:spacing w:after="0"/>
              <w:rPr>
                <w:sz w:val="1"/>
                <w:szCs w:val="1"/>
                <w:color w:val="auto"/>
              </w:rPr>
            </w:pPr>
          </w:p>
        </w:tc>
      </w:tr>
      <w:tr>
        <w:trPr>
          <w:trHeight w:val="200"/>
        </w:trPr>
        <w:tc>
          <w:tcPr>
            <w:tcW w:w="2640" w:type="dxa"/>
            <w:vAlign w:val="bottom"/>
          </w:tcPr>
          <w:p>
            <w:pPr>
              <w:ind w:left="260"/>
              <w:spacing w:after="0" w:line="200" w:lineRule="exact"/>
              <w:rPr>
                <w:sz w:val="20"/>
                <w:szCs w:val="20"/>
                <w:color w:val="auto"/>
              </w:rPr>
            </w:pPr>
            <w:r>
              <w:rPr>
                <w:rFonts w:ascii="Arial" w:cs="Arial" w:eastAsia="Arial" w:hAnsi="Arial"/>
                <w:sz w:val="18"/>
                <w:szCs w:val="18"/>
                <w:color w:val="auto"/>
              </w:rPr>
              <w:t>Total commercial</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jc w:val="right"/>
              <w:ind w:right="31"/>
              <w:spacing w:after="0" w:line="200" w:lineRule="exact"/>
              <w:rPr>
                <w:sz w:val="20"/>
                <w:szCs w:val="20"/>
                <w:color w:val="auto"/>
              </w:rPr>
            </w:pPr>
            <w:r>
              <w:rPr>
                <w:rFonts w:ascii="Arial" w:cs="Arial" w:eastAsia="Arial" w:hAnsi="Arial"/>
                <w:sz w:val="18"/>
                <w:szCs w:val="18"/>
                <w:color w:val="auto"/>
              </w:rPr>
              <w:t>71,029</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jc w:val="right"/>
              <w:ind w:right="31"/>
              <w:spacing w:after="0" w:line="200" w:lineRule="exact"/>
              <w:rPr>
                <w:sz w:val="20"/>
                <w:szCs w:val="20"/>
                <w:color w:val="auto"/>
              </w:rPr>
            </w:pPr>
            <w:r>
              <w:rPr>
                <w:rFonts w:ascii="Arial" w:cs="Arial" w:eastAsia="Arial" w:hAnsi="Arial"/>
                <w:sz w:val="18"/>
                <w:szCs w:val="18"/>
                <w:color w:val="auto"/>
              </w:rPr>
              <w:t>808</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jc w:val="right"/>
              <w:ind w:right="31"/>
              <w:spacing w:after="0" w:line="200" w:lineRule="exact"/>
              <w:rPr>
                <w:sz w:val="20"/>
                <w:szCs w:val="20"/>
                <w:color w:val="auto"/>
              </w:rPr>
            </w:pPr>
            <w:r>
              <w:rPr>
                <w:rFonts w:ascii="Arial" w:cs="Arial" w:eastAsia="Arial" w:hAnsi="Arial"/>
                <w:sz w:val="18"/>
                <w:szCs w:val="18"/>
                <w:color w:val="auto"/>
              </w:rPr>
              <w:t>850</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jc w:val="right"/>
              <w:ind w:right="31"/>
              <w:spacing w:after="0" w:line="200" w:lineRule="exact"/>
              <w:rPr>
                <w:sz w:val="20"/>
                <w:szCs w:val="20"/>
                <w:color w:val="auto"/>
              </w:rPr>
            </w:pPr>
            <w:r>
              <w:rPr>
                <w:rFonts w:ascii="Arial" w:cs="Arial" w:eastAsia="Arial" w:hAnsi="Arial"/>
                <w:sz w:val="18"/>
                <w:szCs w:val="18"/>
                <w:color w:val="auto"/>
              </w:rPr>
              <w:t>215,645</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jc w:val="right"/>
              <w:ind w:right="11"/>
              <w:spacing w:after="0" w:line="200" w:lineRule="exact"/>
              <w:rPr>
                <w:sz w:val="20"/>
                <w:szCs w:val="20"/>
                <w:color w:val="auto"/>
              </w:rPr>
            </w:pPr>
            <w:r>
              <w:rPr>
                <w:rFonts w:ascii="Arial" w:cs="Arial" w:eastAsia="Arial" w:hAnsi="Arial"/>
                <w:sz w:val="18"/>
                <w:szCs w:val="18"/>
                <w:color w:val="auto"/>
              </w:rPr>
              <w:t>1,822</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jc w:val="right"/>
              <w:ind w:right="31"/>
              <w:spacing w:after="0" w:line="200" w:lineRule="exact"/>
              <w:rPr>
                <w:sz w:val="20"/>
                <w:szCs w:val="20"/>
                <w:color w:val="auto"/>
              </w:rPr>
            </w:pPr>
            <w:r>
              <w:rPr>
                <w:rFonts w:ascii="Arial" w:cs="Arial" w:eastAsia="Arial" w:hAnsi="Arial"/>
                <w:sz w:val="18"/>
                <w:szCs w:val="18"/>
                <w:color w:val="auto"/>
              </w:rPr>
              <w:t>2,480</w:t>
            </w:r>
          </w:p>
        </w:tc>
        <w:tc>
          <w:tcPr>
            <w:tcW w:w="0" w:type="dxa"/>
            <w:vAlign w:val="bottom"/>
          </w:tcPr>
          <w:p>
            <w:pPr>
              <w:spacing w:after="0"/>
              <w:rPr>
                <w:sz w:val="1"/>
                <w:szCs w:val="1"/>
                <w:color w:val="auto"/>
              </w:rPr>
            </w:pPr>
          </w:p>
        </w:tc>
      </w:tr>
      <w:tr>
        <w:trPr>
          <w:trHeight w:val="214"/>
        </w:trPr>
        <w:tc>
          <w:tcPr>
            <w:tcW w:w="2640" w:type="dxa"/>
            <w:vAlign w:val="bottom"/>
          </w:tcPr>
          <w:p>
            <w:pPr>
              <w:ind w:left="40"/>
              <w:spacing w:after="0"/>
              <w:rPr>
                <w:sz w:val="20"/>
                <w:szCs w:val="20"/>
                <w:color w:val="auto"/>
              </w:rPr>
            </w:pPr>
            <w:r>
              <w:rPr>
                <w:rFonts w:ascii="Arial" w:cs="Arial" w:eastAsia="Arial" w:hAnsi="Arial"/>
                <w:sz w:val="18"/>
                <w:szCs w:val="18"/>
                <w:color w:val="auto"/>
              </w:rPr>
              <w:t>Residential mortgage</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18,950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205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193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19,645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255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297</w:t>
            </w:r>
          </w:p>
        </w:tc>
        <w:tc>
          <w:tcPr>
            <w:tcW w:w="0" w:type="dxa"/>
            <w:vAlign w:val="bottom"/>
          </w:tcPr>
          <w:p>
            <w:pPr>
              <w:spacing w:after="0"/>
              <w:rPr>
                <w:sz w:val="1"/>
                <w:szCs w:val="1"/>
                <w:color w:val="auto"/>
              </w:rPr>
            </w:pPr>
          </w:p>
        </w:tc>
      </w:tr>
      <w:tr>
        <w:trPr>
          <w:trHeight w:val="214"/>
        </w:trPr>
        <w:tc>
          <w:tcPr>
            <w:tcW w:w="2640" w:type="dxa"/>
            <w:vAlign w:val="bottom"/>
          </w:tcPr>
          <w:p>
            <w:pPr>
              <w:ind w:left="40"/>
              <w:spacing w:after="0"/>
              <w:rPr>
                <w:sz w:val="20"/>
                <w:szCs w:val="20"/>
                <w:color w:val="auto"/>
              </w:rPr>
            </w:pPr>
            <w:r>
              <w:rPr>
                <w:rFonts w:ascii="Arial" w:cs="Arial" w:eastAsia="Arial" w:hAnsi="Arial"/>
                <w:sz w:val="18"/>
                <w:szCs w:val="18"/>
                <w:color w:val="auto"/>
              </w:rPr>
              <w:t>Residential construction</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14,058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178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147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51,596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336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431</w:t>
            </w:r>
          </w:p>
        </w:tc>
        <w:tc>
          <w:tcPr>
            <w:tcW w:w="0" w:type="dxa"/>
            <w:vAlign w:val="bottom"/>
          </w:tcPr>
          <w:p>
            <w:pPr>
              <w:spacing w:after="0"/>
              <w:rPr>
                <w:sz w:val="1"/>
                <w:szCs w:val="1"/>
                <w:color w:val="auto"/>
              </w:rPr>
            </w:pPr>
          </w:p>
        </w:tc>
      </w:tr>
      <w:tr>
        <w:trPr>
          <w:trHeight w:val="235"/>
        </w:trPr>
        <w:tc>
          <w:tcPr>
            <w:tcW w:w="2640" w:type="dxa"/>
            <w:vAlign w:val="bottom"/>
          </w:tcPr>
          <w:p>
            <w:pPr>
              <w:ind w:left="40"/>
              <w:spacing w:after="0"/>
              <w:rPr>
                <w:sz w:val="20"/>
                <w:szCs w:val="20"/>
                <w:color w:val="auto"/>
              </w:rPr>
            </w:pPr>
            <w:r>
              <w:rPr>
                <w:rFonts w:ascii="Arial" w:cs="Arial" w:eastAsia="Arial" w:hAnsi="Arial"/>
                <w:sz w:val="18"/>
                <w:szCs w:val="18"/>
                <w:color w:val="auto"/>
              </w:rPr>
              <w:t>Consumer installment</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246</w:t>
            </w: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450</w:t>
            </w: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4"/>
        </w:trPr>
        <w:tc>
          <w:tcPr>
            <w:tcW w:w="2640" w:type="dxa"/>
            <w:vAlign w:val="bottom"/>
          </w:tcPr>
          <w:p>
            <w:pPr>
              <w:ind w:left="260"/>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104,283</w:t>
            </w:r>
          </w:p>
        </w:tc>
        <w:tc>
          <w:tcPr>
            <w:tcW w:w="1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1,195</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1,194</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287,336</w:t>
            </w:r>
          </w:p>
        </w:tc>
        <w:tc>
          <w:tcPr>
            <w:tcW w:w="1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2,421</w:t>
            </w:r>
          </w:p>
        </w:tc>
        <w:tc>
          <w:tcPr>
            <w:tcW w:w="1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3,216</w:t>
            </w:r>
          </w:p>
        </w:tc>
        <w:tc>
          <w:tcPr>
            <w:tcW w:w="0" w:type="dxa"/>
            <w:vAlign w:val="bottom"/>
          </w:tcPr>
          <w:p>
            <w:pPr>
              <w:spacing w:after="0"/>
              <w:rPr>
                <w:sz w:val="1"/>
                <w:szCs w:val="1"/>
                <w:color w:val="auto"/>
              </w:rPr>
            </w:pPr>
          </w:p>
        </w:tc>
      </w:tr>
      <w:tr>
        <w:trPr>
          <w:trHeight w:val="20"/>
        </w:trPr>
        <w:tc>
          <w:tcPr>
            <w:tcW w:w="264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Six Months Ended June 30,</w:t>
            </w: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4"/>
        </w:trPr>
        <w:tc>
          <w:tcPr>
            <w:tcW w:w="2640" w:type="dxa"/>
            <w:vAlign w:val="bottom"/>
            <w:tcBorders>
              <w:bottom w:val="single" w:sz="8" w:color="auto"/>
            </w:tcBorders>
            <w:vMerge w:val="continue"/>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2640" w:type="dxa"/>
            <w:vAlign w:val="bottom"/>
          </w:tcPr>
          <w:p>
            <w:pPr>
              <w:ind w:left="40"/>
              <w:spacing w:after="0" w:line="200" w:lineRule="exact"/>
              <w:rPr>
                <w:sz w:val="20"/>
                <w:szCs w:val="20"/>
                <w:color w:val="auto"/>
              </w:rPr>
            </w:pPr>
            <w:r>
              <w:rPr>
                <w:rFonts w:ascii="Arial" w:cs="Arial" w:eastAsia="Arial" w:hAnsi="Arial"/>
                <w:sz w:val="18"/>
                <w:szCs w:val="18"/>
                <w:color w:val="auto"/>
                <w:w w:val="88"/>
              </w:rPr>
              <w:t>Commercial (secured by real estate)</w:t>
            </w:r>
          </w:p>
        </w:tc>
        <w:tc>
          <w:tcPr>
            <w:tcW w:w="280" w:type="dxa"/>
            <w:vAlign w:val="bottom"/>
            <w:gridSpan w:val="3"/>
          </w:tcPr>
          <w:p>
            <w:pPr>
              <w:jc w:val="right"/>
              <w:ind w:right="7"/>
              <w:spacing w:after="0" w:line="200" w:lineRule="exact"/>
              <w:rPr>
                <w:sz w:val="20"/>
                <w:szCs w:val="20"/>
                <w:color w:val="auto"/>
              </w:rPr>
            </w:pPr>
            <w:r>
              <w:rPr>
                <w:rFonts w:ascii="Arial" w:cs="Arial" w:eastAsia="Arial" w:hAnsi="Arial"/>
                <w:sz w:val="18"/>
                <w:szCs w:val="18"/>
                <w:color w:val="auto"/>
              </w:rPr>
              <w:t>$</w:t>
            </w:r>
          </w:p>
        </w:tc>
        <w:tc>
          <w:tcPr>
            <w:tcW w:w="1060" w:type="dxa"/>
            <w:vAlign w:val="bottom"/>
          </w:tcPr>
          <w:p>
            <w:pPr>
              <w:jc w:val="right"/>
              <w:ind w:right="31"/>
              <w:spacing w:after="0" w:line="200" w:lineRule="exact"/>
              <w:rPr>
                <w:sz w:val="20"/>
                <w:szCs w:val="20"/>
                <w:color w:val="auto"/>
              </w:rPr>
            </w:pPr>
            <w:r>
              <w:rPr>
                <w:rFonts w:ascii="Arial" w:cs="Arial" w:eastAsia="Arial" w:hAnsi="Arial"/>
                <w:sz w:val="18"/>
                <w:szCs w:val="18"/>
                <w:color w:val="auto"/>
              </w:rPr>
              <w:t>74,233</w:t>
            </w:r>
          </w:p>
        </w:tc>
        <w:tc>
          <w:tcPr>
            <w:tcW w:w="200" w:type="dxa"/>
            <w:vAlign w:val="bottom"/>
            <w:gridSpan w:val="2"/>
          </w:tcPr>
          <w:p>
            <w:pPr>
              <w:jc w:val="right"/>
              <w:spacing w:after="0" w:line="200" w:lineRule="exact"/>
              <w:rPr>
                <w:sz w:val="20"/>
                <w:szCs w:val="20"/>
                <w:color w:val="auto"/>
              </w:rPr>
            </w:pPr>
            <w:r>
              <w:rPr>
                <w:rFonts w:ascii="Arial" w:cs="Arial" w:eastAsia="Arial" w:hAnsi="Arial"/>
                <w:sz w:val="18"/>
                <w:szCs w:val="18"/>
                <w:color w:val="auto"/>
              </w:rPr>
              <w:t>$</w:t>
            </w:r>
          </w:p>
        </w:tc>
        <w:tc>
          <w:tcPr>
            <w:tcW w:w="1140" w:type="dxa"/>
            <w:vAlign w:val="bottom"/>
          </w:tcPr>
          <w:p>
            <w:pPr>
              <w:jc w:val="right"/>
              <w:ind w:right="31"/>
              <w:spacing w:after="0" w:line="200" w:lineRule="exact"/>
              <w:rPr>
                <w:sz w:val="20"/>
                <w:szCs w:val="20"/>
                <w:color w:val="auto"/>
              </w:rPr>
            </w:pPr>
            <w:r>
              <w:rPr>
                <w:rFonts w:ascii="Arial" w:cs="Arial" w:eastAsia="Arial" w:hAnsi="Arial"/>
                <w:sz w:val="18"/>
                <w:szCs w:val="18"/>
                <w:color w:val="auto"/>
              </w:rPr>
              <w:t>1,577</w:t>
            </w:r>
          </w:p>
        </w:tc>
        <w:tc>
          <w:tcPr>
            <w:tcW w:w="220" w:type="dxa"/>
            <w:vAlign w:val="bottom"/>
            <w:gridSpan w:val="2"/>
          </w:tcPr>
          <w:p>
            <w:pPr>
              <w:jc w:val="right"/>
              <w:spacing w:after="0" w:line="200" w:lineRule="exact"/>
              <w:rPr>
                <w:sz w:val="20"/>
                <w:szCs w:val="20"/>
                <w:color w:val="auto"/>
              </w:rPr>
            </w:pPr>
            <w:r>
              <w:rPr>
                <w:rFonts w:ascii="Arial" w:cs="Arial" w:eastAsia="Arial" w:hAnsi="Arial"/>
                <w:sz w:val="18"/>
                <w:szCs w:val="18"/>
                <w:color w:val="auto"/>
              </w:rPr>
              <w:t>$</w:t>
            </w:r>
          </w:p>
        </w:tc>
        <w:tc>
          <w:tcPr>
            <w:tcW w:w="1140" w:type="dxa"/>
            <w:vAlign w:val="bottom"/>
          </w:tcPr>
          <w:p>
            <w:pPr>
              <w:jc w:val="right"/>
              <w:ind w:right="31"/>
              <w:spacing w:after="0" w:line="200" w:lineRule="exact"/>
              <w:rPr>
                <w:sz w:val="20"/>
                <w:szCs w:val="20"/>
                <w:color w:val="auto"/>
              </w:rPr>
            </w:pPr>
            <w:r>
              <w:rPr>
                <w:rFonts w:ascii="Arial" w:cs="Arial" w:eastAsia="Arial" w:hAnsi="Arial"/>
                <w:sz w:val="18"/>
                <w:szCs w:val="18"/>
                <w:color w:val="auto"/>
              </w:rPr>
              <w:t>1,665</w:t>
            </w:r>
          </w:p>
        </w:tc>
        <w:tc>
          <w:tcPr>
            <w:tcW w:w="280" w:type="dxa"/>
            <w:vAlign w:val="bottom"/>
            <w:gridSpan w:val="2"/>
          </w:tcPr>
          <w:p>
            <w:pPr>
              <w:jc w:val="right"/>
              <w:ind w:right="27"/>
              <w:spacing w:after="0" w:line="200" w:lineRule="exact"/>
              <w:rPr>
                <w:sz w:val="20"/>
                <w:szCs w:val="20"/>
                <w:color w:val="auto"/>
              </w:rPr>
            </w:pPr>
            <w:r>
              <w:rPr>
                <w:rFonts w:ascii="Arial" w:cs="Arial" w:eastAsia="Arial" w:hAnsi="Arial"/>
                <w:sz w:val="18"/>
                <w:szCs w:val="18"/>
                <w:color w:val="auto"/>
              </w:rPr>
              <w:t>$</w:t>
            </w:r>
          </w:p>
        </w:tc>
        <w:tc>
          <w:tcPr>
            <w:tcW w:w="1080" w:type="dxa"/>
            <w:vAlign w:val="bottom"/>
          </w:tcPr>
          <w:p>
            <w:pPr>
              <w:jc w:val="right"/>
              <w:ind w:right="31"/>
              <w:spacing w:after="0" w:line="200" w:lineRule="exact"/>
              <w:rPr>
                <w:sz w:val="20"/>
                <w:szCs w:val="20"/>
                <w:color w:val="auto"/>
              </w:rPr>
            </w:pPr>
            <w:r>
              <w:rPr>
                <w:rFonts w:ascii="Arial" w:cs="Arial" w:eastAsia="Arial" w:hAnsi="Arial"/>
                <w:sz w:val="18"/>
                <w:szCs w:val="18"/>
                <w:color w:val="auto"/>
              </w:rPr>
              <w:t>112,633</w:t>
            </w:r>
          </w:p>
        </w:tc>
        <w:tc>
          <w:tcPr>
            <w:tcW w:w="200" w:type="dxa"/>
            <w:vAlign w:val="bottom"/>
            <w:gridSpan w:val="2"/>
          </w:tcPr>
          <w:p>
            <w:pPr>
              <w:jc w:val="right"/>
              <w:spacing w:after="0" w:line="200" w:lineRule="exact"/>
              <w:rPr>
                <w:sz w:val="20"/>
                <w:szCs w:val="20"/>
                <w:color w:val="auto"/>
              </w:rPr>
            </w:pPr>
            <w:r>
              <w:rPr>
                <w:rFonts w:ascii="Arial" w:cs="Arial" w:eastAsia="Arial" w:hAnsi="Arial"/>
                <w:sz w:val="18"/>
                <w:szCs w:val="18"/>
                <w:color w:val="auto"/>
              </w:rPr>
              <w:t>$</w:t>
            </w:r>
          </w:p>
        </w:tc>
        <w:tc>
          <w:tcPr>
            <w:tcW w:w="1160" w:type="dxa"/>
            <w:vAlign w:val="bottom"/>
          </w:tcPr>
          <w:p>
            <w:pPr>
              <w:jc w:val="right"/>
              <w:ind w:right="11"/>
              <w:spacing w:after="0" w:line="200" w:lineRule="exact"/>
              <w:rPr>
                <w:sz w:val="20"/>
                <w:szCs w:val="20"/>
                <w:color w:val="auto"/>
              </w:rPr>
            </w:pPr>
            <w:r>
              <w:rPr>
                <w:rFonts w:ascii="Arial" w:cs="Arial" w:eastAsia="Arial" w:hAnsi="Arial"/>
                <w:sz w:val="18"/>
                <w:szCs w:val="18"/>
                <w:color w:val="auto"/>
              </w:rPr>
              <w:t>2,665</w:t>
            </w:r>
          </w:p>
        </w:tc>
        <w:tc>
          <w:tcPr>
            <w:tcW w:w="240" w:type="dxa"/>
            <w:vAlign w:val="bottom"/>
            <w:gridSpan w:val="2"/>
          </w:tcPr>
          <w:p>
            <w:pPr>
              <w:jc w:val="right"/>
              <w:spacing w:after="0" w:line="200" w:lineRule="exact"/>
              <w:rPr>
                <w:sz w:val="20"/>
                <w:szCs w:val="20"/>
                <w:color w:val="auto"/>
              </w:rPr>
            </w:pPr>
            <w:r>
              <w:rPr>
                <w:rFonts w:ascii="Arial" w:cs="Arial" w:eastAsia="Arial" w:hAnsi="Arial"/>
                <w:sz w:val="18"/>
                <w:szCs w:val="18"/>
                <w:color w:val="auto"/>
              </w:rPr>
              <w:t>$</w:t>
            </w:r>
          </w:p>
        </w:tc>
        <w:tc>
          <w:tcPr>
            <w:tcW w:w="1200" w:type="dxa"/>
            <w:vAlign w:val="bottom"/>
          </w:tcPr>
          <w:p>
            <w:pPr>
              <w:jc w:val="right"/>
              <w:ind w:right="31"/>
              <w:spacing w:after="0" w:line="200" w:lineRule="exact"/>
              <w:rPr>
                <w:sz w:val="20"/>
                <w:szCs w:val="20"/>
                <w:color w:val="auto"/>
              </w:rPr>
            </w:pPr>
            <w:r>
              <w:rPr>
                <w:rFonts w:ascii="Arial" w:cs="Arial" w:eastAsia="Arial" w:hAnsi="Arial"/>
                <w:sz w:val="18"/>
                <w:szCs w:val="18"/>
                <w:color w:val="auto"/>
              </w:rPr>
              <w:t>2,817</w:t>
            </w:r>
          </w:p>
        </w:tc>
        <w:tc>
          <w:tcPr>
            <w:tcW w:w="0" w:type="dxa"/>
            <w:vAlign w:val="bottom"/>
          </w:tcPr>
          <w:p>
            <w:pPr>
              <w:spacing w:after="0"/>
              <w:rPr>
                <w:sz w:val="1"/>
                <w:szCs w:val="1"/>
                <w:color w:val="auto"/>
              </w:rPr>
            </w:pPr>
          </w:p>
        </w:tc>
      </w:tr>
      <w:tr>
        <w:trPr>
          <w:trHeight w:val="214"/>
        </w:trPr>
        <w:tc>
          <w:tcPr>
            <w:tcW w:w="2640" w:type="dxa"/>
            <w:vAlign w:val="bottom"/>
          </w:tcPr>
          <w:p>
            <w:pPr>
              <w:ind w:left="40"/>
              <w:spacing w:after="0"/>
              <w:rPr>
                <w:sz w:val="20"/>
                <w:szCs w:val="20"/>
                <w:color w:val="auto"/>
              </w:rPr>
            </w:pPr>
            <w:r>
              <w:rPr>
                <w:rFonts w:ascii="Arial" w:cs="Arial" w:eastAsia="Arial" w:hAnsi="Arial"/>
                <w:sz w:val="18"/>
                <w:szCs w:val="18"/>
                <w:color w:val="auto"/>
              </w:rPr>
              <w:t>Commercial &amp; industrial</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27,277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219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699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49,922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309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1,310</w:t>
            </w:r>
          </w:p>
        </w:tc>
        <w:tc>
          <w:tcPr>
            <w:tcW w:w="0" w:type="dxa"/>
            <w:vAlign w:val="bottom"/>
          </w:tcPr>
          <w:p>
            <w:pPr>
              <w:spacing w:after="0"/>
              <w:rPr>
                <w:sz w:val="1"/>
                <w:szCs w:val="1"/>
                <w:color w:val="auto"/>
              </w:rPr>
            </w:pPr>
          </w:p>
        </w:tc>
      </w:tr>
      <w:tr>
        <w:trPr>
          <w:trHeight w:val="235"/>
        </w:trPr>
        <w:tc>
          <w:tcPr>
            <w:tcW w:w="2640" w:type="dxa"/>
            <w:vAlign w:val="bottom"/>
          </w:tcPr>
          <w:p>
            <w:pPr>
              <w:ind w:left="40"/>
              <w:spacing w:after="0"/>
              <w:rPr>
                <w:sz w:val="20"/>
                <w:szCs w:val="20"/>
                <w:color w:val="auto"/>
              </w:rPr>
            </w:pPr>
            <w:r>
              <w:rPr>
                <w:rFonts w:ascii="Arial" w:cs="Arial" w:eastAsia="Arial" w:hAnsi="Arial"/>
                <w:sz w:val="18"/>
                <w:szCs w:val="18"/>
                <w:color w:val="auto"/>
              </w:rPr>
              <w:t>Commercial construction</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27,983</w:t>
            </w: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265</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347</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36,109</w:t>
            </w: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484</w:t>
            </w: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761</w:t>
            </w:r>
          </w:p>
        </w:tc>
        <w:tc>
          <w:tcPr>
            <w:tcW w:w="0" w:type="dxa"/>
            <w:vAlign w:val="bottom"/>
          </w:tcPr>
          <w:p>
            <w:pPr>
              <w:spacing w:after="0"/>
              <w:rPr>
                <w:sz w:val="1"/>
                <w:szCs w:val="1"/>
                <w:color w:val="auto"/>
              </w:rPr>
            </w:pPr>
          </w:p>
        </w:tc>
      </w:tr>
      <w:tr>
        <w:trPr>
          <w:trHeight w:val="200"/>
        </w:trPr>
        <w:tc>
          <w:tcPr>
            <w:tcW w:w="2640" w:type="dxa"/>
            <w:vAlign w:val="bottom"/>
          </w:tcPr>
          <w:p>
            <w:pPr>
              <w:ind w:left="260"/>
              <w:spacing w:after="0" w:line="200" w:lineRule="exact"/>
              <w:rPr>
                <w:sz w:val="20"/>
                <w:szCs w:val="20"/>
                <w:color w:val="auto"/>
              </w:rPr>
            </w:pPr>
            <w:r>
              <w:rPr>
                <w:rFonts w:ascii="Arial" w:cs="Arial" w:eastAsia="Arial" w:hAnsi="Arial"/>
                <w:sz w:val="18"/>
                <w:szCs w:val="18"/>
                <w:color w:val="auto"/>
              </w:rPr>
              <w:t>Total commercial</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jc w:val="right"/>
              <w:ind w:right="31"/>
              <w:spacing w:after="0" w:line="200" w:lineRule="exact"/>
              <w:rPr>
                <w:sz w:val="20"/>
                <w:szCs w:val="20"/>
                <w:color w:val="auto"/>
              </w:rPr>
            </w:pPr>
            <w:r>
              <w:rPr>
                <w:rFonts w:ascii="Arial" w:cs="Arial" w:eastAsia="Arial" w:hAnsi="Arial"/>
                <w:sz w:val="18"/>
                <w:szCs w:val="18"/>
                <w:color w:val="auto"/>
              </w:rPr>
              <w:t>129,493</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jc w:val="right"/>
              <w:ind w:right="31"/>
              <w:spacing w:after="0" w:line="200" w:lineRule="exact"/>
              <w:rPr>
                <w:sz w:val="20"/>
                <w:szCs w:val="20"/>
                <w:color w:val="auto"/>
              </w:rPr>
            </w:pPr>
            <w:r>
              <w:rPr>
                <w:rFonts w:ascii="Arial" w:cs="Arial" w:eastAsia="Arial" w:hAnsi="Arial"/>
                <w:sz w:val="18"/>
                <w:szCs w:val="18"/>
                <w:color w:val="auto"/>
              </w:rPr>
              <w:t>2,061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jc w:val="right"/>
              <w:ind w:right="31"/>
              <w:spacing w:after="0" w:line="200" w:lineRule="exact"/>
              <w:rPr>
                <w:sz w:val="20"/>
                <w:szCs w:val="20"/>
                <w:color w:val="auto"/>
              </w:rPr>
            </w:pPr>
            <w:r>
              <w:rPr>
                <w:rFonts w:ascii="Arial" w:cs="Arial" w:eastAsia="Arial" w:hAnsi="Arial"/>
                <w:sz w:val="18"/>
                <w:szCs w:val="18"/>
                <w:color w:val="auto"/>
              </w:rPr>
              <w:t>2,711</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jc w:val="right"/>
              <w:ind w:right="31"/>
              <w:spacing w:after="0" w:line="200" w:lineRule="exact"/>
              <w:rPr>
                <w:sz w:val="20"/>
                <w:szCs w:val="20"/>
                <w:color w:val="auto"/>
              </w:rPr>
            </w:pPr>
            <w:r>
              <w:rPr>
                <w:rFonts w:ascii="Arial" w:cs="Arial" w:eastAsia="Arial" w:hAnsi="Arial"/>
                <w:sz w:val="18"/>
                <w:szCs w:val="18"/>
                <w:color w:val="auto"/>
              </w:rPr>
              <w:t>198,664</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jc w:val="right"/>
              <w:ind w:right="11"/>
              <w:spacing w:after="0" w:line="200" w:lineRule="exact"/>
              <w:rPr>
                <w:sz w:val="20"/>
                <w:szCs w:val="20"/>
                <w:color w:val="auto"/>
              </w:rPr>
            </w:pPr>
            <w:r>
              <w:rPr>
                <w:rFonts w:ascii="Arial" w:cs="Arial" w:eastAsia="Arial" w:hAnsi="Arial"/>
                <w:sz w:val="18"/>
                <w:szCs w:val="18"/>
                <w:color w:val="auto"/>
              </w:rPr>
              <w:t>3,458</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jc w:val="right"/>
              <w:ind w:right="31"/>
              <w:spacing w:after="0" w:line="200" w:lineRule="exact"/>
              <w:rPr>
                <w:sz w:val="20"/>
                <w:szCs w:val="20"/>
                <w:color w:val="auto"/>
              </w:rPr>
            </w:pPr>
            <w:r>
              <w:rPr>
                <w:rFonts w:ascii="Arial" w:cs="Arial" w:eastAsia="Arial" w:hAnsi="Arial"/>
                <w:sz w:val="18"/>
                <w:szCs w:val="18"/>
                <w:color w:val="auto"/>
              </w:rPr>
              <w:t>4,888</w:t>
            </w:r>
          </w:p>
        </w:tc>
        <w:tc>
          <w:tcPr>
            <w:tcW w:w="0" w:type="dxa"/>
            <w:vAlign w:val="bottom"/>
          </w:tcPr>
          <w:p>
            <w:pPr>
              <w:spacing w:after="0"/>
              <w:rPr>
                <w:sz w:val="1"/>
                <w:szCs w:val="1"/>
                <w:color w:val="auto"/>
              </w:rPr>
            </w:pPr>
          </w:p>
        </w:tc>
      </w:tr>
      <w:tr>
        <w:trPr>
          <w:trHeight w:val="214"/>
        </w:trPr>
        <w:tc>
          <w:tcPr>
            <w:tcW w:w="2640" w:type="dxa"/>
            <w:vAlign w:val="bottom"/>
          </w:tcPr>
          <w:p>
            <w:pPr>
              <w:ind w:left="40"/>
              <w:spacing w:after="0"/>
              <w:rPr>
                <w:sz w:val="20"/>
                <w:szCs w:val="20"/>
                <w:color w:val="auto"/>
              </w:rPr>
            </w:pPr>
            <w:r>
              <w:rPr>
                <w:rFonts w:ascii="Arial" w:cs="Arial" w:eastAsia="Arial" w:hAnsi="Arial"/>
                <w:sz w:val="18"/>
                <w:szCs w:val="18"/>
                <w:color w:val="auto"/>
              </w:rPr>
              <w:t>Residential mortgage</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20,179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446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416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25,060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480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558</w:t>
            </w:r>
          </w:p>
        </w:tc>
        <w:tc>
          <w:tcPr>
            <w:tcW w:w="0" w:type="dxa"/>
            <w:vAlign w:val="bottom"/>
          </w:tcPr>
          <w:p>
            <w:pPr>
              <w:spacing w:after="0"/>
              <w:rPr>
                <w:sz w:val="1"/>
                <w:szCs w:val="1"/>
                <w:color w:val="auto"/>
              </w:rPr>
            </w:pPr>
          </w:p>
        </w:tc>
      </w:tr>
      <w:tr>
        <w:trPr>
          <w:trHeight w:val="214"/>
        </w:trPr>
        <w:tc>
          <w:tcPr>
            <w:tcW w:w="2640" w:type="dxa"/>
            <w:vAlign w:val="bottom"/>
          </w:tcPr>
          <w:p>
            <w:pPr>
              <w:ind w:left="40"/>
              <w:spacing w:after="0"/>
              <w:rPr>
                <w:sz w:val="20"/>
                <w:szCs w:val="20"/>
                <w:color w:val="auto"/>
              </w:rPr>
            </w:pPr>
            <w:r>
              <w:rPr>
                <w:rFonts w:ascii="Arial" w:cs="Arial" w:eastAsia="Arial" w:hAnsi="Arial"/>
                <w:sz w:val="18"/>
                <w:szCs w:val="18"/>
                <w:color w:val="auto"/>
              </w:rPr>
              <w:t>Residential construction</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29,374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504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575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59,866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737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949</w:t>
            </w:r>
          </w:p>
        </w:tc>
        <w:tc>
          <w:tcPr>
            <w:tcW w:w="0" w:type="dxa"/>
            <w:vAlign w:val="bottom"/>
          </w:tcPr>
          <w:p>
            <w:pPr>
              <w:spacing w:after="0"/>
              <w:rPr>
                <w:sz w:val="1"/>
                <w:szCs w:val="1"/>
                <w:color w:val="auto"/>
              </w:rPr>
            </w:pPr>
          </w:p>
        </w:tc>
      </w:tr>
      <w:tr>
        <w:trPr>
          <w:trHeight w:val="235"/>
        </w:trPr>
        <w:tc>
          <w:tcPr>
            <w:tcW w:w="2640" w:type="dxa"/>
            <w:vAlign w:val="bottom"/>
          </w:tcPr>
          <w:p>
            <w:pPr>
              <w:ind w:left="40"/>
              <w:spacing w:after="0"/>
              <w:rPr>
                <w:sz w:val="20"/>
                <w:szCs w:val="20"/>
                <w:color w:val="auto"/>
              </w:rPr>
            </w:pPr>
            <w:r>
              <w:rPr>
                <w:rFonts w:ascii="Arial" w:cs="Arial" w:eastAsia="Arial" w:hAnsi="Arial"/>
                <w:sz w:val="18"/>
                <w:szCs w:val="18"/>
                <w:color w:val="auto"/>
              </w:rPr>
              <w:t>Consumer installment</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263</w:t>
            </w: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391</w:t>
            </w: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4"/>
        </w:trPr>
        <w:tc>
          <w:tcPr>
            <w:tcW w:w="2640" w:type="dxa"/>
            <w:vAlign w:val="bottom"/>
          </w:tcPr>
          <w:p>
            <w:pPr>
              <w:ind w:left="260"/>
              <w:spacing w:after="0"/>
              <w:rPr>
                <w:sz w:val="20"/>
                <w:szCs w:val="20"/>
                <w:color w:val="auto"/>
              </w:rPr>
            </w:pPr>
            <w:r>
              <w:rPr>
                <w:rFonts w:ascii="Arial" w:cs="Arial" w:eastAsia="Arial" w:hAnsi="Arial"/>
                <w:sz w:val="18"/>
                <w:szCs w:val="18"/>
                <w:color w:val="auto"/>
              </w:rPr>
              <w:t>Total</w:t>
            </w:r>
          </w:p>
        </w:tc>
        <w:tc>
          <w:tcPr>
            <w:tcW w:w="1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179,309</w:t>
            </w:r>
          </w:p>
        </w:tc>
        <w:tc>
          <w:tcPr>
            <w:tcW w:w="1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3,021</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3,712</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283,981</w:t>
            </w:r>
          </w:p>
        </w:tc>
        <w:tc>
          <w:tcPr>
            <w:tcW w:w="1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4,688</w:t>
            </w:r>
          </w:p>
        </w:tc>
        <w:tc>
          <w:tcPr>
            <w:tcW w:w="1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6,408</w:t>
            </w:r>
          </w:p>
        </w:tc>
        <w:tc>
          <w:tcPr>
            <w:tcW w:w="0" w:type="dxa"/>
            <w:vAlign w:val="bottom"/>
          </w:tcPr>
          <w:p>
            <w:pPr>
              <w:spacing w:after="0"/>
              <w:rPr>
                <w:sz w:val="1"/>
                <w:szCs w:val="1"/>
                <w:color w:val="auto"/>
              </w:rPr>
            </w:pPr>
          </w:p>
        </w:tc>
      </w:tr>
      <w:tr>
        <w:trPr>
          <w:trHeight w:val="20"/>
        </w:trPr>
        <w:tc>
          <w:tcPr>
            <w:tcW w:w="2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7"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 xml:space="preserve">The following table presents loans individually evaluated for impairment by class of loans as of June 30, 2013, December 31, 2012 and June 30, 2012 </w:t>
      </w:r>
      <w:r>
        <w:rPr>
          <w:rFonts w:ascii="Arial" w:cs="Arial" w:eastAsia="Arial" w:hAnsi="Arial"/>
          <w:sz w:val="18"/>
          <w:szCs w:val="18"/>
          <w:i w:val="1"/>
          <w:iCs w:val="1"/>
          <w:color w:val="auto"/>
        </w:rPr>
        <w:t>(in</w:t>
      </w:r>
      <w:r>
        <w:rPr>
          <w:rFonts w:ascii="Arial" w:cs="Arial" w:eastAsia="Arial" w:hAnsi="Arial"/>
          <w:sz w:val="18"/>
          <w:szCs w:val="18"/>
          <w:color w:val="auto"/>
        </w:rPr>
        <w:t xml:space="preserve"> </w:t>
      </w:r>
      <w:r>
        <w:rPr>
          <w:rFonts w:ascii="Arial" w:cs="Arial" w:eastAsia="Arial" w:hAnsi="Arial"/>
          <w:sz w:val="18"/>
          <w:szCs w:val="18"/>
          <w:i w:val="1"/>
          <w:iCs w:val="1"/>
          <w:color w:val="auto"/>
        </w:rPr>
        <w:t>thousands)</w:t>
      </w:r>
      <w:r>
        <w:rPr>
          <w:rFonts w:ascii="Arial" w:cs="Arial" w:eastAsia="Arial" w:hAnsi="Arial"/>
          <w:sz w:val="18"/>
          <w:szCs w:val="18"/>
          <w:color w:val="auto"/>
        </w:rPr>
        <w:t>.</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3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gridSpan w:val="5"/>
          </w:tcPr>
          <w:p>
            <w:pPr>
              <w:jc w:val="right"/>
              <w:spacing w:after="0"/>
              <w:rPr>
                <w:sz w:val="20"/>
                <w:szCs w:val="20"/>
                <w:color w:val="auto"/>
              </w:rPr>
            </w:pPr>
            <w:r>
              <w:rPr>
                <w:rFonts w:ascii="Arial" w:cs="Arial" w:eastAsia="Arial" w:hAnsi="Arial"/>
                <w:sz w:val="18"/>
                <w:szCs w:val="18"/>
                <w:b w:val="1"/>
                <w:bCs w:val="1"/>
                <w:color w:val="auto"/>
                <w:w w:val="87"/>
              </w:rPr>
              <w:t>June 30, 2013</w:t>
            </w:r>
          </w:p>
        </w:tc>
        <w:tc>
          <w:tcPr>
            <w:tcW w:w="740" w:type="dxa"/>
            <w:vAlign w:val="bottom"/>
            <w:tcBorders>
              <w:bottom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520" w:type="dxa"/>
            <w:vAlign w:val="bottom"/>
            <w:tcBorders>
              <w:bottom w:val="single" w:sz="8" w:color="auto"/>
            </w:tcBorders>
            <w:gridSpan w:val="7"/>
          </w:tcPr>
          <w:p>
            <w:pPr>
              <w:jc w:val="right"/>
              <w:ind w:right="531"/>
              <w:spacing w:after="0"/>
              <w:rPr>
                <w:sz w:val="20"/>
                <w:szCs w:val="20"/>
                <w:color w:val="auto"/>
              </w:rPr>
            </w:pPr>
            <w:r>
              <w:rPr>
                <w:rFonts w:ascii="Arial" w:cs="Arial" w:eastAsia="Arial" w:hAnsi="Arial"/>
                <w:sz w:val="18"/>
                <w:szCs w:val="18"/>
                <w:b w:val="1"/>
                <w:bCs w:val="1"/>
                <w:color w:val="auto"/>
              </w:rPr>
              <w:t>December 31, 2012</w:t>
            </w:r>
          </w:p>
        </w:tc>
        <w:tc>
          <w:tcPr>
            <w:tcW w:w="60" w:type="dxa"/>
            <w:vAlign w:val="bottom"/>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gridSpan w:val="4"/>
          </w:tcPr>
          <w:p>
            <w:pPr>
              <w:ind w:left="20"/>
              <w:spacing w:after="0"/>
              <w:rPr>
                <w:sz w:val="20"/>
                <w:szCs w:val="20"/>
                <w:color w:val="auto"/>
              </w:rPr>
            </w:pPr>
            <w:r>
              <w:rPr>
                <w:rFonts w:ascii="Arial" w:cs="Arial" w:eastAsia="Arial" w:hAnsi="Arial"/>
                <w:sz w:val="18"/>
                <w:szCs w:val="18"/>
                <w:b w:val="1"/>
                <w:bCs w:val="1"/>
                <w:color w:val="auto"/>
                <w:w w:val="88"/>
              </w:rPr>
              <w:t>June 30, 2012</w:t>
            </w:r>
          </w:p>
        </w:tc>
        <w:tc>
          <w:tcPr>
            <w:tcW w:w="1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r>
      <w:tr>
        <w:trPr>
          <w:trHeight w:val="196"/>
        </w:trPr>
        <w:tc>
          <w:tcPr>
            <w:tcW w:w="3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40" w:type="dxa"/>
            <w:vAlign w:val="bottom"/>
            <w:gridSpan w:val="2"/>
          </w:tcPr>
          <w:p>
            <w:pPr>
              <w:jc w:val="center"/>
              <w:spacing w:after="0" w:line="196" w:lineRule="exact"/>
              <w:rPr>
                <w:sz w:val="20"/>
                <w:szCs w:val="20"/>
                <w:color w:val="auto"/>
              </w:rPr>
            </w:pPr>
            <w:r>
              <w:rPr>
                <w:rFonts w:ascii="Arial" w:cs="Arial" w:eastAsia="Arial" w:hAnsi="Arial"/>
                <w:sz w:val="18"/>
                <w:szCs w:val="18"/>
                <w:b w:val="1"/>
                <w:bCs w:val="1"/>
                <w:color w:val="auto"/>
                <w:w w:val="87"/>
              </w:rPr>
              <w:t>Allowance</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00" w:type="dxa"/>
            <w:vAlign w:val="bottom"/>
            <w:gridSpan w:val="3"/>
          </w:tcPr>
          <w:p>
            <w:pPr>
              <w:jc w:val="center"/>
              <w:spacing w:after="0" w:line="196" w:lineRule="exact"/>
              <w:rPr>
                <w:sz w:val="20"/>
                <w:szCs w:val="20"/>
                <w:color w:val="auto"/>
              </w:rPr>
            </w:pPr>
            <w:r>
              <w:rPr>
                <w:rFonts w:ascii="Arial" w:cs="Arial" w:eastAsia="Arial" w:hAnsi="Arial"/>
                <w:sz w:val="18"/>
                <w:szCs w:val="18"/>
                <w:b w:val="1"/>
                <w:bCs w:val="1"/>
                <w:color w:val="auto"/>
                <w:w w:val="87"/>
              </w:rPr>
              <w:t>Allowance</w:t>
            </w:r>
          </w:p>
        </w:tc>
        <w:tc>
          <w:tcPr>
            <w:tcW w:w="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gridSpan w:val="2"/>
          </w:tcPr>
          <w:p>
            <w:pPr>
              <w:jc w:val="center"/>
              <w:spacing w:after="0" w:line="196" w:lineRule="exact"/>
              <w:rPr>
                <w:sz w:val="20"/>
                <w:szCs w:val="20"/>
                <w:color w:val="auto"/>
              </w:rPr>
            </w:pPr>
            <w:r>
              <w:rPr>
                <w:rFonts w:ascii="Arial" w:cs="Arial" w:eastAsia="Arial" w:hAnsi="Arial"/>
                <w:sz w:val="18"/>
                <w:szCs w:val="18"/>
                <w:b w:val="1"/>
                <w:bCs w:val="1"/>
                <w:color w:val="auto"/>
                <w:w w:val="89"/>
              </w:rPr>
              <w:t>Allowance</w:t>
            </w:r>
          </w:p>
        </w:tc>
      </w:tr>
      <w:tr>
        <w:trPr>
          <w:trHeight w:val="214"/>
        </w:trPr>
        <w:tc>
          <w:tcPr>
            <w:tcW w:w="3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gridSpan w:val="2"/>
          </w:tcPr>
          <w:p>
            <w:pPr>
              <w:jc w:val="right"/>
              <w:ind w:right="51"/>
              <w:spacing w:after="0"/>
              <w:rPr>
                <w:sz w:val="20"/>
                <w:szCs w:val="20"/>
                <w:color w:val="auto"/>
              </w:rPr>
            </w:pPr>
            <w:r>
              <w:rPr>
                <w:rFonts w:ascii="Arial" w:cs="Arial" w:eastAsia="Arial" w:hAnsi="Arial"/>
                <w:sz w:val="18"/>
                <w:szCs w:val="18"/>
                <w:b w:val="1"/>
                <w:bCs w:val="1"/>
                <w:color w:val="auto"/>
                <w:w w:val="98"/>
              </w:rPr>
              <w:t>Unpaid</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gridSpan w:val="2"/>
          </w:tcPr>
          <w:p>
            <w:pPr>
              <w:jc w:val="center"/>
              <w:spacing w:after="0"/>
              <w:rPr>
                <w:sz w:val="20"/>
                <w:szCs w:val="20"/>
                <w:color w:val="auto"/>
              </w:rPr>
            </w:pPr>
            <w:r>
              <w:rPr>
                <w:rFonts w:ascii="Arial" w:cs="Arial" w:eastAsia="Arial" w:hAnsi="Arial"/>
                <w:sz w:val="18"/>
                <w:szCs w:val="18"/>
                <w:b w:val="1"/>
                <w:bCs w:val="1"/>
                <w:color w:val="auto"/>
                <w:w w:val="91"/>
              </w:rPr>
              <w:t>for Loan</w:t>
            </w:r>
          </w:p>
        </w:tc>
        <w:tc>
          <w:tcPr>
            <w:tcW w:w="40" w:type="dxa"/>
            <w:vAlign w:val="bottom"/>
          </w:tcPr>
          <w:p>
            <w:pPr>
              <w:spacing w:after="0"/>
              <w:rPr>
                <w:sz w:val="18"/>
                <w:szCs w:val="18"/>
                <w:color w:val="auto"/>
              </w:rPr>
            </w:pPr>
          </w:p>
        </w:tc>
        <w:tc>
          <w:tcPr>
            <w:tcW w:w="780" w:type="dxa"/>
            <w:vAlign w:val="bottom"/>
            <w:gridSpan w:val="2"/>
          </w:tcPr>
          <w:p>
            <w:pPr>
              <w:jc w:val="right"/>
              <w:ind w:right="51"/>
              <w:spacing w:after="0"/>
              <w:rPr>
                <w:sz w:val="20"/>
                <w:szCs w:val="20"/>
                <w:color w:val="auto"/>
              </w:rPr>
            </w:pPr>
            <w:r>
              <w:rPr>
                <w:rFonts w:ascii="Arial" w:cs="Arial" w:eastAsia="Arial" w:hAnsi="Arial"/>
                <w:sz w:val="18"/>
                <w:szCs w:val="18"/>
                <w:b w:val="1"/>
                <w:bCs w:val="1"/>
                <w:color w:val="auto"/>
              </w:rPr>
              <w:t>Unpaid</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gridSpan w:val="2"/>
          </w:tcPr>
          <w:p>
            <w:pPr>
              <w:jc w:val="center"/>
              <w:spacing w:after="0"/>
              <w:rPr>
                <w:sz w:val="20"/>
                <w:szCs w:val="20"/>
                <w:color w:val="auto"/>
              </w:rPr>
            </w:pPr>
            <w:r>
              <w:rPr>
                <w:rFonts w:ascii="Arial" w:cs="Arial" w:eastAsia="Arial" w:hAnsi="Arial"/>
                <w:sz w:val="18"/>
                <w:szCs w:val="18"/>
                <w:b w:val="1"/>
                <w:bCs w:val="1"/>
                <w:color w:val="auto"/>
                <w:w w:val="91"/>
              </w:rPr>
              <w:t>for Loan</w:t>
            </w:r>
          </w:p>
        </w:tc>
        <w:tc>
          <w:tcPr>
            <w:tcW w:w="60" w:type="dxa"/>
            <w:vAlign w:val="bottom"/>
          </w:tcPr>
          <w:p>
            <w:pPr>
              <w:spacing w:after="0"/>
              <w:rPr>
                <w:sz w:val="18"/>
                <w:szCs w:val="18"/>
                <w:color w:val="auto"/>
              </w:rPr>
            </w:pPr>
          </w:p>
        </w:tc>
        <w:tc>
          <w:tcPr>
            <w:tcW w:w="800" w:type="dxa"/>
            <w:vAlign w:val="bottom"/>
          </w:tcPr>
          <w:p>
            <w:pPr>
              <w:jc w:val="center"/>
              <w:spacing w:after="0"/>
              <w:rPr>
                <w:sz w:val="20"/>
                <w:szCs w:val="20"/>
                <w:color w:val="auto"/>
              </w:rPr>
            </w:pPr>
            <w:r>
              <w:rPr>
                <w:rFonts w:ascii="Arial" w:cs="Arial" w:eastAsia="Arial" w:hAnsi="Arial"/>
                <w:sz w:val="18"/>
                <w:szCs w:val="18"/>
                <w:b w:val="1"/>
                <w:bCs w:val="1"/>
                <w:color w:val="auto"/>
                <w:w w:val="94"/>
              </w:rPr>
              <w:t>Unpaid</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center"/>
              <w:spacing w:after="0"/>
              <w:rPr>
                <w:sz w:val="20"/>
                <w:szCs w:val="20"/>
                <w:color w:val="auto"/>
              </w:rPr>
            </w:pPr>
            <w:r>
              <w:rPr>
                <w:rFonts w:ascii="Arial" w:cs="Arial" w:eastAsia="Arial" w:hAnsi="Arial"/>
                <w:sz w:val="18"/>
                <w:szCs w:val="18"/>
                <w:b w:val="1"/>
                <w:bCs w:val="1"/>
                <w:color w:val="auto"/>
                <w:w w:val="91"/>
              </w:rPr>
              <w:t>for Loan</w:t>
            </w:r>
          </w:p>
        </w:tc>
      </w:tr>
      <w:tr>
        <w:trPr>
          <w:trHeight w:val="214"/>
        </w:trPr>
        <w:tc>
          <w:tcPr>
            <w:tcW w:w="3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gridSpan w:val="2"/>
          </w:tcPr>
          <w:p>
            <w:pPr>
              <w:spacing w:after="0"/>
              <w:rPr>
                <w:sz w:val="20"/>
                <w:szCs w:val="20"/>
                <w:color w:val="auto"/>
              </w:rPr>
            </w:pPr>
            <w:r>
              <w:rPr>
                <w:rFonts w:ascii="Arial" w:cs="Arial" w:eastAsia="Arial" w:hAnsi="Arial"/>
                <w:sz w:val="18"/>
                <w:szCs w:val="18"/>
                <w:b w:val="1"/>
                <w:bCs w:val="1"/>
                <w:color w:val="auto"/>
                <w:w w:val="97"/>
              </w:rPr>
              <w:t>Principal</w:t>
            </w:r>
          </w:p>
        </w:tc>
        <w:tc>
          <w:tcPr>
            <w:tcW w:w="40" w:type="dxa"/>
            <w:vAlign w:val="bottom"/>
          </w:tcPr>
          <w:p>
            <w:pPr>
              <w:spacing w:after="0"/>
              <w:rPr>
                <w:sz w:val="18"/>
                <w:szCs w:val="18"/>
                <w:color w:val="auto"/>
              </w:rPr>
            </w:pPr>
          </w:p>
        </w:tc>
        <w:tc>
          <w:tcPr>
            <w:tcW w:w="920" w:type="dxa"/>
            <w:vAlign w:val="bottom"/>
            <w:gridSpan w:val="2"/>
          </w:tcPr>
          <w:p>
            <w:pPr>
              <w:jc w:val="right"/>
              <w:ind w:right="31"/>
              <w:spacing w:after="0"/>
              <w:rPr>
                <w:sz w:val="20"/>
                <w:szCs w:val="20"/>
                <w:color w:val="auto"/>
              </w:rPr>
            </w:pPr>
            <w:r>
              <w:rPr>
                <w:rFonts w:ascii="Arial" w:cs="Arial" w:eastAsia="Arial" w:hAnsi="Arial"/>
                <w:sz w:val="18"/>
                <w:szCs w:val="18"/>
                <w:b w:val="1"/>
                <w:bCs w:val="1"/>
                <w:color w:val="auto"/>
                <w:w w:val="93"/>
              </w:rPr>
              <w:t>Recorded</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center"/>
              <w:ind w:right="71"/>
              <w:spacing w:after="0"/>
              <w:rPr>
                <w:sz w:val="20"/>
                <w:szCs w:val="20"/>
                <w:color w:val="auto"/>
              </w:rPr>
            </w:pPr>
            <w:r>
              <w:rPr>
                <w:rFonts w:ascii="Arial" w:cs="Arial" w:eastAsia="Arial" w:hAnsi="Arial"/>
                <w:sz w:val="18"/>
                <w:szCs w:val="18"/>
                <w:b w:val="1"/>
                <w:bCs w:val="1"/>
                <w:color w:val="auto"/>
                <w:w w:val="80"/>
              </w:rPr>
              <w:t>Losses</w:t>
            </w:r>
          </w:p>
        </w:tc>
        <w:tc>
          <w:tcPr>
            <w:tcW w:w="40" w:type="dxa"/>
            <w:vAlign w:val="bottom"/>
          </w:tcPr>
          <w:p>
            <w:pPr>
              <w:spacing w:after="0"/>
              <w:rPr>
                <w:sz w:val="18"/>
                <w:szCs w:val="18"/>
                <w:color w:val="auto"/>
              </w:rPr>
            </w:pPr>
          </w:p>
        </w:tc>
        <w:tc>
          <w:tcPr>
            <w:tcW w:w="780" w:type="dxa"/>
            <w:vAlign w:val="bottom"/>
            <w:gridSpan w:val="2"/>
          </w:tcPr>
          <w:p>
            <w:pPr>
              <w:ind w:left="20"/>
              <w:spacing w:after="0"/>
              <w:rPr>
                <w:sz w:val="20"/>
                <w:szCs w:val="20"/>
                <w:color w:val="auto"/>
              </w:rPr>
            </w:pPr>
            <w:r>
              <w:rPr>
                <w:rFonts w:ascii="Arial" w:cs="Arial" w:eastAsia="Arial" w:hAnsi="Arial"/>
                <w:sz w:val="18"/>
                <w:szCs w:val="18"/>
                <w:b w:val="1"/>
                <w:bCs w:val="1"/>
                <w:color w:val="auto"/>
                <w:w w:val="97"/>
              </w:rPr>
              <w:t>Principal</w:t>
            </w:r>
          </w:p>
        </w:tc>
        <w:tc>
          <w:tcPr>
            <w:tcW w:w="40" w:type="dxa"/>
            <w:vAlign w:val="bottom"/>
          </w:tcPr>
          <w:p>
            <w:pPr>
              <w:spacing w:after="0"/>
              <w:rPr>
                <w:sz w:val="18"/>
                <w:szCs w:val="18"/>
                <w:color w:val="auto"/>
              </w:rPr>
            </w:pPr>
          </w:p>
        </w:tc>
        <w:tc>
          <w:tcPr>
            <w:tcW w:w="920" w:type="dxa"/>
            <w:vAlign w:val="bottom"/>
            <w:gridSpan w:val="2"/>
          </w:tcPr>
          <w:p>
            <w:pPr>
              <w:jc w:val="right"/>
              <w:ind w:right="31"/>
              <w:spacing w:after="0"/>
              <w:rPr>
                <w:sz w:val="20"/>
                <w:szCs w:val="20"/>
                <w:color w:val="auto"/>
              </w:rPr>
            </w:pPr>
            <w:r>
              <w:rPr>
                <w:rFonts w:ascii="Arial" w:cs="Arial" w:eastAsia="Arial" w:hAnsi="Arial"/>
                <w:sz w:val="18"/>
                <w:szCs w:val="18"/>
                <w:b w:val="1"/>
                <w:bCs w:val="1"/>
                <w:color w:val="auto"/>
                <w:w w:val="93"/>
              </w:rPr>
              <w:t>Recorded</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center"/>
              <w:ind w:right="71"/>
              <w:spacing w:after="0"/>
              <w:rPr>
                <w:sz w:val="20"/>
                <w:szCs w:val="20"/>
                <w:color w:val="auto"/>
              </w:rPr>
            </w:pPr>
            <w:r>
              <w:rPr>
                <w:rFonts w:ascii="Arial" w:cs="Arial" w:eastAsia="Arial" w:hAnsi="Arial"/>
                <w:sz w:val="18"/>
                <w:szCs w:val="18"/>
                <w:b w:val="1"/>
                <w:bCs w:val="1"/>
                <w:color w:val="auto"/>
                <w:w w:val="80"/>
              </w:rPr>
              <w:t>Losses</w:t>
            </w:r>
          </w:p>
        </w:tc>
        <w:tc>
          <w:tcPr>
            <w:tcW w:w="60" w:type="dxa"/>
            <w:vAlign w:val="bottom"/>
          </w:tcPr>
          <w:p>
            <w:pPr>
              <w:spacing w:after="0"/>
              <w:rPr>
                <w:sz w:val="18"/>
                <w:szCs w:val="18"/>
                <w:color w:val="auto"/>
              </w:rPr>
            </w:pPr>
          </w:p>
        </w:tc>
        <w:tc>
          <w:tcPr>
            <w:tcW w:w="800" w:type="dxa"/>
            <w:vAlign w:val="bottom"/>
          </w:tcPr>
          <w:p>
            <w:pPr>
              <w:jc w:val="center"/>
              <w:spacing w:after="0"/>
              <w:rPr>
                <w:sz w:val="20"/>
                <w:szCs w:val="20"/>
                <w:color w:val="auto"/>
              </w:rPr>
            </w:pPr>
            <w:r>
              <w:rPr>
                <w:rFonts w:ascii="Arial" w:cs="Arial" w:eastAsia="Arial" w:hAnsi="Arial"/>
                <w:sz w:val="18"/>
                <w:szCs w:val="18"/>
                <w:b w:val="1"/>
                <w:bCs w:val="1"/>
                <w:color w:val="auto"/>
                <w:w w:val="92"/>
              </w:rPr>
              <w:t>Principal</w:t>
            </w:r>
          </w:p>
        </w:tc>
        <w:tc>
          <w:tcPr>
            <w:tcW w:w="80" w:type="dxa"/>
            <w:vAlign w:val="bottom"/>
          </w:tcPr>
          <w:p>
            <w:pPr>
              <w:spacing w:after="0"/>
              <w:rPr>
                <w:sz w:val="18"/>
                <w:szCs w:val="18"/>
                <w:color w:val="auto"/>
              </w:rPr>
            </w:pPr>
          </w:p>
        </w:tc>
        <w:tc>
          <w:tcPr>
            <w:tcW w:w="100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89"/>
              </w:rPr>
              <w:t>Recorded</w:t>
            </w:r>
          </w:p>
        </w:tc>
        <w:tc>
          <w:tcPr>
            <w:tcW w:w="120" w:type="dxa"/>
            <w:vAlign w:val="bottom"/>
          </w:tcPr>
          <w:p>
            <w:pPr>
              <w:spacing w:after="0"/>
              <w:rPr>
                <w:sz w:val="18"/>
                <w:szCs w:val="18"/>
                <w:color w:val="auto"/>
              </w:rPr>
            </w:pPr>
          </w:p>
        </w:tc>
        <w:tc>
          <w:tcPr>
            <w:tcW w:w="760" w:type="dxa"/>
            <w:vAlign w:val="bottom"/>
          </w:tcPr>
          <w:p>
            <w:pPr>
              <w:jc w:val="center"/>
              <w:ind w:right="91"/>
              <w:spacing w:after="0"/>
              <w:rPr>
                <w:sz w:val="20"/>
                <w:szCs w:val="20"/>
                <w:color w:val="auto"/>
              </w:rPr>
            </w:pPr>
            <w:r>
              <w:rPr>
                <w:rFonts w:ascii="Arial" w:cs="Arial" w:eastAsia="Arial" w:hAnsi="Arial"/>
                <w:sz w:val="18"/>
                <w:szCs w:val="18"/>
                <w:b w:val="1"/>
                <w:bCs w:val="1"/>
                <w:color w:val="auto"/>
                <w:w w:val="80"/>
              </w:rPr>
              <w:t>Losses</w:t>
            </w:r>
          </w:p>
        </w:tc>
      </w:tr>
      <w:tr>
        <w:trPr>
          <w:trHeight w:val="239"/>
        </w:trPr>
        <w:tc>
          <w:tcPr>
            <w:tcW w:w="3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60" w:type="dxa"/>
            <w:vAlign w:val="bottom"/>
            <w:gridSpan w:val="2"/>
          </w:tcPr>
          <w:p>
            <w:pPr>
              <w:jc w:val="right"/>
              <w:ind w:right="31"/>
              <w:spacing w:after="0"/>
              <w:rPr>
                <w:sz w:val="20"/>
                <w:szCs w:val="20"/>
                <w:color w:val="auto"/>
              </w:rPr>
            </w:pPr>
            <w:r>
              <w:rPr>
                <w:rFonts w:ascii="Arial" w:cs="Arial" w:eastAsia="Arial" w:hAnsi="Arial"/>
                <w:sz w:val="18"/>
                <w:szCs w:val="18"/>
                <w:b w:val="1"/>
                <w:bCs w:val="1"/>
                <w:color w:val="auto"/>
                <w:w w:val="89"/>
              </w:rPr>
              <w:t>Balance</w:t>
            </w:r>
          </w:p>
        </w:tc>
        <w:tc>
          <w:tcPr>
            <w:tcW w:w="40" w:type="dxa"/>
            <w:vAlign w:val="bottom"/>
          </w:tcPr>
          <w:p>
            <w:pPr>
              <w:spacing w:after="0"/>
              <w:rPr>
                <w:sz w:val="20"/>
                <w:szCs w:val="20"/>
                <w:color w:val="auto"/>
              </w:rPr>
            </w:pPr>
          </w:p>
        </w:tc>
        <w:tc>
          <w:tcPr>
            <w:tcW w:w="920" w:type="dxa"/>
            <w:vAlign w:val="bottom"/>
            <w:gridSpan w:val="2"/>
          </w:tcPr>
          <w:p>
            <w:pPr>
              <w:spacing w:after="0"/>
              <w:rPr>
                <w:sz w:val="20"/>
                <w:szCs w:val="20"/>
                <w:color w:val="auto"/>
              </w:rPr>
            </w:pPr>
            <w:r>
              <w:rPr>
                <w:rFonts w:ascii="Arial" w:cs="Arial" w:eastAsia="Arial" w:hAnsi="Arial"/>
                <w:sz w:val="18"/>
                <w:szCs w:val="18"/>
                <w:b w:val="1"/>
                <w:bCs w:val="1"/>
                <w:color w:val="auto"/>
                <w:w w:val="94"/>
              </w:rPr>
              <w:t>Investment</w:t>
            </w:r>
          </w:p>
        </w:tc>
        <w:tc>
          <w:tcPr>
            <w:tcW w:w="60" w:type="dxa"/>
            <w:vAlign w:val="bottom"/>
          </w:tcPr>
          <w:p>
            <w:pPr>
              <w:spacing w:after="0"/>
              <w:rPr>
                <w:sz w:val="20"/>
                <w:szCs w:val="20"/>
                <w:color w:val="auto"/>
              </w:rPr>
            </w:pPr>
          </w:p>
        </w:tc>
        <w:tc>
          <w:tcPr>
            <w:tcW w:w="840" w:type="dxa"/>
            <w:vAlign w:val="bottom"/>
            <w:gridSpan w:val="2"/>
          </w:tcPr>
          <w:p>
            <w:pPr>
              <w:jc w:val="center"/>
              <w:spacing w:after="0"/>
              <w:rPr>
                <w:sz w:val="20"/>
                <w:szCs w:val="20"/>
                <w:color w:val="auto"/>
              </w:rPr>
            </w:pPr>
            <w:r>
              <w:rPr>
                <w:rFonts w:ascii="Arial" w:cs="Arial" w:eastAsia="Arial" w:hAnsi="Arial"/>
                <w:sz w:val="18"/>
                <w:szCs w:val="18"/>
                <w:b w:val="1"/>
                <w:bCs w:val="1"/>
                <w:color w:val="auto"/>
                <w:w w:val="88"/>
              </w:rPr>
              <w:t>Allocated</w:t>
            </w:r>
          </w:p>
        </w:tc>
        <w:tc>
          <w:tcPr>
            <w:tcW w:w="40" w:type="dxa"/>
            <w:vAlign w:val="bottom"/>
          </w:tcPr>
          <w:p>
            <w:pPr>
              <w:spacing w:after="0"/>
              <w:rPr>
                <w:sz w:val="20"/>
                <w:szCs w:val="20"/>
                <w:color w:val="auto"/>
              </w:rPr>
            </w:pPr>
          </w:p>
        </w:tc>
        <w:tc>
          <w:tcPr>
            <w:tcW w:w="780" w:type="dxa"/>
            <w:vAlign w:val="bottom"/>
            <w:gridSpan w:val="2"/>
          </w:tcPr>
          <w:p>
            <w:pPr>
              <w:jc w:val="right"/>
              <w:ind w:right="31"/>
              <w:spacing w:after="0"/>
              <w:rPr>
                <w:sz w:val="20"/>
                <w:szCs w:val="20"/>
                <w:color w:val="auto"/>
              </w:rPr>
            </w:pPr>
            <w:r>
              <w:rPr>
                <w:rFonts w:ascii="Arial" w:cs="Arial" w:eastAsia="Arial" w:hAnsi="Arial"/>
                <w:sz w:val="18"/>
                <w:szCs w:val="18"/>
                <w:b w:val="1"/>
                <w:bCs w:val="1"/>
                <w:color w:val="auto"/>
                <w:w w:val="92"/>
              </w:rPr>
              <w:t>Balance</w:t>
            </w:r>
          </w:p>
        </w:tc>
        <w:tc>
          <w:tcPr>
            <w:tcW w:w="40" w:type="dxa"/>
            <w:vAlign w:val="bottom"/>
          </w:tcPr>
          <w:p>
            <w:pPr>
              <w:spacing w:after="0"/>
              <w:rPr>
                <w:sz w:val="20"/>
                <w:szCs w:val="20"/>
                <w:color w:val="auto"/>
              </w:rPr>
            </w:pPr>
          </w:p>
        </w:tc>
        <w:tc>
          <w:tcPr>
            <w:tcW w:w="920" w:type="dxa"/>
            <w:vAlign w:val="bottom"/>
            <w:gridSpan w:val="2"/>
          </w:tcPr>
          <w:p>
            <w:pPr>
              <w:spacing w:after="0"/>
              <w:rPr>
                <w:sz w:val="20"/>
                <w:szCs w:val="20"/>
                <w:color w:val="auto"/>
              </w:rPr>
            </w:pPr>
            <w:r>
              <w:rPr>
                <w:rFonts w:ascii="Arial" w:cs="Arial" w:eastAsia="Arial" w:hAnsi="Arial"/>
                <w:sz w:val="18"/>
                <w:szCs w:val="18"/>
                <w:b w:val="1"/>
                <w:bCs w:val="1"/>
                <w:color w:val="auto"/>
                <w:w w:val="94"/>
              </w:rPr>
              <w:t>Investment</w:t>
            </w:r>
          </w:p>
        </w:tc>
        <w:tc>
          <w:tcPr>
            <w:tcW w:w="60" w:type="dxa"/>
            <w:vAlign w:val="bottom"/>
          </w:tcPr>
          <w:p>
            <w:pPr>
              <w:spacing w:after="0"/>
              <w:rPr>
                <w:sz w:val="20"/>
                <w:szCs w:val="20"/>
                <w:color w:val="auto"/>
              </w:rPr>
            </w:pPr>
          </w:p>
        </w:tc>
        <w:tc>
          <w:tcPr>
            <w:tcW w:w="840" w:type="dxa"/>
            <w:vAlign w:val="bottom"/>
            <w:gridSpan w:val="2"/>
          </w:tcPr>
          <w:p>
            <w:pPr>
              <w:jc w:val="center"/>
              <w:spacing w:after="0"/>
              <w:rPr>
                <w:sz w:val="20"/>
                <w:szCs w:val="20"/>
                <w:color w:val="auto"/>
              </w:rPr>
            </w:pPr>
            <w:r>
              <w:rPr>
                <w:rFonts w:ascii="Arial" w:cs="Arial" w:eastAsia="Arial" w:hAnsi="Arial"/>
                <w:sz w:val="18"/>
                <w:szCs w:val="18"/>
                <w:b w:val="1"/>
                <w:bCs w:val="1"/>
                <w:color w:val="auto"/>
                <w:w w:val="88"/>
              </w:rPr>
              <w:t>Allocated</w:t>
            </w:r>
          </w:p>
        </w:tc>
        <w:tc>
          <w:tcPr>
            <w:tcW w:w="60" w:type="dxa"/>
            <w:vAlign w:val="bottom"/>
          </w:tcPr>
          <w:p>
            <w:pPr>
              <w:spacing w:after="0"/>
              <w:rPr>
                <w:sz w:val="20"/>
                <w:szCs w:val="20"/>
                <w:color w:val="auto"/>
              </w:rPr>
            </w:pPr>
          </w:p>
        </w:tc>
        <w:tc>
          <w:tcPr>
            <w:tcW w:w="800" w:type="dxa"/>
            <w:vAlign w:val="bottom"/>
          </w:tcPr>
          <w:p>
            <w:pPr>
              <w:jc w:val="center"/>
              <w:spacing w:after="0"/>
              <w:rPr>
                <w:sz w:val="20"/>
                <w:szCs w:val="20"/>
                <w:color w:val="auto"/>
              </w:rPr>
            </w:pPr>
            <w:r>
              <w:rPr>
                <w:rFonts w:ascii="Arial" w:cs="Arial" w:eastAsia="Arial" w:hAnsi="Arial"/>
                <w:sz w:val="18"/>
                <w:szCs w:val="18"/>
                <w:b w:val="1"/>
                <w:bCs w:val="1"/>
                <w:color w:val="auto"/>
                <w:w w:val="89"/>
              </w:rPr>
              <w:t>Balance</w:t>
            </w:r>
          </w:p>
        </w:tc>
        <w:tc>
          <w:tcPr>
            <w:tcW w:w="80" w:type="dxa"/>
            <w:vAlign w:val="bottom"/>
          </w:tcPr>
          <w:p>
            <w:pPr>
              <w:spacing w:after="0"/>
              <w:rPr>
                <w:sz w:val="20"/>
                <w:szCs w:val="20"/>
                <w:color w:val="auto"/>
              </w:rPr>
            </w:pPr>
          </w:p>
        </w:tc>
        <w:tc>
          <w:tcPr>
            <w:tcW w:w="100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90"/>
              </w:rPr>
              <w:t>Investment</w:t>
            </w:r>
          </w:p>
        </w:tc>
        <w:tc>
          <w:tcPr>
            <w:tcW w:w="880" w:type="dxa"/>
            <w:vAlign w:val="bottom"/>
            <w:gridSpan w:val="2"/>
          </w:tcPr>
          <w:p>
            <w:pPr>
              <w:jc w:val="center"/>
              <w:spacing w:after="0"/>
              <w:rPr>
                <w:sz w:val="20"/>
                <w:szCs w:val="20"/>
                <w:color w:val="auto"/>
              </w:rPr>
            </w:pPr>
            <w:r>
              <w:rPr>
                <w:rFonts w:ascii="Arial" w:cs="Arial" w:eastAsia="Arial" w:hAnsi="Arial"/>
                <w:sz w:val="18"/>
                <w:szCs w:val="18"/>
                <w:b w:val="1"/>
                <w:bCs w:val="1"/>
                <w:color w:val="auto"/>
                <w:w w:val="88"/>
              </w:rPr>
              <w:t>Allocated</w:t>
            </w:r>
          </w:p>
        </w:tc>
      </w:tr>
      <w:tr>
        <w:trPr>
          <w:trHeight w:val="200"/>
        </w:trPr>
        <w:tc>
          <w:tcPr>
            <w:tcW w:w="3280" w:type="dxa"/>
            <w:vAlign w:val="bottom"/>
          </w:tcPr>
          <w:p>
            <w:pPr>
              <w:spacing w:after="0" w:line="200" w:lineRule="exact"/>
              <w:rPr>
                <w:sz w:val="20"/>
                <w:szCs w:val="20"/>
                <w:color w:val="auto"/>
              </w:rPr>
            </w:pPr>
            <w:r>
              <w:rPr>
                <w:rFonts w:ascii="Arial" w:cs="Arial" w:eastAsia="Arial" w:hAnsi="Arial"/>
                <w:sz w:val="18"/>
                <w:szCs w:val="18"/>
                <w:color w:val="auto"/>
              </w:rPr>
              <w:t>With no related allowance recorded:</w:t>
            </w:r>
          </w:p>
        </w:tc>
        <w:tc>
          <w:tcPr>
            <w:tcW w:w="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r>
      <w:tr>
        <w:trPr>
          <w:trHeight w:val="214"/>
        </w:trPr>
        <w:tc>
          <w:tcPr>
            <w:tcW w:w="3280" w:type="dxa"/>
            <w:vAlign w:val="bottom"/>
          </w:tcPr>
          <w:p>
            <w:pPr>
              <w:ind w:left="180"/>
              <w:spacing w:after="0"/>
              <w:rPr>
                <w:sz w:val="20"/>
                <w:szCs w:val="20"/>
                <w:color w:val="auto"/>
              </w:rPr>
            </w:pPr>
            <w:r>
              <w:rPr>
                <w:rFonts w:ascii="Arial" w:cs="Arial" w:eastAsia="Arial" w:hAnsi="Arial"/>
                <w:sz w:val="18"/>
                <w:szCs w:val="18"/>
                <w:color w:val="auto"/>
              </w:rPr>
              <w:t>Commercial (secured by real estate)</w:t>
            </w:r>
          </w:p>
        </w:tc>
        <w:tc>
          <w:tcPr>
            <w:tcW w:w="120" w:type="dxa"/>
            <w:vAlign w:val="bottom"/>
            <w:gridSpan w:val="2"/>
          </w:tcPr>
          <w:p>
            <w:pPr>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27,851</w:t>
            </w:r>
          </w:p>
        </w:tc>
        <w:tc>
          <w:tcPr>
            <w:tcW w:w="22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17,640</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gridSpan w:val="2"/>
          </w:tcPr>
          <w:p>
            <w:pPr>
              <w:ind w:left="40"/>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74,066</w:t>
            </w:r>
          </w:p>
        </w:tc>
        <w:tc>
          <w:tcPr>
            <w:tcW w:w="22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62,609</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w w:val="97"/>
              </w:rPr>
              <w:t>$ 105,788</w:t>
            </w:r>
          </w:p>
        </w:tc>
        <w:tc>
          <w:tcPr>
            <w:tcW w:w="260" w:type="dxa"/>
            <w:vAlign w:val="bottom"/>
            <w:gridSpan w:val="2"/>
          </w:tcPr>
          <w:p>
            <w:pPr>
              <w:jc w:val="right"/>
              <w:ind w:right="16"/>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95,453</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4"/>
        </w:trPr>
        <w:tc>
          <w:tcPr>
            <w:tcW w:w="3280" w:type="dxa"/>
            <w:vAlign w:val="bottom"/>
          </w:tcPr>
          <w:p>
            <w:pPr>
              <w:ind w:left="180"/>
              <w:spacing w:after="0"/>
              <w:rPr>
                <w:sz w:val="20"/>
                <w:szCs w:val="20"/>
                <w:color w:val="auto"/>
              </w:rPr>
            </w:pPr>
            <w:r>
              <w:rPr>
                <w:rFonts w:ascii="Arial" w:cs="Arial" w:eastAsia="Arial" w:hAnsi="Arial"/>
                <w:sz w:val="18"/>
                <w:szCs w:val="18"/>
                <w:color w:val="auto"/>
              </w:rPr>
              <w:t>Commercial &amp; industrial</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3,809</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3,809</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74,572</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49,572</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81,036</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56,036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5"/>
        </w:trPr>
        <w:tc>
          <w:tcPr>
            <w:tcW w:w="3280" w:type="dxa"/>
            <w:vAlign w:val="bottom"/>
          </w:tcPr>
          <w:p>
            <w:pPr>
              <w:ind w:left="180"/>
              <w:spacing w:after="0"/>
              <w:rPr>
                <w:sz w:val="20"/>
                <w:szCs w:val="20"/>
                <w:color w:val="auto"/>
              </w:rPr>
            </w:pPr>
            <w:r>
              <w:rPr>
                <w:rFonts w:ascii="Arial" w:cs="Arial" w:eastAsia="Arial" w:hAnsi="Arial"/>
                <w:sz w:val="18"/>
                <w:szCs w:val="18"/>
                <w:color w:val="auto"/>
              </w:rPr>
              <w:t>Commercial construction</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809</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659</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23,938</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17,305</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22,491</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21,372</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00"/>
        </w:trPr>
        <w:tc>
          <w:tcPr>
            <w:tcW w:w="3280" w:type="dxa"/>
            <w:vAlign w:val="bottom"/>
          </w:tcPr>
          <w:p>
            <w:pPr>
              <w:ind w:left="320"/>
              <w:spacing w:after="0" w:line="200" w:lineRule="exact"/>
              <w:rPr>
                <w:sz w:val="20"/>
                <w:szCs w:val="20"/>
                <w:color w:val="auto"/>
              </w:rPr>
            </w:pPr>
            <w:r>
              <w:rPr>
                <w:rFonts w:ascii="Arial" w:cs="Arial" w:eastAsia="Arial" w:hAnsi="Arial"/>
                <w:sz w:val="18"/>
                <w:szCs w:val="18"/>
                <w:color w:val="auto"/>
              </w:rPr>
              <w:t>Total commercial</w:t>
            </w:r>
          </w:p>
        </w:tc>
        <w:tc>
          <w:tcPr>
            <w:tcW w:w="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jc w:val="right"/>
              <w:spacing w:after="0" w:line="200" w:lineRule="exact"/>
              <w:rPr>
                <w:sz w:val="20"/>
                <w:szCs w:val="20"/>
                <w:color w:val="auto"/>
              </w:rPr>
            </w:pPr>
            <w:r>
              <w:rPr>
                <w:rFonts w:ascii="Arial" w:cs="Arial" w:eastAsia="Arial" w:hAnsi="Arial"/>
                <w:sz w:val="18"/>
                <w:szCs w:val="18"/>
                <w:color w:val="auto"/>
              </w:rPr>
              <w:t>32,469</w:t>
            </w:r>
          </w:p>
        </w:tc>
        <w:tc>
          <w:tcPr>
            <w:tcW w:w="4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jc w:val="right"/>
              <w:spacing w:after="0" w:line="200" w:lineRule="exact"/>
              <w:rPr>
                <w:sz w:val="20"/>
                <w:szCs w:val="20"/>
                <w:color w:val="auto"/>
              </w:rPr>
            </w:pPr>
            <w:r>
              <w:rPr>
                <w:rFonts w:ascii="Arial" w:cs="Arial" w:eastAsia="Arial" w:hAnsi="Arial"/>
                <w:sz w:val="18"/>
                <w:szCs w:val="18"/>
                <w:color w:val="auto"/>
              </w:rPr>
              <w:t>22,108</w:t>
            </w:r>
          </w:p>
        </w:tc>
        <w:tc>
          <w:tcPr>
            <w:tcW w:w="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jc w:val="right"/>
              <w:spacing w:after="0" w:line="200" w:lineRule="exact"/>
              <w:rPr>
                <w:sz w:val="20"/>
                <w:szCs w:val="20"/>
                <w:color w:val="auto"/>
              </w:rPr>
            </w:pPr>
            <w:r>
              <w:rPr>
                <w:rFonts w:ascii="Arial" w:cs="Arial" w:eastAsia="Arial" w:hAnsi="Arial"/>
                <w:sz w:val="18"/>
                <w:szCs w:val="18"/>
                <w:color w:val="auto"/>
              </w:rPr>
              <w:t>-</w:t>
            </w:r>
          </w:p>
        </w:tc>
        <w:tc>
          <w:tcPr>
            <w:tcW w:w="4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jc w:val="right"/>
              <w:spacing w:after="0" w:line="200" w:lineRule="exact"/>
              <w:rPr>
                <w:sz w:val="20"/>
                <w:szCs w:val="20"/>
                <w:color w:val="auto"/>
              </w:rPr>
            </w:pPr>
            <w:r>
              <w:rPr>
                <w:rFonts w:ascii="Arial" w:cs="Arial" w:eastAsia="Arial" w:hAnsi="Arial"/>
                <w:sz w:val="18"/>
                <w:szCs w:val="18"/>
                <w:color w:val="auto"/>
                <w:w w:val="89"/>
              </w:rPr>
              <w:t>172,576</w:t>
            </w:r>
          </w:p>
        </w:tc>
        <w:tc>
          <w:tcPr>
            <w:tcW w:w="4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jc w:val="right"/>
              <w:spacing w:after="0" w:line="200" w:lineRule="exact"/>
              <w:rPr>
                <w:sz w:val="20"/>
                <w:szCs w:val="20"/>
                <w:color w:val="auto"/>
              </w:rPr>
            </w:pPr>
            <w:r>
              <w:rPr>
                <w:rFonts w:ascii="Arial" w:cs="Arial" w:eastAsia="Arial" w:hAnsi="Arial"/>
                <w:sz w:val="18"/>
                <w:szCs w:val="18"/>
                <w:color w:val="auto"/>
              </w:rPr>
              <w:t>129,486</w:t>
            </w:r>
          </w:p>
        </w:tc>
        <w:tc>
          <w:tcPr>
            <w:tcW w:w="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jc w:val="right"/>
              <w:spacing w:after="0" w:line="200"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c>
          <w:tcPr>
            <w:tcW w:w="800" w:type="dxa"/>
            <w:vAlign w:val="bottom"/>
            <w:tcBorders>
              <w:top w:val="single" w:sz="8" w:color="auto"/>
            </w:tcBorders>
          </w:tcPr>
          <w:p>
            <w:pPr>
              <w:jc w:val="right"/>
              <w:spacing w:after="0" w:line="200" w:lineRule="exact"/>
              <w:rPr>
                <w:sz w:val="20"/>
                <w:szCs w:val="20"/>
                <w:color w:val="auto"/>
              </w:rPr>
            </w:pPr>
            <w:r>
              <w:rPr>
                <w:rFonts w:ascii="Arial" w:cs="Arial" w:eastAsia="Arial" w:hAnsi="Arial"/>
                <w:sz w:val="18"/>
                <w:szCs w:val="18"/>
                <w:color w:val="auto"/>
              </w:rPr>
              <w:t>209,315</w:t>
            </w:r>
          </w:p>
        </w:tc>
        <w:tc>
          <w:tcPr>
            <w:tcW w:w="8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jc w:val="right"/>
              <w:spacing w:after="0" w:line="200" w:lineRule="exact"/>
              <w:rPr>
                <w:sz w:val="20"/>
                <w:szCs w:val="20"/>
                <w:color w:val="auto"/>
              </w:rPr>
            </w:pPr>
            <w:r>
              <w:rPr>
                <w:rFonts w:ascii="Arial" w:cs="Arial" w:eastAsia="Arial" w:hAnsi="Arial"/>
                <w:sz w:val="18"/>
                <w:szCs w:val="18"/>
                <w:color w:val="auto"/>
              </w:rPr>
              <w:t>172,861</w:t>
            </w:r>
          </w:p>
        </w:tc>
        <w:tc>
          <w:tcPr>
            <w:tcW w:w="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jc w:val="right"/>
              <w:spacing w:after="0" w:line="200" w:lineRule="exact"/>
              <w:rPr>
                <w:sz w:val="20"/>
                <w:szCs w:val="20"/>
                <w:color w:val="auto"/>
              </w:rPr>
            </w:pPr>
            <w:r>
              <w:rPr>
                <w:rFonts w:ascii="Arial" w:cs="Arial" w:eastAsia="Arial" w:hAnsi="Arial"/>
                <w:sz w:val="18"/>
                <w:szCs w:val="18"/>
                <w:color w:val="auto"/>
              </w:rPr>
              <w:t>-</w:t>
            </w:r>
          </w:p>
        </w:tc>
      </w:tr>
      <w:tr>
        <w:trPr>
          <w:trHeight w:val="214"/>
        </w:trPr>
        <w:tc>
          <w:tcPr>
            <w:tcW w:w="3280" w:type="dxa"/>
            <w:vAlign w:val="bottom"/>
          </w:tcPr>
          <w:p>
            <w:pPr>
              <w:ind w:left="180"/>
              <w:spacing w:after="0"/>
              <w:rPr>
                <w:sz w:val="20"/>
                <w:szCs w:val="20"/>
                <w:color w:val="auto"/>
              </w:rPr>
            </w:pPr>
            <w:r>
              <w:rPr>
                <w:rFonts w:ascii="Arial" w:cs="Arial" w:eastAsia="Arial" w:hAnsi="Arial"/>
                <w:sz w:val="18"/>
                <w:szCs w:val="18"/>
                <w:color w:val="auto"/>
              </w:rPr>
              <w:t>Residential mortgage</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8,676</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6,843</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10,336</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8,383</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13,994</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11,578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4"/>
        </w:trPr>
        <w:tc>
          <w:tcPr>
            <w:tcW w:w="3280" w:type="dxa"/>
            <w:vAlign w:val="bottom"/>
          </w:tcPr>
          <w:p>
            <w:pPr>
              <w:ind w:left="180"/>
              <w:spacing w:after="0"/>
              <w:rPr>
                <w:sz w:val="20"/>
                <w:szCs w:val="20"/>
                <w:color w:val="auto"/>
              </w:rPr>
            </w:pPr>
            <w:r>
              <w:rPr>
                <w:rFonts w:ascii="Arial" w:cs="Arial" w:eastAsia="Arial" w:hAnsi="Arial"/>
                <w:sz w:val="18"/>
                <w:szCs w:val="18"/>
                <w:color w:val="auto"/>
              </w:rPr>
              <w:t>Residential construction</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8,476</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4,992</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35,439</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19,093</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46,589</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30,094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5"/>
        </w:trPr>
        <w:tc>
          <w:tcPr>
            <w:tcW w:w="3280" w:type="dxa"/>
            <w:vAlign w:val="bottom"/>
          </w:tcPr>
          <w:p>
            <w:pPr>
              <w:ind w:left="180"/>
              <w:spacing w:after="0"/>
              <w:rPr>
                <w:sz w:val="20"/>
                <w:szCs w:val="20"/>
                <w:color w:val="auto"/>
              </w:rPr>
            </w:pPr>
            <w:r>
              <w:rPr>
                <w:rFonts w:ascii="Arial" w:cs="Arial" w:eastAsia="Arial" w:hAnsi="Arial"/>
                <w:sz w:val="18"/>
                <w:szCs w:val="18"/>
                <w:color w:val="auto"/>
              </w:rPr>
              <w:t>Consumer installment</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203</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102</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185</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185</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1"/>
        </w:trPr>
        <w:tc>
          <w:tcPr>
            <w:tcW w:w="3280" w:type="dxa"/>
            <w:vAlign w:val="bottom"/>
          </w:tcPr>
          <w:p>
            <w:pPr>
              <w:ind w:left="320"/>
              <w:spacing w:after="0"/>
              <w:rPr>
                <w:sz w:val="20"/>
                <w:szCs w:val="20"/>
                <w:color w:val="auto"/>
              </w:rPr>
            </w:pPr>
            <w:r>
              <w:rPr>
                <w:rFonts w:ascii="Arial" w:cs="Arial" w:eastAsia="Arial" w:hAnsi="Arial"/>
                <w:sz w:val="18"/>
                <w:szCs w:val="18"/>
                <w:color w:val="auto"/>
                <w:w w:val="90"/>
              </w:rPr>
              <w:t>Total with no related allowance recorded</w:t>
            </w:r>
          </w:p>
        </w:tc>
        <w:tc>
          <w:tcPr>
            <w:tcW w:w="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49,824</w:t>
            </w:r>
          </w:p>
        </w:tc>
        <w:tc>
          <w:tcPr>
            <w:tcW w:w="4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34,045</w:t>
            </w:r>
          </w:p>
        </w:tc>
        <w:tc>
          <w:tcPr>
            <w:tcW w:w="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218,351</w:t>
            </w:r>
          </w:p>
        </w:tc>
        <w:tc>
          <w:tcPr>
            <w:tcW w:w="4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156,962</w:t>
            </w:r>
          </w:p>
        </w:tc>
        <w:tc>
          <w:tcPr>
            <w:tcW w:w="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270,083</w:t>
            </w: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214,718</w:t>
            </w: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00"/>
        </w:trPr>
        <w:tc>
          <w:tcPr>
            <w:tcW w:w="3280" w:type="dxa"/>
            <w:vAlign w:val="bottom"/>
          </w:tcPr>
          <w:p>
            <w:pPr>
              <w:ind w:left="40"/>
              <w:spacing w:after="0" w:line="200" w:lineRule="exact"/>
              <w:rPr>
                <w:sz w:val="20"/>
                <w:szCs w:val="20"/>
                <w:color w:val="auto"/>
              </w:rPr>
            </w:pPr>
            <w:r>
              <w:rPr>
                <w:rFonts w:ascii="Arial" w:cs="Arial" w:eastAsia="Arial" w:hAnsi="Arial"/>
                <w:sz w:val="18"/>
                <w:szCs w:val="18"/>
                <w:color w:val="auto"/>
              </w:rPr>
              <w:t>With an allowance recorded:</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214"/>
        </w:trPr>
        <w:tc>
          <w:tcPr>
            <w:tcW w:w="3280" w:type="dxa"/>
            <w:vAlign w:val="bottom"/>
          </w:tcPr>
          <w:p>
            <w:pPr>
              <w:ind w:left="180"/>
              <w:spacing w:after="0"/>
              <w:rPr>
                <w:sz w:val="20"/>
                <w:szCs w:val="20"/>
                <w:color w:val="auto"/>
              </w:rPr>
            </w:pPr>
            <w:r>
              <w:rPr>
                <w:rFonts w:ascii="Arial" w:cs="Arial" w:eastAsia="Arial" w:hAnsi="Arial"/>
                <w:sz w:val="18"/>
                <w:szCs w:val="18"/>
                <w:color w:val="auto"/>
              </w:rPr>
              <w:t>Commercial (secured by real estate)</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34,741</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34,657</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2,862</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44,395</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41,800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6,106</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35,348</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35,295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8,544</w:t>
            </w:r>
          </w:p>
        </w:tc>
      </w:tr>
      <w:tr>
        <w:trPr>
          <w:trHeight w:val="214"/>
        </w:trPr>
        <w:tc>
          <w:tcPr>
            <w:tcW w:w="3280" w:type="dxa"/>
            <w:vAlign w:val="bottom"/>
          </w:tcPr>
          <w:p>
            <w:pPr>
              <w:ind w:left="180"/>
              <w:spacing w:after="0"/>
              <w:rPr>
                <w:sz w:val="20"/>
                <w:szCs w:val="20"/>
                <w:color w:val="auto"/>
              </w:rPr>
            </w:pPr>
            <w:r>
              <w:rPr>
                <w:rFonts w:ascii="Arial" w:cs="Arial" w:eastAsia="Arial" w:hAnsi="Arial"/>
                <w:sz w:val="18"/>
                <w:szCs w:val="18"/>
                <w:color w:val="auto"/>
              </w:rPr>
              <w:t>Commercial &amp; industrial</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2,091</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1,929</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129</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2,170</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1,929</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490</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1,711</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1,711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753</w:t>
            </w:r>
          </w:p>
        </w:tc>
      </w:tr>
      <w:tr>
        <w:trPr>
          <w:trHeight w:val="235"/>
        </w:trPr>
        <w:tc>
          <w:tcPr>
            <w:tcW w:w="3280" w:type="dxa"/>
            <w:vAlign w:val="bottom"/>
          </w:tcPr>
          <w:p>
            <w:pPr>
              <w:ind w:left="180"/>
              <w:spacing w:after="0"/>
              <w:rPr>
                <w:sz w:val="20"/>
                <w:szCs w:val="20"/>
                <w:color w:val="auto"/>
              </w:rPr>
            </w:pPr>
            <w:r>
              <w:rPr>
                <w:rFonts w:ascii="Arial" w:cs="Arial" w:eastAsia="Arial" w:hAnsi="Arial"/>
                <w:sz w:val="18"/>
                <w:szCs w:val="18"/>
                <w:color w:val="auto"/>
              </w:rPr>
              <w:t>Commercial construction</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12,376</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12,296</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440</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23,746</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22,863</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2,239</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21,461</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21,461</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2,476</w:t>
            </w:r>
          </w:p>
        </w:tc>
      </w:tr>
      <w:tr>
        <w:trPr>
          <w:trHeight w:val="200"/>
        </w:trPr>
        <w:tc>
          <w:tcPr>
            <w:tcW w:w="3280" w:type="dxa"/>
            <w:vAlign w:val="bottom"/>
          </w:tcPr>
          <w:p>
            <w:pPr>
              <w:ind w:left="320"/>
              <w:spacing w:after="0" w:line="200" w:lineRule="exact"/>
              <w:rPr>
                <w:sz w:val="20"/>
                <w:szCs w:val="20"/>
                <w:color w:val="auto"/>
              </w:rPr>
            </w:pPr>
            <w:r>
              <w:rPr>
                <w:rFonts w:ascii="Arial" w:cs="Arial" w:eastAsia="Arial" w:hAnsi="Arial"/>
                <w:sz w:val="18"/>
                <w:szCs w:val="18"/>
                <w:color w:val="auto"/>
              </w:rPr>
              <w:t>Total commercial</w:t>
            </w:r>
          </w:p>
        </w:tc>
        <w:tc>
          <w:tcPr>
            <w:tcW w:w="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jc w:val="right"/>
              <w:spacing w:after="0" w:line="200" w:lineRule="exact"/>
              <w:rPr>
                <w:sz w:val="20"/>
                <w:szCs w:val="20"/>
                <w:color w:val="auto"/>
              </w:rPr>
            </w:pPr>
            <w:r>
              <w:rPr>
                <w:rFonts w:ascii="Arial" w:cs="Arial" w:eastAsia="Arial" w:hAnsi="Arial"/>
                <w:sz w:val="18"/>
                <w:szCs w:val="18"/>
                <w:color w:val="auto"/>
              </w:rPr>
              <w:t>49,208</w:t>
            </w:r>
          </w:p>
        </w:tc>
        <w:tc>
          <w:tcPr>
            <w:tcW w:w="4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jc w:val="right"/>
              <w:spacing w:after="0" w:line="200" w:lineRule="exact"/>
              <w:rPr>
                <w:sz w:val="20"/>
                <w:szCs w:val="20"/>
                <w:color w:val="auto"/>
              </w:rPr>
            </w:pPr>
            <w:r>
              <w:rPr>
                <w:rFonts w:ascii="Arial" w:cs="Arial" w:eastAsia="Arial" w:hAnsi="Arial"/>
                <w:sz w:val="18"/>
                <w:szCs w:val="18"/>
                <w:color w:val="auto"/>
              </w:rPr>
              <w:t>48,882</w:t>
            </w:r>
          </w:p>
        </w:tc>
        <w:tc>
          <w:tcPr>
            <w:tcW w:w="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jc w:val="right"/>
              <w:spacing w:after="0" w:line="200" w:lineRule="exact"/>
              <w:rPr>
                <w:sz w:val="20"/>
                <w:szCs w:val="20"/>
                <w:color w:val="auto"/>
              </w:rPr>
            </w:pPr>
            <w:r>
              <w:rPr>
                <w:rFonts w:ascii="Arial" w:cs="Arial" w:eastAsia="Arial" w:hAnsi="Arial"/>
                <w:sz w:val="18"/>
                <w:szCs w:val="18"/>
                <w:color w:val="auto"/>
              </w:rPr>
              <w:t>3,431</w:t>
            </w:r>
          </w:p>
        </w:tc>
        <w:tc>
          <w:tcPr>
            <w:tcW w:w="4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jc w:val="right"/>
              <w:spacing w:after="0" w:line="200" w:lineRule="exact"/>
              <w:rPr>
                <w:sz w:val="20"/>
                <w:szCs w:val="20"/>
                <w:color w:val="auto"/>
              </w:rPr>
            </w:pPr>
            <w:r>
              <w:rPr>
                <w:rFonts w:ascii="Arial" w:cs="Arial" w:eastAsia="Arial" w:hAnsi="Arial"/>
                <w:sz w:val="18"/>
                <w:szCs w:val="18"/>
                <w:color w:val="auto"/>
              </w:rPr>
              <w:t>70,311</w:t>
            </w:r>
          </w:p>
        </w:tc>
        <w:tc>
          <w:tcPr>
            <w:tcW w:w="4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jc w:val="right"/>
              <w:spacing w:after="0" w:line="200" w:lineRule="exact"/>
              <w:rPr>
                <w:sz w:val="20"/>
                <w:szCs w:val="20"/>
                <w:color w:val="auto"/>
              </w:rPr>
            </w:pPr>
            <w:r>
              <w:rPr>
                <w:rFonts w:ascii="Arial" w:cs="Arial" w:eastAsia="Arial" w:hAnsi="Arial"/>
                <w:sz w:val="18"/>
                <w:szCs w:val="18"/>
                <w:color w:val="auto"/>
              </w:rPr>
              <w:t>66,592</w:t>
            </w:r>
          </w:p>
        </w:tc>
        <w:tc>
          <w:tcPr>
            <w:tcW w:w="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jc w:val="right"/>
              <w:spacing w:after="0" w:line="200" w:lineRule="exact"/>
              <w:rPr>
                <w:sz w:val="20"/>
                <w:szCs w:val="20"/>
                <w:color w:val="auto"/>
              </w:rPr>
            </w:pPr>
            <w:r>
              <w:rPr>
                <w:rFonts w:ascii="Arial" w:cs="Arial" w:eastAsia="Arial" w:hAnsi="Arial"/>
                <w:sz w:val="18"/>
                <w:szCs w:val="18"/>
                <w:color w:val="auto"/>
              </w:rPr>
              <w:t>8,835</w:t>
            </w:r>
          </w:p>
        </w:tc>
        <w:tc>
          <w:tcPr>
            <w:tcW w:w="60" w:type="dxa"/>
            <w:vAlign w:val="bottom"/>
          </w:tcPr>
          <w:p>
            <w:pPr>
              <w:spacing w:after="0"/>
              <w:rPr>
                <w:sz w:val="17"/>
                <w:szCs w:val="17"/>
                <w:color w:val="auto"/>
              </w:rPr>
            </w:pPr>
          </w:p>
        </w:tc>
        <w:tc>
          <w:tcPr>
            <w:tcW w:w="800" w:type="dxa"/>
            <w:vAlign w:val="bottom"/>
            <w:tcBorders>
              <w:top w:val="single" w:sz="8" w:color="auto"/>
            </w:tcBorders>
          </w:tcPr>
          <w:p>
            <w:pPr>
              <w:jc w:val="right"/>
              <w:spacing w:after="0" w:line="200" w:lineRule="exact"/>
              <w:rPr>
                <w:sz w:val="20"/>
                <w:szCs w:val="20"/>
                <w:color w:val="auto"/>
              </w:rPr>
            </w:pPr>
            <w:r>
              <w:rPr>
                <w:rFonts w:ascii="Arial" w:cs="Arial" w:eastAsia="Arial" w:hAnsi="Arial"/>
                <w:sz w:val="18"/>
                <w:szCs w:val="18"/>
                <w:color w:val="auto"/>
              </w:rPr>
              <w:t>58,520</w:t>
            </w:r>
          </w:p>
        </w:tc>
        <w:tc>
          <w:tcPr>
            <w:tcW w:w="8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jc w:val="right"/>
              <w:spacing w:after="0" w:line="200" w:lineRule="exact"/>
              <w:rPr>
                <w:sz w:val="20"/>
                <w:szCs w:val="20"/>
                <w:color w:val="auto"/>
              </w:rPr>
            </w:pPr>
            <w:r>
              <w:rPr>
                <w:rFonts w:ascii="Arial" w:cs="Arial" w:eastAsia="Arial" w:hAnsi="Arial"/>
                <w:sz w:val="18"/>
                <w:szCs w:val="18"/>
                <w:color w:val="auto"/>
              </w:rPr>
              <w:t>58,467</w:t>
            </w:r>
          </w:p>
        </w:tc>
        <w:tc>
          <w:tcPr>
            <w:tcW w:w="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jc w:val="right"/>
              <w:spacing w:after="0" w:line="200" w:lineRule="exact"/>
              <w:rPr>
                <w:sz w:val="20"/>
                <w:szCs w:val="20"/>
                <w:color w:val="auto"/>
              </w:rPr>
            </w:pPr>
            <w:r>
              <w:rPr>
                <w:rFonts w:ascii="Arial" w:cs="Arial" w:eastAsia="Arial" w:hAnsi="Arial"/>
                <w:sz w:val="18"/>
                <w:szCs w:val="18"/>
                <w:color w:val="auto"/>
              </w:rPr>
              <w:t>11,773</w:t>
            </w:r>
          </w:p>
        </w:tc>
      </w:tr>
      <w:tr>
        <w:trPr>
          <w:trHeight w:val="214"/>
        </w:trPr>
        <w:tc>
          <w:tcPr>
            <w:tcW w:w="3280" w:type="dxa"/>
            <w:vAlign w:val="bottom"/>
          </w:tcPr>
          <w:p>
            <w:pPr>
              <w:ind w:left="180"/>
              <w:spacing w:after="0"/>
              <w:rPr>
                <w:sz w:val="20"/>
                <w:szCs w:val="20"/>
                <w:color w:val="auto"/>
              </w:rPr>
            </w:pPr>
            <w:r>
              <w:rPr>
                <w:rFonts w:ascii="Arial" w:cs="Arial" w:eastAsia="Arial" w:hAnsi="Arial"/>
                <w:sz w:val="18"/>
                <w:szCs w:val="18"/>
                <w:color w:val="auto"/>
              </w:rPr>
              <w:t>Residential mortgage</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11,794</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11,550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1,197</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14,267</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13,864</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2,165</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8,458</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8,266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1,389</w:t>
            </w:r>
          </w:p>
        </w:tc>
      </w:tr>
      <w:tr>
        <w:trPr>
          <w:trHeight w:val="214"/>
        </w:trPr>
        <w:tc>
          <w:tcPr>
            <w:tcW w:w="3280" w:type="dxa"/>
            <w:vAlign w:val="bottom"/>
          </w:tcPr>
          <w:p>
            <w:pPr>
              <w:ind w:left="180"/>
              <w:spacing w:after="0"/>
              <w:rPr>
                <w:sz w:val="20"/>
                <w:szCs w:val="20"/>
                <w:color w:val="auto"/>
              </w:rPr>
            </w:pPr>
            <w:r>
              <w:rPr>
                <w:rFonts w:ascii="Arial" w:cs="Arial" w:eastAsia="Arial" w:hAnsi="Arial"/>
                <w:sz w:val="18"/>
                <w:szCs w:val="18"/>
                <w:color w:val="auto"/>
              </w:rPr>
              <w:t>Residential construction</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9,411</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9,103</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417</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15,412</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14,962</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625</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11,886</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11,812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4,188</w:t>
            </w:r>
          </w:p>
        </w:tc>
      </w:tr>
      <w:tr>
        <w:trPr>
          <w:trHeight w:val="235"/>
        </w:trPr>
        <w:tc>
          <w:tcPr>
            <w:tcW w:w="3280" w:type="dxa"/>
            <w:vAlign w:val="bottom"/>
          </w:tcPr>
          <w:p>
            <w:pPr>
              <w:ind w:left="180"/>
              <w:spacing w:after="0"/>
              <w:rPr>
                <w:sz w:val="20"/>
                <w:szCs w:val="20"/>
                <w:color w:val="auto"/>
              </w:rPr>
            </w:pPr>
            <w:r>
              <w:rPr>
                <w:rFonts w:ascii="Arial" w:cs="Arial" w:eastAsia="Arial" w:hAnsi="Arial"/>
                <w:sz w:val="18"/>
                <w:szCs w:val="18"/>
                <w:color w:val="auto"/>
              </w:rPr>
              <w:t>Consumer installment</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244</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235</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12</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441</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430</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19</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335</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326</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21"/>
        </w:trPr>
        <w:tc>
          <w:tcPr>
            <w:tcW w:w="3280" w:type="dxa"/>
            <w:vAlign w:val="bottom"/>
          </w:tcPr>
          <w:p>
            <w:pPr>
              <w:ind w:left="320"/>
              <w:spacing w:after="0"/>
              <w:rPr>
                <w:sz w:val="20"/>
                <w:szCs w:val="20"/>
                <w:color w:val="auto"/>
              </w:rPr>
            </w:pPr>
            <w:r>
              <w:rPr>
                <w:rFonts w:ascii="Arial" w:cs="Arial" w:eastAsia="Arial" w:hAnsi="Arial"/>
                <w:sz w:val="18"/>
                <w:szCs w:val="18"/>
                <w:color w:val="auto"/>
              </w:rPr>
              <w:t>Total with an allowance recorded</w:t>
            </w:r>
          </w:p>
        </w:tc>
        <w:tc>
          <w:tcPr>
            <w:tcW w:w="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70,657</w:t>
            </w:r>
          </w:p>
        </w:tc>
        <w:tc>
          <w:tcPr>
            <w:tcW w:w="4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69,770</w:t>
            </w:r>
          </w:p>
        </w:tc>
        <w:tc>
          <w:tcPr>
            <w:tcW w:w="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5,057</w:t>
            </w:r>
          </w:p>
        </w:tc>
        <w:tc>
          <w:tcPr>
            <w:tcW w:w="4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100,431</w:t>
            </w:r>
          </w:p>
        </w:tc>
        <w:tc>
          <w:tcPr>
            <w:tcW w:w="4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95,848</w:t>
            </w:r>
          </w:p>
        </w:tc>
        <w:tc>
          <w:tcPr>
            <w:tcW w:w="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11,644</w:t>
            </w:r>
          </w:p>
        </w:tc>
        <w:tc>
          <w:tcPr>
            <w:tcW w:w="60" w:type="dxa"/>
            <w:vAlign w:val="bottom"/>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79,199</w:t>
            </w: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78,871</w:t>
            </w: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17,370</w:t>
            </w:r>
          </w:p>
        </w:tc>
      </w:tr>
      <w:tr>
        <w:trPr>
          <w:trHeight w:val="214"/>
        </w:trPr>
        <w:tc>
          <w:tcPr>
            <w:tcW w:w="3280" w:type="dxa"/>
            <w:vAlign w:val="bottom"/>
          </w:tcPr>
          <w:p>
            <w:pPr>
              <w:ind w:left="460"/>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120,481</w:t>
            </w:r>
          </w:p>
        </w:tc>
        <w:tc>
          <w:tcPr>
            <w:tcW w:w="40" w:type="dxa"/>
            <w:vAlign w:val="bottom"/>
          </w:tcPr>
          <w:p>
            <w:pPr>
              <w:spacing w:after="0"/>
              <w:rPr>
                <w:sz w:val="18"/>
                <w:szCs w:val="18"/>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103,815</w:t>
            </w:r>
          </w:p>
        </w:tc>
        <w:tc>
          <w:tcPr>
            <w:tcW w:w="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5,057</w:t>
            </w:r>
          </w:p>
        </w:tc>
        <w:tc>
          <w:tcPr>
            <w:tcW w:w="40" w:type="dxa"/>
            <w:vAlign w:val="bottom"/>
          </w:tcPr>
          <w:p>
            <w:pPr>
              <w:spacing w:after="0"/>
              <w:rPr>
                <w:sz w:val="18"/>
                <w:szCs w:val="18"/>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318,782</w:t>
            </w:r>
          </w:p>
        </w:tc>
        <w:tc>
          <w:tcPr>
            <w:tcW w:w="40" w:type="dxa"/>
            <w:vAlign w:val="bottom"/>
          </w:tcPr>
          <w:p>
            <w:pPr>
              <w:spacing w:after="0"/>
              <w:rPr>
                <w:sz w:val="18"/>
                <w:szCs w:val="18"/>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252,810</w:t>
            </w:r>
          </w:p>
        </w:tc>
        <w:tc>
          <w:tcPr>
            <w:tcW w:w="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11,644</w:t>
            </w:r>
          </w:p>
        </w:tc>
        <w:tc>
          <w:tcPr>
            <w:tcW w:w="60" w:type="dxa"/>
            <w:vAlign w:val="bottom"/>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$ 349,282</w:t>
            </w:r>
          </w:p>
        </w:tc>
        <w:tc>
          <w:tcPr>
            <w:tcW w:w="80" w:type="dxa"/>
            <w:vAlign w:val="bottom"/>
          </w:tcPr>
          <w:p>
            <w:pPr>
              <w:spacing w:after="0"/>
              <w:rPr>
                <w:sz w:val="18"/>
                <w:szCs w:val="18"/>
                <w:color w:val="auto"/>
              </w:rPr>
            </w:pPr>
          </w:p>
        </w:tc>
        <w:tc>
          <w:tcPr>
            <w:tcW w:w="180" w:type="dxa"/>
            <w:vAlign w:val="bottom"/>
            <w:tcBorders>
              <w:bottom w:val="single" w:sz="8" w:color="auto"/>
            </w:tcBorders>
          </w:tcPr>
          <w:p>
            <w:pPr>
              <w:jc w:val="right"/>
              <w:ind w:right="16"/>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293,589</w:t>
            </w:r>
          </w:p>
        </w:tc>
        <w:tc>
          <w:tcPr>
            <w:tcW w:w="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17,370</w:t>
            </w:r>
          </w:p>
        </w:tc>
      </w:tr>
      <w:tr>
        <w:trPr>
          <w:trHeight w:val="20"/>
        </w:trPr>
        <w:tc>
          <w:tcPr>
            <w:tcW w:w="3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22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There were no loans more than 90 days past due and still accruing interest at June 30, 2013, December 31, 2012 or June 30, 2012. Nonaccrual loans include both homogeneous loans that are collectively evaluated for impairment and individually evaluated impaired loans. United’s policy is to place loans on nonaccrual status when, in the opinion of management, the principal and interest on a loan is not likely to be repaid in accordance with the loan terms or when the loan becomes 90 days past due and is not well secured and in the process of collection. When a loan is classified on nonaccrual status, interest previously accrued but not collected is reversed against current interest revenue. Principal and interest payments received on a nonaccrual loan are applied to reduce outstanding principal.</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13970</wp:posOffset>
            </wp:positionV>
            <wp:extent cx="724789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7890" cy="8255"/>
                    </a:xfrm>
                    <a:prstGeom prst="rect">
                      <a:avLst/>
                    </a:prstGeom>
                    <a:noFill/>
                  </pic:spPr>
                </pic:pic>
              </a:graphicData>
            </a:graphic>
          </wp:anchor>
        </w:drawing>
      </w:r>
    </w:p>
    <w:p>
      <w:pPr>
        <w:sectPr>
          <w:pgSz w:w="11900" w:h="16838" w:orient="portrait"/>
          <w:cols w:equalWidth="0" w:num="1">
            <w:col w:w="11420"/>
          </w:cols>
          <w:pgMar w:left="240" w:top="911" w:right="239" w:bottom="361" w:gutter="0" w:footer="0" w:header="0"/>
        </w:sectPr>
      </w:pPr>
    </w:p>
    <w:bookmarkStart w:id="21" w:name="page22"/>
    <w:bookmarkEnd w:id="21"/>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6"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 xml:space="preserve">The following table presents the recorded investment (unpaid principal less amounts charged-off) in nonaccrual loans by loan class as of June 30, 2013, December 31, 2012 and June 30, 2102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72" w:lineRule="exact"/>
        <w:rPr>
          <w:sz w:val="20"/>
          <w:szCs w:val="20"/>
          <w:color w:val="auto"/>
        </w:rPr>
      </w:pPr>
    </w:p>
    <w:tbl>
      <w:tblPr>
        <w:tblLayout w:type="fixed"/>
        <w:tblInd w:w="580" w:type="dxa"/>
        <w:tblCellMar>
          <w:top w:w="0" w:type="dxa"/>
          <w:left w:w="0" w:type="dxa"/>
          <w:bottom w:w="0" w:type="dxa"/>
          <w:right w:w="0" w:type="dxa"/>
        </w:tblCellMar>
      </w:tblPr>
      <w:tr>
        <w:trPr>
          <w:trHeight w:val="239"/>
        </w:trPr>
        <w:tc>
          <w:tcPr>
            <w:tcW w:w="47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5"/>
          </w:tcPr>
          <w:p>
            <w:pPr>
              <w:jc w:val="center"/>
              <w:ind w:right="40"/>
              <w:spacing w:after="0"/>
              <w:rPr>
                <w:sz w:val="20"/>
                <w:szCs w:val="20"/>
                <w:color w:val="auto"/>
              </w:rPr>
            </w:pPr>
            <w:r>
              <w:rPr>
                <w:rFonts w:ascii="Arial" w:cs="Arial" w:eastAsia="Arial" w:hAnsi="Arial"/>
                <w:sz w:val="18"/>
                <w:szCs w:val="18"/>
                <w:b w:val="1"/>
                <w:bCs w:val="1"/>
                <w:color w:val="auto"/>
                <w:w w:val="89"/>
              </w:rPr>
              <w:t>Nonaccrual Loans</w:t>
            </w:r>
          </w:p>
        </w:tc>
        <w:tc>
          <w:tcPr>
            <w:tcW w:w="1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r>
      <w:tr>
        <w:trPr>
          <w:trHeight w:val="196"/>
        </w:trPr>
        <w:tc>
          <w:tcPr>
            <w:tcW w:w="47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jc w:val="right"/>
              <w:ind w:right="211"/>
              <w:spacing w:after="0" w:line="196" w:lineRule="exact"/>
              <w:rPr>
                <w:sz w:val="20"/>
                <w:szCs w:val="20"/>
                <w:color w:val="auto"/>
              </w:rPr>
            </w:pPr>
            <w:r>
              <w:rPr>
                <w:rFonts w:ascii="Arial" w:cs="Arial" w:eastAsia="Arial" w:hAnsi="Arial"/>
                <w:sz w:val="18"/>
                <w:szCs w:val="18"/>
                <w:b w:val="1"/>
                <w:bCs w:val="1"/>
                <w:color w:val="auto"/>
                <w:w w:val="97"/>
              </w:rPr>
              <w:t>June 30,</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gridSpan w:val="3"/>
          </w:tcPr>
          <w:p>
            <w:pPr>
              <w:jc w:val="center"/>
              <w:ind w:right="200"/>
              <w:spacing w:after="0" w:line="196" w:lineRule="exact"/>
              <w:rPr>
                <w:sz w:val="20"/>
                <w:szCs w:val="20"/>
                <w:color w:val="auto"/>
              </w:rPr>
            </w:pPr>
            <w:r>
              <w:rPr>
                <w:rFonts w:ascii="Arial" w:cs="Arial" w:eastAsia="Arial" w:hAnsi="Arial"/>
                <w:sz w:val="18"/>
                <w:szCs w:val="18"/>
                <w:b w:val="1"/>
                <w:bCs w:val="1"/>
                <w:color w:val="auto"/>
                <w:w w:val="88"/>
              </w:rPr>
              <w:t>December 31,</w:t>
            </w:r>
          </w:p>
        </w:tc>
        <w:tc>
          <w:tcPr>
            <w:tcW w:w="160" w:type="dxa"/>
            <w:vAlign w:val="bottom"/>
          </w:tcPr>
          <w:p>
            <w:pPr>
              <w:spacing w:after="0"/>
              <w:rPr>
                <w:sz w:val="17"/>
                <w:szCs w:val="17"/>
                <w:color w:val="auto"/>
              </w:rPr>
            </w:pPr>
          </w:p>
        </w:tc>
        <w:tc>
          <w:tcPr>
            <w:tcW w:w="1080" w:type="dxa"/>
            <w:vAlign w:val="bottom"/>
          </w:tcPr>
          <w:p>
            <w:pPr>
              <w:jc w:val="right"/>
              <w:ind w:right="271"/>
              <w:spacing w:after="0" w:line="196" w:lineRule="exact"/>
              <w:rPr>
                <w:sz w:val="20"/>
                <w:szCs w:val="20"/>
                <w:color w:val="auto"/>
              </w:rPr>
            </w:pPr>
            <w:r>
              <w:rPr>
                <w:rFonts w:ascii="Arial" w:cs="Arial" w:eastAsia="Arial" w:hAnsi="Arial"/>
                <w:sz w:val="18"/>
                <w:szCs w:val="18"/>
                <w:b w:val="1"/>
                <w:bCs w:val="1"/>
                <w:color w:val="auto"/>
                <w:w w:val="97"/>
              </w:rPr>
              <w:t>June 30,</w:t>
            </w:r>
          </w:p>
        </w:tc>
      </w:tr>
      <w:tr>
        <w:trPr>
          <w:trHeight w:val="239"/>
        </w:trPr>
        <w:tc>
          <w:tcPr>
            <w:tcW w:w="47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51"/>
              <w:spacing w:after="0"/>
              <w:rPr>
                <w:sz w:val="20"/>
                <w:szCs w:val="20"/>
                <w:color w:val="auto"/>
              </w:rPr>
            </w:pPr>
            <w:r>
              <w:rPr>
                <w:rFonts w:ascii="Arial" w:cs="Arial" w:eastAsia="Arial" w:hAnsi="Arial"/>
                <w:sz w:val="18"/>
                <w:szCs w:val="18"/>
                <w:b w:val="1"/>
                <w:bCs w:val="1"/>
                <w:color w:val="auto"/>
              </w:rPr>
              <w:t>2013</w:t>
            </w:r>
          </w:p>
        </w:tc>
        <w:tc>
          <w:tcPr>
            <w:tcW w:w="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251"/>
              <w:spacing w:after="0"/>
              <w:rPr>
                <w:sz w:val="20"/>
                <w:szCs w:val="20"/>
                <w:color w:val="auto"/>
              </w:rPr>
            </w:pPr>
            <w:r>
              <w:rPr>
                <w:rFonts w:ascii="Arial" w:cs="Arial" w:eastAsia="Arial" w:hAnsi="Arial"/>
                <w:sz w:val="18"/>
                <w:szCs w:val="18"/>
                <w:b w:val="1"/>
                <w:bCs w:val="1"/>
                <w:color w:val="auto"/>
                <w:w w:val="89"/>
              </w:rPr>
              <w:t>2012</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11"/>
              <w:spacing w:after="0"/>
              <w:rPr>
                <w:sz w:val="20"/>
                <w:szCs w:val="20"/>
                <w:color w:val="auto"/>
              </w:rPr>
            </w:pPr>
            <w:r>
              <w:rPr>
                <w:rFonts w:ascii="Arial" w:cs="Arial" w:eastAsia="Arial" w:hAnsi="Arial"/>
                <w:sz w:val="18"/>
                <w:szCs w:val="18"/>
                <w:b w:val="1"/>
                <w:bCs w:val="1"/>
                <w:color w:val="auto"/>
              </w:rPr>
              <w:t>2012</w:t>
            </w:r>
          </w:p>
        </w:tc>
      </w:tr>
      <w:tr>
        <w:trPr>
          <w:trHeight w:val="414"/>
        </w:trPr>
        <w:tc>
          <w:tcPr>
            <w:tcW w:w="4740" w:type="dxa"/>
            <w:vAlign w:val="bottom"/>
          </w:tcPr>
          <w:p>
            <w:pPr>
              <w:spacing w:after="0"/>
              <w:rPr>
                <w:sz w:val="20"/>
                <w:szCs w:val="20"/>
                <w:color w:val="auto"/>
              </w:rPr>
            </w:pPr>
            <w:r>
              <w:rPr>
                <w:rFonts w:ascii="Arial" w:cs="Arial" w:eastAsia="Arial" w:hAnsi="Arial"/>
                <w:sz w:val="18"/>
                <w:szCs w:val="18"/>
                <w:color w:val="auto"/>
              </w:rPr>
              <w:t>Commercial (secured by real estate)</w:t>
            </w:r>
          </w:p>
        </w:tc>
        <w:tc>
          <w:tcPr>
            <w:tcW w:w="174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7,237</w:t>
            </w:r>
          </w:p>
        </w:tc>
        <w:tc>
          <w:tcPr>
            <w:tcW w:w="400" w:type="dxa"/>
            <w:vAlign w:val="bottom"/>
            <w:gridSpan w:val="3"/>
          </w:tcPr>
          <w:p>
            <w:pPr>
              <w:jc w:val="right"/>
              <w:ind w:right="51"/>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22,148</w:t>
            </w:r>
          </w:p>
        </w:tc>
        <w:tc>
          <w:tcPr>
            <w:tcW w:w="100" w:type="dxa"/>
            <w:vAlign w:val="bottom"/>
          </w:tcPr>
          <w:p>
            <w:pPr>
              <w:spacing w:after="0"/>
              <w:rPr>
                <w:sz w:val="24"/>
                <w:szCs w:val="24"/>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19,115</w:t>
            </w:r>
          </w:p>
        </w:tc>
      </w:tr>
      <w:tr>
        <w:trPr>
          <w:trHeight w:val="214"/>
        </w:trPr>
        <w:tc>
          <w:tcPr>
            <w:tcW w:w="4740" w:type="dxa"/>
            <w:vAlign w:val="bottom"/>
          </w:tcPr>
          <w:p>
            <w:pPr>
              <w:spacing w:after="0"/>
              <w:rPr>
                <w:sz w:val="20"/>
                <w:szCs w:val="20"/>
                <w:color w:val="auto"/>
              </w:rPr>
            </w:pPr>
            <w:r>
              <w:rPr>
                <w:rFonts w:ascii="Arial" w:cs="Arial" w:eastAsia="Arial" w:hAnsi="Arial"/>
                <w:sz w:val="18"/>
                <w:szCs w:val="18"/>
                <w:color w:val="auto"/>
              </w:rPr>
              <w:t>Commercial &amp; industrial</w:t>
            </w:r>
          </w:p>
        </w:tc>
        <w:tc>
          <w:tcPr>
            <w:tcW w:w="1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548</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31,817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34,982</w:t>
            </w:r>
          </w:p>
        </w:tc>
      </w:tr>
      <w:tr>
        <w:trPr>
          <w:trHeight w:val="235"/>
        </w:trPr>
        <w:tc>
          <w:tcPr>
            <w:tcW w:w="4740" w:type="dxa"/>
            <w:vAlign w:val="bottom"/>
          </w:tcPr>
          <w:p>
            <w:pPr>
              <w:spacing w:after="0"/>
              <w:rPr>
                <w:sz w:val="20"/>
                <w:szCs w:val="20"/>
                <w:color w:val="auto"/>
              </w:rPr>
            </w:pPr>
            <w:r>
              <w:rPr>
                <w:rFonts w:ascii="Arial" w:cs="Arial" w:eastAsia="Arial" w:hAnsi="Arial"/>
                <w:sz w:val="18"/>
                <w:szCs w:val="18"/>
                <w:color w:val="auto"/>
              </w:rPr>
              <w:t>Commercial construction</w:t>
            </w:r>
          </w:p>
        </w:tc>
        <w:tc>
          <w:tcPr>
            <w:tcW w:w="15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504</w:t>
            </w:r>
          </w:p>
        </w:tc>
        <w:tc>
          <w:tcPr>
            <w:tcW w:w="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23,843</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18,175</w:t>
            </w:r>
          </w:p>
        </w:tc>
      </w:tr>
      <w:tr>
        <w:trPr>
          <w:trHeight w:val="200"/>
        </w:trPr>
        <w:tc>
          <w:tcPr>
            <w:tcW w:w="4740" w:type="dxa"/>
            <w:vAlign w:val="bottom"/>
          </w:tcPr>
          <w:p>
            <w:pPr>
              <w:ind w:left="220"/>
              <w:spacing w:after="0" w:line="200" w:lineRule="exact"/>
              <w:rPr>
                <w:sz w:val="20"/>
                <w:szCs w:val="20"/>
                <w:color w:val="auto"/>
              </w:rPr>
            </w:pPr>
            <w:r>
              <w:rPr>
                <w:rFonts w:ascii="Arial" w:cs="Arial" w:eastAsia="Arial" w:hAnsi="Arial"/>
                <w:sz w:val="18"/>
                <w:szCs w:val="18"/>
                <w:color w:val="auto"/>
              </w:rPr>
              <w:t>Total commercial</w:t>
            </w:r>
          </w:p>
        </w:tc>
        <w:tc>
          <w:tcPr>
            <w:tcW w:w="1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jc w:val="right"/>
              <w:spacing w:after="0" w:line="200" w:lineRule="exact"/>
              <w:rPr>
                <w:sz w:val="20"/>
                <w:szCs w:val="20"/>
                <w:color w:val="auto"/>
              </w:rPr>
            </w:pPr>
            <w:r>
              <w:rPr>
                <w:rFonts w:ascii="Arial" w:cs="Arial" w:eastAsia="Arial" w:hAnsi="Arial"/>
                <w:sz w:val="18"/>
                <w:szCs w:val="18"/>
                <w:color w:val="auto"/>
              </w:rPr>
              <w:t>8,289</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jc w:val="right"/>
              <w:ind w:right="31"/>
              <w:spacing w:after="0" w:line="200" w:lineRule="exact"/>
              <w:rPr>
                <w:sz w:val="20"/>
                <w:szCs w:val="20"/>
                <w:color w:val="auto"/>
              </w:rPr>
            </w:pPr>
            <w:r>
              <w:rPr>
                <w:rFonts w:ascii="Arial" w:cs="Arial" w:eastAsia="Arial" w:hAnsi="Arial"/>
                <w:sz w:val="18"/>
                <w:szCs w:val="18"/>
                <w:color w:val="auto"/>
              </w:rPr>
              <w:t>77,808</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right"/>
              <w:ind w:right="11"/>
              <w:spacing w:after="0" w:line="200" w:lineRule="exact"/>
              <w:rPr>
                <w:sz w:val="20"/>
                <w:szCs w:val="20"/>
                <w:color w:val="auto"/>
              </w:rPr>
            </w:pPr>
            <w:r>
              <w:rPr>
                <w:rFonts w:ascii="Arial" w:cs="Arial" w:eastAsia="Arial" w:hAnsi="Arial"/>
                <w:sz w:val="18"/>
                <w:szCs w:val="18"/>
                <w:color w:val="auto"/>
              </w:rPr>
              <w:t>72,272</w:t>
            </w:r>
          </w:p>
        </w:tc>
      </w:tr>
      <w:tr>
        <w:trPr>
          <w:trHeight w:val="214"/>
        </w:trPr>
        <w:tc>
          <w:tcPr>
            <w:tcW w:w="4740" w:type="dxa"/>
            <w:vAlign w:val="bottom"/>
          </w:tcPr>
          <w:p>
            <w:pPr>
              <w:spacing w:after="0"/>
              <w:rPr>
                <w:sz w:val="20"/>
                <w:szCs w:val="20"/>
                <w:color w:val="auto"/>
              </w:rPr>
            </w:pPr>
            <w:r>
              <w:rPr>
                <w:rFonts w:ascii="Arial" w:cs="Arial" w:eastAsia="Arial" w:hAnsi="Arial"/>
                <w:sz w:val="18"/>
                <w:szCs w:val="18"/>
                <w:color w:val="auto"/>
              </w:rPr>
              <w:t>Residential mortgage</w:t>
            </w:r>
          </w:p>
        </w:tc>
        <w:tc>
          <w:tcPr>
            <w:tcW w:w="1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14,338</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12,589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16,631</w:t>
            </w:r>
          </w:p>
        </w:tc>
      </w:tr>
      <w:tr>
        <w:trPr>
          <w:trHeight w:val="214"/>
        </w:trPr>
        <w:tc>
          <w:tcPr>
            <w:tcW w:w="4740" w:type="dxa"/>
            <w:vAlign w:val="bottom"/>
          </w:tcPr>
          <w:p>
            <w:pPr>
              <w:spacing w:after="0"/>
              <w:rPr>
                <w:sz w:val="20"/>
                <w:szCs w:val="20"/>
                <w:color w:val="auto"/>
              </w:rPr>
            </w:pPr>
            <w:r>
              <w:rPr>
                <w:rFonts w:ascii="Arial" w:cs="Arial" w:eastAsia="Arial" w:hAnsi="Arial"/>
                <w:sz w:val="18"/>
                <w:szCs w:val="18"/>
                <w:color w:val="auto"/>
              </w:rPr>
              <w:t>Residential construction</w:t>
            </w:r>
          </w:p>
        </w:tc>
        <w:tc>
          <w:tcPr>
            <w:tcW w:w="1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4,838</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18,702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25,530</w:t>
            </w:r>
          </w:p>
        </w:tc>
      </w:tr>
      <w:tr>
        <w:trPr>
          <w:trHeight w:val="235"/>
        </w:trPr>
        <w:tc>
          <w:tcPr>
            <w:tcW w:w="4740" w:type="dxa"/>
            <w:vAlign w:val="bottom"/>
          </w:tcPr>
          <w:p>
            <w:pPr>
              <w:spacing w:after="0"/>
              <w:rPr>
                <w:sz w:val="20"/>
                <w:szCs w:val="20"/>
                <w:color w:val="auto"/>
              </w:rPr>
            </w:pPr>
            <w:r>
              <w:rPr>
                <w:rFonts w:ascii="Arial" w:cs="Arial" w:eastAsia="Arial" w:hAnsi="Arial"/>
                <w:sz w:val="18"/>
                <w:szCs w:val="18"/>
                <w:color w:val="auto"/>
              </w:rPr>
              <w:t>Consumer installment</w:t>
            </w:r>
          </w:p>
        </w:tc>
        <w:tc>
          <w:tcPr>
            <w:tcW w:w="15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399</w:t>
            </w:r>
          </w:p>
        </w:tc>
        <w:tc>
          <w:tcPr>
            <w:tcW w:w="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795</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907</w:t>
            </w:r>
          </w:p>
        </w:tc>
      </w:tr>
      <w:tr>
        <w:trPr>
          <w:trHeight w:val="214"/>
        </w:trPr>
        <w:tc>
          <w:tcPr>
            <w:tcW w:w="4740" w:type="dxa"/>
            <w:vAlign w:val="bottom"/>
          </w:tcPr>
          <w:p>
            <w:pPr>
              <w:ind w:left="260"/>
              <w:spacing w:after="0"/>
              <w:rPr>
                <w:sz w:val="20"/>
                <w:szCs w:val="20"/>
                <w:color w:val="auto"/>
              </w:rPr>
            </w:pPr>
            <w:r>
              <w:rPr>
                <w:rFonts w:ascii="Arial" w:cs="Arial" w:eastAsia="Arial" w:hAnsi="Arial"/>
                <w:sz w:val="18"/>
                <w:szCs w:val="18"/>
                <w:color w:val="auto"/>
              </w:rPr>
              <w:t>Total</w:t>
            </w:r>
          </w:p>
        </w:tc>
        <w:tc>
          <w:tcPr>
            <w:tcW w:w="1580" w:type="dxa"/>
            <w:vAlign w:val="bottom"/>
          </w:tcPr>
          <w:p>
            <w:pPr>
              <w:spacing w:after="0"/>
              <w:rPr>
                <w:sz w:val="18"/>
                <w:szCs w:val="18"/>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27,864</w:t>
            </w:r>
          </w:p>
        </w:tc>
        <w:tc>
          <w:tcPr>
            <w:tcW w:w="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109,894</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115,340</w:t>
            </w:r>
          </w:p>
        </w:tc>
      </w:tr>
      <w:tr>
        <w:trPr>
          <w:trHeight w:val="20"/>
        </w:trPr>
        <w:tc>
          <w:tcPr>
            <w:tcW w:w="47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420"/>
        </w:trPr>
        <w:tc>
          <w:tcPr>
            <w:tcW w:w="4740" w:type="dxa"/>
            <w:vAlign w:val="bottom"/>
          </w:tcPr>
          <w:p>
            <w:pPr>
              <w:ind w:left="40"/>
              <w:spacing w:after="0"/>
              <w:rPr>
                <w:sz w:val="20"/>
                <w:szCs w:val="20"/>
                <w:color w:val="auto"/>
              </w:rPr>
            </w:pPr>
            <w:r>
              <w:rPr>
                <w:rFonts w:ascii="Arial" w:cs="Arial" w:eastAsia="Arial" w:hAnsi="Arial"/>
                <w:sz w:val="18"/>
                <w:szCs w:val="18"/>
                <w:color w:val="auto"/>
              </w:rPr>
              <w:t>Balance as a percentage of unpaid principal</w:t>
            </w:r>
          </w:p>
        </w:tc>
        <w:tc>
          <w:tcPr>
            <w:tcW w:w="1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62.6%</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69.5%</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68.8%</w:t>
            </w:r>
          </w:p>
        </w:tc>
      </w:tr>
    </w:tbl>
    <w:p>
      <w:pPr>
        <w:spacing w:after="0" w:line="228"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 xml:space="preserve">The following table presents the aging of the recorded investment in past due loans as of June 30, 2013, December 31, 2012 and June 30, 2012 by class of loans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14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560" w:type="dxa"/>
            <w:vAlign w:val="bottom"/>
            <w:tcBorders>
              <w:bottom w:val="single" w:sz="8" w:color="auto"/>
            </w:tcBorders>
            <w:gridSpan w:val="4"/>
          </w:tcPr>
          <w:p>
            <w:pPr>
              <w:jc w:val="right"/>
              <w:ind w:right="651"/>
              <w:spacing w:after="0"/>
              <w:rPr>
                <w:sz w:val="20"/>
                <w:szCs w:val="20"/>
                <w:color w:val="auto"/>
              </w:rPr>
            </w:pPr>
            <w:r>
              <w:rPr>
                <w:rFonts w:ascii="Arial" w:cs="Arial" w:eastAsia="Arial" w:hAnsi="Arial"/>
                <w:sz w:val="18"/>
                <w:szCs w:val="18"/>
                <w:b w:val="1"/>
                <w:bCs w:val="1"/>
                <w:color w:val="auto"/>
              </w:rPr>
              <w:t>Loans Past Due</w:t>
            </w:r>
          </w:p>
        </w:tc>
        <w:tc>
          <w:tcPr>
            <w:tcW w:w="1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191"/>
              <w:spacing w:after="0"/>
              <w:rPr>
                <w:sz w:val="20"/>
                <w:szCs w:val="20"/>
                <w:color w:val="auto"/>
              </w:rPr>
            </w:pPr>
            <w:r>
              <w:rPr>
                <w:rFonts w:ascii="Arial" w:cs="Arial" w:eastAsia="Arial" w:hAnsi="Arial"/>
                <w:sz w:val="18"/>
                <w:szCs w:val="18"/>
                <w:b w:val="1"/>
                <w:bCs w:val="1"/>
                <w:color w:val="auto"/>
                <w:w w:val="90"/>
              </w:rPr>
              <w:t>Loans Not</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2960" w:type="dxa"/>
            <w:vAlign w:val="bottom"/>
            <w:gridSpan w:val="3"/>
          </w:tcPr>
          <w:p>
            <w:pPr>
              <w:spacing w:after="0" w:line="174" w:lineRule="exact"/>
              <w:rPr>
                <w:sz w:val="20"/>
                <w:szCs w:val="20"/>
                <w:color w:val="auto"/>
              </w:rPr>
            </w:pPr>
            <w:r>
              <w:rPr>
                <w:rFonts w:ascii="Arial" w:cs="Arial" w:eastAsia="Arial" w:hAnsi="Arial"/>
                <w:sz w:val="18"/>
                <w:szCs w:val="18"/>
                <w:b w:val="1"/>
                <w:bCs w:val="1"/>
                <w:color w:val="auto"/>
              </w:rPr>
              <w:t>As of June 30, 2013</w:t>
            </w: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jc w:val="right"/>
              <w:ind w:right="151"/>
              <w:spacing w:after="0" w:line="174" w:lineRule="exact"/>
              <w:rPr>
                <w:sz w:val="20"/>
                <w:szCs w:val="20"/>
                <w:color w:val="auto"/>
              </w:rPr>
            </w:pPr>
            <w:r>
              <w:rPr>
                <w:rFonts w:ascii="Arial" w:cs="Arial" w:eastAsia="Arial" w:hAnsi="Arial"/>
                <w:sz w:val="18"/>
                <w:szCs w:val="18"/>
                <w:b w:val="1"/>
                <w:bCs w:val="1"/>
                <w:color w:val="auto"/>
                <w:w w:val="86"/>
              </w:rPr>
              <w:t>30 - 59 Days</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tcPr>
          <w:p>
            <w:pPr>
              <w:jc w:val="right"/>
              <w:ind w:right="151"/>
              <w:spacing w:after="0" w:line="174" w:lineRule="exact"/>
              <w:rPr>
                <w:sz w:val="20"/>
                <w:szCs w:val="20"/>
                <w:color w:val="auto"/>
              </w:rPr>
            </w:pPr>
            <w:r>
              <w:rPr>
                <w:rFonts w:ascii="Arial" w:cs="Arial" w:eastAsia="Arial" w:hAnsi="Arial"/>
                <w:sz w:val="18"/>
                <w:szCs w:val="18"/>
                <w:b w:val="1"/>
                <w:bCs w:val="1"/>
                <w:color w:val="auto"/>
                <w:w w:val="88"/>
              </w:rPr>
              <w:t>60 - 89 Days</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jc w:val="right"/>
              <w:ind w:right="231"/>
              <w:spacing w:after="0" w:line="174" w:lineRule="exact"/>
              <w:rPr>
                <w:sz w:val="20"/>
                <w:szCs w:val="20"/>
                <w:color w:val="auto"/>
              </w:rPr>
            </w:pPr>
            <w:r>
              <w:rPr>
                <w:rFonts w:ascii="Arial" w:cs="Arial" w:eastAsia="Arial" w:hAnsi="Arial"/>
                <w:sz w:val="18"/>
                <w:szCs w:val="18"/>
                <w:b w:val="1"/>
                <w:bCs w:val="1"/>
                <w:color w:val="auto"/>
                <w:w w:val="93"/>
              </w:rPr>
              <w:t>&gt; 90 Days</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jc w:val="right"/>
              <w:ind w:right="391"/>
              <w:spacing w:after="0" w:line="174" w:lineRule="exact"/>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jc w:val="right"/>
              <w:ind w:right="231"/>
              <w:spacing w:after="0" w:line="174" w:lineRule="exact"/>
              <w:rPr>
                <w:sz w:val="20"/>
                <w:szCs w:val="20"/>
                <w:color w:val="auto"/>
              </w:rPr>
            </w:pPr>
            <w:r>
              <w:rPr>
                <w:rFonts w:ascii="Arial" w:cs="Arial" w:eastAsia="Arial" w:hAnsi="Arial"/>
                <w:sz w:val="18"/>
                <w:szCs w:val="18"/>
                <w:b w:val="1"/>
                <w:bCs w:val="1"/>
                <w:color w:val="auto"/>
                <w:w w:val="98"/>
              </w:rPr>
              <w:t>Past Due</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jc w:val="right"/>
              <w:ind w:right="391"/>
              <w:spacing w:after="0" w:line="174" w:lineRule="exact"/>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7"/>
        </w:trPr>
        <w:tc>
          <w:tcPr>
            <w:tcW w:w="148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14"/>
        </w:trPr>
        <w:tc>
          <w:tcPr>
            <w:tcW w:w="2960" w:type="dxa"/>
            <w:vAlign w:val="bottom"/>
            <w:gridSpan w:val="3"/>
          </w:tcPr>
          <w:p>
            <w:pPr>
              <w:spacing w:after="0"/>
              <w:rPr>
                <w:sz w:val="20"/>
                <w:szCs w:val="20"/>
                <w:color w:val="auto"/>
              </w:rPr>
            </w:pPr>
            <w:r>
              <w:rPr>
                <w:rFonts w:ascii="Arial" w:cs="Arial" w:eastAsia="Arial" w:hAnsi="Arial"/>
                <w:sz w:val="18"/>
                <w:szCs w:val="18"/>
                <w:color w:val="auto"/>
              </w:rPr>
              <w:t>Commercial (secured by real estate)</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3,541</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696</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2,136</w:t>
            </w:r>
          </w:p>
        </w:tc>
        <w:tc>
          <w:tcPr>
            <w:tcW w:w="360" w:type="dxa"/>
            <w:vAlign w:val="bottom"/>
            <w:gridSpan w:val="2"/>
          </w:tcPr>
          <w:p>
            <w:pPr>
              <w:jc w:val="right"/>
              <w:ind w:right="51"/>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6,373</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1,741,772</w:t>
            </w:r>
          </w:p>
        </w:tc>
        <w:tc>
          <w:tcPr>
            <w:tcW w:w="340" w:type="dxa"/>
            <w:vAlign w:val="bottom"/>
            <w:gridSpan w:val="2"/>
          </w:tcPr>
          <w:p>
            <w:pPr>
              <w:jc w:val="right"/>
              <w:ind w:right="51"/>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1,748,145</w:t>
            </w:r>
          </w:p>
        </w:tc>
        <w:tc>
          <w:tcPr>
            <w:tcW w:w="0" w:type="dxa"/>
            <w:vAlign w:val="bottom"/>
          </w:tcPr>
          <w:p>
            <w:pPr>
              <w:spacing w:after="0"/>
              <w:rPr>
                <w:sz w:val="1"/>
                <w:szCs w:val="1"/>
                <w:color w:val="auto"/>
              </w:rPr>
            </w:pPr>
          </w:p>
        </w:tc>
      </w:tr>
      <w:tr>
        <w:trPr>
          <w:trHeight w:val="214"/>
        </w:trPr>
        <w:tc>
          <w:tcPr>
            <w:tcW w:w="2960" w:type="dxa"/>
            <w:vAlign w:val="bottom"/>
            <w:gridSpan w:val="3"/>
          </w:tcPr>
          <w:p>
            <w:pPr>
              <w:spacing w:after="0"/>
              <w:rPr>
                <w:sz w:val="20"/>
                <w:szCs w:val="20"/>
                <w:color w:val="auto"/>
              </w:rPr>
            </w:pPr>
            <w:r>
              <w:rPr>
                <w:rFonts w:ascii="Arial" w:cs="Arial" w:eastAsia="Arial" w:hAnsi="Arial"/>
                <w:sz w:val="18"/>
                <w:szCs w:val="18"/>
                <w:color w:val="auto"/>
              </w:rPr>
              <w:t>Commercial &amp; industrial</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1,123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500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145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1,768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435,220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436,988</w:t>
            </w:r>
          </w:p>
        </w:tc>
        <w:tc>
          <w:tcPr>
            <w:tcW w:w="0" w:type="dxa"/>
            <w:vAlign w:val="bottom"/>
          </w:tcPr>
          <w:p>
            <w:pPr>
              <w:spacing w:after="0"/>
              <w:rPr>
                <w:sz w:val="1"/>
                <w:szCs w:val="1"/>
                <w:color w:val="auto"/>
              </w:rPr>
            </w:pPr>
          </w:p>
        </w:tc>
      </w:tr>
      <w:tr>
        <w:trPr>
          <w:trHeight w:val="235"/>
        </w:trPr>
        <w:tc>
          <w:tcPr>
            <w:tcW w:w="2960" w:type="dxa"/>
            <w:vAlign w:val="bottom"/>
            <w:gridSpan w:val="3"/>
          </w:tcPr>
          <w:p>
            <w:pPr>
              <w:spacing w:after="0"/>
              <w:rPr>
                <w:sz w:val="20"/>
                <w:szCs w:val="20"/>
                <w:color w:val="auto"/>
              </w:rPr>
            </w:pPr>
            <w:r>
              <w:rPr>
                <w:rFonts w:ascii="Arial" w:cs="Arial" w:eastAsia="Arial" w:hAnsi="Arial"/>
                <w:sz w:val="18"/>
                <w:szCs w:val="18"/>
                <w:color w:val="auto"/>
              </w:rPr>
              <w:t>Commercial construction</w:t>
            </w:r>
          </w:p>
        </w:tc>
        <w:tc>
          <w:tcPr>
            <w:tcW w:w="3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1,128</w:t>
            </w: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235</w:t>
            </w: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196</w:t>
            </w: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1,559</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131,003</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132,562</w:t>
            </w:r>
          </w:p>
        </w:tc>
        <w:tc>
          <w:tcPr>
            <w:tcW w:w="0" w:type="dxa"/>
            <w:vAlign w:val="bottom"/>
          </w:tcPr>
          <w:p>
            <w:pPr>
              <w:spacing w:after="0"/>
              <w:rPr>
                <w:sz w:val="1"/>
                <w:szCs w:val="1"/>
                <w:color w:val="auto"/>
              </w:rPr>
            </w:pPr>
          </w:p>
        </w:tc>
      </w:tr>
      <w:tr>
        <w:trPr>
          <w:trHeight w:val="200"/>
        </w:trPr>
        <w:tc>
          <w:tcPr>
            <w:tcW w:w="2960" w:type="dxa"/>
            <w:vAlign w:val="bottom"/>
            <w:gridSpan w:val="3"/>
          </w:tcPr>
          <w:p>
            <w:pPr>
              <w:ind w:left="220"/>
              <w:spacing w:after="0" w:line="200" w:lineRule="exact"/>
              <w:rPr>
                <w:sz w:val="20"/>
                <w:szCs w:val="20"/>
                <w:color w:val="auto"/>
              </w:rPr>
            </w:pPr>
            <w:r>
              <w:rPr>
                <w:rFonts w:ascii="Arial" w:cs="Arial" w:eastAsia="Arial" w:hAnsi="Arial"/>
                <w:sz w:val="18"/>
                <w:szCs w:val="18"/>
                <w:color w:val="auto"/>
              </w:rPr>
              <w:t>Total commercial</w:t>
            </w: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jc w:val="right"/>
              <w:ind w:right="31"/>
              <w:spacing w:after="0" w:line="200" w:lineRule="exact"/>
              <w:rPr>
                <w:sz w:val="20"/>
                <w:szCs w:val="20"/>
                <w:color w:val="auto"/>
              </w:rPr>
            </w:pPr>
            <w:r>
              <w:rPr>
                <w:rFonts w:ascii="Arial" w:cs="Arial" w:eastAsia="Arial" w:hAnsi="Arial"/>
                <w:sz w:val="18"/>
                <w:szCs w:val="18"/>
                <w:color w:val="auto"/>
              </w:rPr>
              <w:t>5,792</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jc w:val="right"/>
              <w:ind w:right="31"/>
              <w:spacing w:after="0" w:line="200" w:lineRule="exact"/>
              <w:rPr>
                <w:sz w:val="20"/>
                <w:szCs w:val="20"/>
                <w:color w:val="auto"/>
              </w:rPr>
            </w:pPr>
            <w:r>
              <w:rPr>
                <w:rFonts w:ascii="Arial" w:cs="Arial" w:eastAsia="Arial" w:hAnsi="Arial"/>
                <w:sz w:val="18"/>
                <w:szCs w:val="18"/>
                <w:color w:val="auto"/>
              </w:rPr>
              <w:t>1,431</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jc w:val="right"/>
              <w:ind w:right="31"/>
              <w:spacing w:after="0" w:line="200" w:lineRule="exact"/>
              <w:rPr>
                <w:sz w:val="20"/>
                <w:szCs w:val="20"/>
                <w:color w:val="auto"/>
              </w:rPr>
            </w:pPr>
            <w:r>
              <w:rPr>
                <w:rFonts w:ascii="Arial" w:cs="Arial" w:eastAsia="Arial" w:hAnsi="Arial"/>
                <w:sz w:val="18"/>
                <w:szCs w:val="18"/>
                <w:color w:val="auto"/>
              </w:rPr>
              <w:t>2,477</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ind w:right="11"/>
              <w:spacing w:after="0" w:line="200" w:lineRule="exact"/>
              <w:rPr>
                <w:sz w:val="20"/>
                <w:szCs w:val="20"/>
                <w:color w:val="auto"/>
              </w:rPr>
            </w:pPr>
            <w:r>
              <w:rPr>
                <w:rFonts w:ascii="Arial" w:cs="Arial" w:eastAsia="Arial" w:hAnsi="Arial"/>
                <w:sz w:val="18"/>
                <w:szCs w:val="18"/>
                <w:color w:val="auto"/>
              </w:rPr>
              <w:t>9,700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jc w:val="right"/>
              <w:ind w:right="11"/>
              <w:spacing w:after="0" w:line="200" w:lineRule="exact"/>
              <w:rPr>
                <w:sz w:val="20"/>
                <w:szCs w:val="20"/>
                <w:color w:val="auto"/>
              </w:rPr>
            </w:pPr>
            <w:r>
              <w:rPr>
                <w:rFonts w:ascii="Arial" w:cs="Arial" w:eastAsia="Arial" w:hAnsi="Arial"/>
                <w:sz w:val="18"/>
                <w:szCs w:val="18"/>
                <w:color w:val="auto"/>
              </w:rPr>
              <w:t>2,307,995</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ind w:right="11"/>
              <w:spacing w:after="0" w:line="200" w:lineRule="exact"/>
              <w:rPr>
                <w:sz w:val="20"/>
                <w:szCs w:val="20"/>
                <w:color w:val="auto"/>
              </w:rPr>
            </w:pPr>
            <w:r>
              <w:rPr>
                <w:rFonts w:ascii="Arial" w:cs="Arial" w:eastAsia="Arial" w:hAnsi="Arial"/>
                <w:sz w:val="18"/>
                <w:szCs w:val="18"/>
                <w:color w:val="auto"/>
              </w:rPr>
              <w:t>2,317,695</w:t>
            </w:r>
          </w:p>
        </w:tc>
        <w:tc>
          <w:tcPr>
            <w:tcW w:w="0" w:type="dxa"/>
            <w:vAlign w:val="bottom"/>
          </w:tcPr>
          <w:p>
            <w:pPr>
              <w:spacing w:after="0"/>
              <w:rPr>
                <w:sz w:val="1"/>
                <w:szCs w:val="1"/>
                <w:color w:val="auto"/>
              </w:rPr>
            </w:pPr>
          </w:p>
        </w:tc>
      </w:tr>
      <w:tr>
        <w:trPr>
          <w:trHeight w:val="214"/>
        </w:trPr>
        <w:tc>
          <w:tcPr>
            <w:tcW w:w="2960" w:type="dxa"/>
            <w:vAlign w:val="bottom"/>
            <w:gridSpan w:val="3"/>
          </w:tcPr>
          <w:p>
            <w:pPr>
              <w:spacing w:after="0"/>
              <w:rPr>
                <w:sz w:val="20"/>
                <w:szCs w:val="20"/>
                <w:color w:val="auto"/>
              </w:rPr>
            </w:pPr>
            <w:r>
              <w:rPr>
                <w:rFonts w:ascii="Arial" w:cs="Arial" w:eastAsia="Arial" w:hAnsi="Arial"/>
                <w:sz w:val="18"/>
                <w:szCs w:val="18"/>
                <w:color w:val="auto"/>
              </w:rPr>
              <w:t>Residential mortgage</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10,543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3,993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5,639</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20,175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1,258,384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1,278,559</w:t>
            </w:r>
          </w:p>
        </w:tc>
        <w:tc>
          <w:tcPr>
            <w:tcW w:w="0" w:type="dxa"/>
            <w:vAlign w:val="bottom"/>
          </w:tcPr>
          <w:p>
            <w:pPr>
              <w:spacing w:after="0"/>
              <w:rPr>
                <w:sz w:val="1"/>
                <w:szCs w:val="1"/>
                <w:color w:val="auto"/>
              </w:rPr>
            </w:pPr>
          </w:p>
        </w:tc>
      </w:tr>
      <w:tr>
        <w:trPr>
          <w:trHeight w:val="214"/>
        </w:trPr>
        <w:tc>
          <w:tcPr>
            <w:tcW w:w="2960" w:type="dxa"/>
            <w:vAlign w:val="bottom"/>
            <w:gridSpan w:val="3"/>
          </w:tcPr>
          <w:p>
            <w:pPr>
              <w:spacing w:after="0"/>
              <w:rPr>
                <w:sz w:val="20"/>
                <w:szCs w:val="20"/>
                <w:color w:val="auto"/>
              </w:rPr>
            </w:pPr>
            <w:r>
              <w:rPr>
                <w:rFonts w:ascii="Arial" w:cs="Arial" w:eastAsia="Arial" w:hAnsi="Arial"/>
                <w:sz w:val="18"/>
                <w:szCs w:val="18"/>
                <w:color w:val="auto"/>
              </w:rPr>
              <w:t>Residential construction</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2,037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335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1,261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3,633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328,048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331,681</w:t>
            </w:r>
          </w:p>
        </w:tc>
        <w:tc>
          <w:tcPr>
            <w:tcW w:w="0" w:type="dxa"/>
            <w:vAlign w:val="bottom"/>
          </w:tcPr>
          <w:p>
            <w:pPr>
              <w:spacing w:after="0"/>
              <w:rPr>
                <w:sz w:val="1"/>
                <w:szCs w:val="1"/>
                <w:color w:val="auto"/>
              </w:rPr>
            </w:pPr>
          </w:p>
        </w:tc>
      </w:tr>
      <w:tr>
        <w:trPr>
          <w:trHeight w:val="235"/>
        </w:trPr>
        <w:tc>
          <w:tcPr>
            <w:tcW w:w="2960" w:type="dxa"/>
            <w:vAlign w:val="bottom"/>
            <w:gridSpan w:val="3"/>
          </w:tcPr>
          <w:p>
            <w:pPr>
              <w:spacing w:after="0"/>
              <w:rPr>
                <w:sz w:val="20"/>
                <w:szCs w:val="20"/>
                <w:color w:val="auto"/>
              </w:rPr>
            </w:pPr>
            <w:r>
              <w:rPr>
                <w:rFonts w:ascii="Arial" w:cs="Arial" w:eastAsia="Arial" w:hAnsi="Arial"/>
                <w:sz w:val="18"/>
                <w:szCs w:val="18"/>
                <w:color w:val="auto"/>
              </w:rPr>
              <w:t>Consumer installment</w:t>
            </w:r>
          </w:p>
        </w:tc>
        <w:tc>
          <w:tcPr>
            <w:tcW w:w="3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893</w:t>
            </w: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183</w:t>
            </w: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1,106</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260,327</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261,433</w:t>
            </w:r>
          </w:p>
        </w:tc>
        <w:tc>
          <w:tcPr>
            <w:tcW w:w="0" w:type="dxa"/>
            <w:vAlign w:val="bottom"/>
          </w:tcPr>
          <w:p>
            <w:pPr>
              <w:spacing w:after="0"/>
              <w:rPr>
                <w:sz w:val="1"/>
                <w:szCs w:val="1"/>
                <w:color w:val="auto"/>
              </w:rPr>
            </w:pPr>
          </w:p>
        </w:tc>
      </w:tr>
      <w:tr>
        <w:trPr>
          <w:trHeight w:val="214"/>
        </w:trPr>
        <w:tc>
          <w:tcPr>
            <w:tcW w:w="2960" w:type="dxa"/>
            <w:vAlign w:val="bottom"/>
            <w:gridSpan w:val="3"/>
          </w:tcPr>
          <w:p>
            <w:pPr>
              <w:ind w:left="140"/>
              <w:spacing w:after="0"/>
              <w:rPr>
                <w:sz w:val="20"/>
                <w:szCs w:val="20"/>
                <w:color w:val="auto"/>
              </w:rPr>
            </w:pPr>
            <w:r>
              <w:rPr>
                <w:rFonts w:ascii="Arial" w:cs="Arial" w:eastAsia="Arial" w:hAnsi="Arial"/>
                <w:sz w:val="18"/>
                <w:szCs w:val="18"/>
                <w:color w:val="auto"/>
              </w:rPr>
              <w:t>Total loans</w:t>
            </w:r>
          </w:p>
        </w:tc>
        <w:tc>
          <w:tcPr>
            <w:tcW w:w="36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19,265</w:t>
            </w:r>
          </w:p>
        </w:tc>
        <w:tc>
          <w:tcPr>
            <w:tcW w:w="1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5,942</w:t>
            </w:r>
          </w:p>
        </w:tc>
        <w:tc>
          <w:tcPr>
            <w:tcW w:w="1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9,407</w:t>
            </w:r>
          </w:p>
        </w:tc>
        <w:tc>
          <w:tcPr>
            <w:tcW w:w="120" w:type="dxa"/>
            <w:vAlign w:val="bottom"/>
          </w:tcPr>
          <w:p>
            <w:pPr>
              <w:spacing w:after="0"/>
              <w:rPr>
                <w:sz w:val="18"/>
                <w:szCs w:val="18"/>
                <w:color w:val="auto"/>
              </w:rPr>
            </w:pPr>
          </w:p>
        </w:tc>
        <w:tc>
          <w:tcPr>
            <w:tcW w:w="24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34,614</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4,154,754</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4,189,368</w:t>
            </w:r>
          </w:p>
        </w:tc>
        <w:tc>
          <w:tcPr>
            <w:tcW w:w="0" w:type="dxa"/>
            <w:vAlign w:val="bottom"/>
          </w:tcPr>
          <w:p>
            <w:pPr>
              <w:spacing w:after="0"/>
              <w:rPr>
                <w:sz w:val="1"/>
                <w:szCs w:val="1"/>
                <w:color w:val="auto"/>
              </w:rPr>
            </w:pPr>
          </w:p>
        </w:tc>
      </w:tr>
      <w:tr>
        <w:trPr>
          <w:trHeight w:val="20"/>
        </w:trPr>
        <w:tc>
          <w:tcPr>
            <w:tcW w:w="296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As of December 31, 2012</w:t>
            </w:r>
          </w:p>
        </w:tc>
        <w:tc>
          <w:tcPr>
            <w:tcW w:w="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09"/>
        </w:trPr>
        <w:tc>
          <w:tcPr>
            <w:tcW w:w="2960" w:type="dxa"/>
            <w:vAlign w:val="bottom"/>
            <w:gridSpan w:val="3"/>
            <w:vMerge w:val="continue"/>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4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2960" w:type="dxa"/>
            <w:vAlign w:val="bottom"/>
            <w:gridSpan w:val="3"/>
          </w:tcPr>
          <w:p>
            <w:pPr>
              <w:spacing w:after="0"/>
              <w:rPr>
                <w:sz w:val="20"/>
                <w:szCs w:val="20"/>
                <w:color w:val="auto"/>
              </w:rPr>
            </w:pPr>
            <w:r>
              <w:rPr>
                <w:rFonts w:ascii="Arial" w:cs="Arial" w:eastAsia="Arial" w:hAnsi="Arial"/>
                <w:sz w:val="18"/>
                <w:szCs w:val="18"/>
                <w:color w:val="auto"/>
              </w:rPr>
              <w:t>Commercial (secured by real estate)</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8,106</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3,232</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7,476</w:t>
            </w:r>
          </w:p>
        </w:tc>
        <w:tc>
          <w:tcPr>
            <w:tcW w:w="360" w:type="dxa"/>
            <w:vAlign w:val="bottom"/>
            <w:gridSpan w:val="2"/>
          </w:tcPr>
          <w:p>
            <w:pPr>
              <w:jc w:val="right"/>
              <w:ind w:right="51"/>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18,814</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1,794,551</w:t>
            </w:r>
          </w:p>
        </w:tc>
        <w:tc>
          <w:tcPr>
            <w:tcW w:w="340" w:type="dxa"/>
            <w:vAlign w:val="bottom"/>
            <w:gridSpan w:val="2"/>
          </w:tcPr>
          <w:p>
            <w:pPr>
              <w:jc w:val="right"/>
              <w:ind w:right="51"/>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1,813,365</w:t>
            </w:r>
          </w:p>
        </w:tc>
        <w:tc>
          <w:tcPr>
            <w:tcW w:w="0" w:type="dxa"/>
            <w:vAlign w:val="bottom"/>
          </w:tcPr>
          <w:p>
            <w:pPr>
              <w:spacing w:after="0"/>
              <w:rPr>
                <w:sz w:val="1"/>
                <w:szCs w:val="1"/>
                <w:color w:val="auto"/>
              </w:rPr>
            </w:pPr>
          </w:p>
        </w:tc>
      </w:tr>
      <w:tr>
        <w:trPr>
          <w:trHeight w:val="214"/>
        </w:trPr>
        <w:tc>
          <w:tcPr>
            <w:tcW w:w="2960" w:type="dxa"/>
            <w:vAlign w:val="bottom"/>
            <w:gridSpan w:val="3"/>
          </w:tcPr>
          <w:p>
            <w:pPr>
              <w:spacing w:after="0"/>
              <w:rPr>
                <w:sz w:val="20"/>
                <w:szCs w:val="20"/>
                <w:color w:val="auto"/>
              </w:rPr>
            </w:pPr>
            <w:r>
              <w:rPr>
                <w:rFonts w:ascii="Arial" w:cs="Arial" w:eastAsia="Arial" w:hAnsi="Arial"/>
                <w:sz w:val="18"/>
                <w:szCs w:val="18"/>
                <w:color w:val="auto"/>
              </w:rPr>
              <w:t>Commercial &amp; industrial</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1,565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429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867</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2,861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455,385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458,246</w:t>
            </w:r>
          </w:p>
        </w:tc>
        <w:tc>
          <w:tcPr>
            <w:tcW w:w="0" w:type="dxa"/>
            <w:vAlign w:val="bottom"/>
          </w:tcPr>
          <w:p>
            <w:pPr>
              <w:spacing w:after="0"/>
              <w:rPr>
                <w:sz w:val="1"/>
                <w:szCs w:val="1"/>
                <w:color w:val="auto"/>
              </w:rPr>
            </w:pPr>
          </w:p>
        </w:tc>
      </w:tr>
      <w:tr>
        <w:trPr>
          <w:trHeight w:val="235"/>
        </w:trPr>
        <w:tc>
          <w:tcPr>
            <w:tcW w:w="2960" w:type="dxa"/>
            <w:vAlign w:val="bottom"/>
            <w:gridSpan w:val="3"/>
          </w:tcPr>
          <w:p>
            <w:pPr>
              <w:spacing w:after="0"/>
              <w:rPr>
                <w:sz w:val="20"/>
                <w:szCs w:val="20"/>
                <w:color w:val="auto"/>
              </w:rPr>
            </w:pPr>
            <w:r>
              <w:rPr>
                <w:rFonts w:ascii="Arial" w:cs="Arial" w:eastAsia="Arial" w:hAnsi="Arial"/>
                <w:sz w:val="18"/>
                <w:szCs w:val="18"/>
                <w:color w:val="auto"/>
              </w:rPr>
              <w:t>Commercial construction</w:t>
            </w:r>
          </w:p>
        </w:tc>
        <w:tc>
          <w:tcPr>
            <w:tcW w:w="3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2,216</w:t>
            </w: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4,490</w:t>
            </w: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6,706</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148,063</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154,769</w:t>
            </w:r>
          </w:p>
        </w:tc>
        <w:tc>
          <w:tcPr>
            <w:tcW w:w="0" w:type="dxa"/>
            <w:vAlign w:val="bottom"/>
          </w:tcPr>
          <w:p>
            <w:pPr>
              <w:spacing w:after="0"/>
              <w:rPr>
                <w:sz w:val="1"/>
                <w:szCs w:val="1"/>
                <w:color w:val="auto"/>
              </w:rPr>
            </w:pPr>
          </w:p>
        </w:tc>
      </w:tr>
      <w:tr>
        <w:trPr>
          <w:trHeight w:val="200"/>
        </w:trPr>
        <w:tc>
          <w:tcPr>
            <w:tcW w:w="2960" w:type="dxa"/>
            <w:vAlign w:val="bottom"/>
            <w:gridSpan w:val="3"/>
          </w:tcPr>
          <w:p>
            <w:pPr>
              <w:ind w:left="220"/>
              <w:spacing w:after="0" w:line="200" w:lineRule="exact"/>
              <w:rPr>
                <w:sz w:val="20"/>
                <w:szCs w:val="20"/>
                <w:color w:val="auto"/>
              </w:rPr>
            </w:pPr>
            <w:r>
              <w:rPr>
                <w:rFonts w:ascii="Arial" w:cs="Arial" w:eastAsia="Arial" w:hAnsi="Arial"/>
                <w:sz w:val="18"/>
                <w:szCs w:val="18"/>
                <w:color w:val="auto"/>
              </w:rPr>
              <w:t>Total commercial</w:t>
            </w: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jc w:val="right"/>
              <w:ind w:right="31"/>
              <w:spacing w:after="0" w:line="200" w:lineRule="exact"/>
              <w:rPr>
                <w:sz w:val="20"/>
                <w:szCs w:val="20"/>
                <w:color w:val="auto"/>
              </w:rPr>
            </w:pPr>
            <w:r>
              <w:rPr>
                <w:rFonts w:ascii="Arial" w:cs="Arial" w:eastAsia="Arial" w:hAnsi="Arial"/>
                <w:sz w:val="18"/>
                <w:szCs w:val="18"/>
                <w:color w:val="auto"/>
              </w:rPr>
              <w:t>11,887</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jc w:val="right"/>
              <w:ind w:right="31"/>
              <w:spacing w:after="0" w:line="200" w:lineRule="exact"/>
              <w:rPr>
                <w:sz w:val="20"/>
                <w:szCs w:val="20"/>
                <w:color w:val="auto"/>
              </w:rPr>
            </w:pPr>
            <w:r>
              <w:rPr>
                <w:rFonts w:ascii="Arial" w:cs="Arial" w:eastAsia="Arial" w:hAnsi="Arial"/>
                <w:sz w:val="18"/>
                <w:szCs w:val="18"/>
                <w:color w:val="auto"/>
              </w:rPr>
              <w:t>3,661</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jc w:val="right"/>
              <w:ind w:right="31"/>
              <w:spacing w:after="0" w:line="200" w:lineRule="exact"/>
              <w:rPr>
                <w:sz w:val="20"/>
                <w:szCs w:val="20"/>
                <w:color w:val="auto"/>
              </w:rPr>
            </w:pPr>
            <w:r>
              <w:rPr>
                <w:rFonts w:ascii="Arial" w:cs="Arial" w:eastAsia="Arial" w:hAnsi="Arial"/>
                <w:sz w:val="18"/>
                <w:szCs w:val="18"/>
                <w:color w:val="auto"/>
              </w:rPr>
              <w:t>12,833</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ind w:right="11"/>
              <w:spacing w:after="0" w:line="200" w:lineRule="exact"/>
              <w:rPr>
                <w:sz w:val="20"/>
                <w:szCs w:val="20"/>
                <w:color w:val="auto"/>
              </w:rPr>
            </w:pPr>
            <w:r>
              <w:rPr>
                <w:rFonts w:ascii="Arial" w:cs="Arial" w:eastAsia="Arial" w:hAnsi="Arial"/>
                <w:sz w:val="18"/>
                <w:szCs w:val="18"/>
                <w:color w:val="auto"/>
              </w:rPr>
              <w:t>28,381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jc w:val="right"/>
              <w:ind w:right="11"/>
              <w:spacing w:after="0" w:line="200" w:lineRule="exact"/>
              <w:rPr>
                <w:sz w:val="20"/>
                <w:szCs w:val="20"/>
                <w:color w:val="auto"/>
              </w:rPr>
            </w:pPr>
            <w:r>
              <w:rPr>
                <w:rFonts w:ascii="Arial" w:cs="Arial" w:eastAsia="Arial" w:hAnsi="Arial"/>
                <w:sz w:val="18"/>
                <w:szCs w:val="18"/>
                <w:color w:val="auto"/>
              </w:rPr>
              <w:t>2,397,999</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ind w:right="11"/>
              <w:spacing w:after="0" w:line="200" w:lineRule="exact"/>
              <w:rPr>
                <w:sz w:val="20"/>
                <w:szCs w:val="20"/>
                <w:color w:val="auto"/>
              </w:rPr>
            </w:pPr>
            <w:r>
              <w:rPr>
                <w:rFonts w:ascii="Arial" w:cs="Arial" w:eastAsia="Arial" w:hAnsi="Arial"/>
                <w:sz w:val="18"/>
                <w:szCs w:val="18"/>
                <w:color w:val="auto"/>
              </w:rPr>
              <w:t>2,426,380</w:t>
            </w:r>
          </w:p>
        </w:tc>
        <w:tc>
          <w:tcPr>
            <w:tcW w:w="0" w:type="dxa"/>
            <w:vAlign w:val="bottom"/>
          </w:tcPr>
          <w:p>
            <w:pPr>
              <w:spacing w:after="0"/>
              <w:rPr>
                <w:sz w:val="1"/>
                <w:szCs w:val="1"/>
                <w:color w:val="auto"/>
              </w:rPr>
            </w:pPr>
          </w:p>
        </w:tc>
      </w:tr>
      <w:tr>
        <w:trPr>
          <w:trHeight w:val="214"/>
        </w:trPr>
        <w:tc>
          <w:tcPr>
            <w:tcW w:w="2960" w:type="dxa"/>
            <w:vAlign w:val="bottom"/>
            <w:gridSpan w:val="3"/>
          </w:tcPr>
          <w:p>
            <w:pPr>
              <w:spacing w:after="0"/>
              <w:rPr>
                <w:sz w:val="20"/>
                <w:szCs w:val="20"/>
                <w:color w:val="auto"/>
              </w:rPr>
            </w:pPr>
            <w:r>
              <w:rPr>
                <w:rFonts w:ascii="Arial" w:cs="Arial" w:eastAsia="Arial" w:hAnsi="Arial"/>
                <w:sz w:val="18"/>
                <w:szCs w:val="18"/>
                <w:color w:val="auto"/>
              </w:rPr>
              <w:t>Residential mortgage</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12,292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2,426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4,848</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19,566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1,194,637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1,214,203</w:t>
            </w:r>
          </w:p>
        </w:tc>
        <w:tc>
          <w:tcPr>
            <w:tcW w:w="0" w:type="dxa"/>
            <w:vAlign w:val="bottom"/>
          </w:tcPr>
          <w:p>
            <w:pPr>
              <w:spacing w:after="0"/>
              <w:rPr>
                <w:sz w:val="1"/>
                <w:szCs w:val="1"/>
                <w:color w:val="auto"/>
              </w:rPr>
            </w:pPr>
          </w:p>
        </w:tc>
      </w:tr>
      <w:tr>
        <w:trPr>
          <w:trHeight w:val="214"/>
        </w:trPr>
        <w:tc>
          <w:tcPr>
            <w:tcW w:w="2960" w:type="dxa"/>
            <w:vAlign w:val="bottom"/>
            <w:gridSpan w:val="3"/>
          </w:tcPr>
          <w:p>
            <w:pPr>
              <w:spacing w:after="0"/>
              <w:rPr>
                <w:sz w:val="20"/>
                <w:szCs w:val="20"/>
                <w:color w:val="auto"/>
              </w:rPr>
            </w:pPr>
            <w:r>
              <w:rPr>
                <w:rFonts w:ascii="Arial" w:cs="Arial" w:eastAsia="Arial" w:hAnsi="Arial"/>
                <w:sz w:val="18"/>
                <w:szCs w:val="18"/>
                <w:color w:val="auto"/>
              </w:rPr>
              <w:t>Residential construction</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2,233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1,934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5,159</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9,326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372,351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381,677</w:t>
            </w:r>
          </w:p>
        </w:tc>
        <w:tc>
          <w:tcPr>
            <w:tcW w:w="0" w:type="dxa"/>
            <w:vAlign w:val="bottom"/>
          </w:tcPr>
          <w:p>
            <w:pPr>
              <w:spacing w:after="0"/>
              <w:rPr>
                <w:sz w:val="1"/>
                <w:szCs w:val="1"/>
                <w:color w:val="auto"/>
              </w:rPr>
            </w:pPr>
          </w:p>
        </w:tc>
      </w:tr>
      <w:tr>
        <w:trPr>
          <w:trHeight w:val="235"/>
        </w:trPr>
        <w:tc>
          <w:tcPr>
            <w:tcW w:w="2960" w:type="dxa"/>
            <w:vAlign w:val="bottom"/>
            <w:gridSpan w:val="3"/>
          </w:tcPr>
          <w:p>
            <w:pPr>
              <w:spacing w:after="0"/>
              <w:rPr>
                <w:sz w:val="20"/>
                <w:szCs w:val="20"/>
                <w:color w:val="auto"/>
              </w:rPr>
            </w:pPr>
            <w:r>
              <w:rPr>
                <w:rFonts w:ascii="Arial" w:cs="Arial" w:eastAsia="Arial" w:hAnsi="Arial"/>
                <w:sz w:val="18"/>
                <w:szCs w:val="18"/>
                <w:color w:val="auto"/>
              </w:rPr>
              <w:t>Consumer installment</w:t>
            </w:r>
          </w:p>
        </w:tc>
        <w:tc>
          <w:tcPr>
            <w:tcW w:w="3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1,320</w:t>
            </w: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245</w:t>
            </w: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289</w:t>
            </w: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1,854</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150,894</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152,748</w:t>
            </w:r>
          </w:p>
        </w:tc>
        <w:tc>
          <w:tcPr>
            <w:tcW w:w="0" w:type="dxa"/>
            <w:vAlign w:val="bottom"/>
          </w:tcPr>
          <w:p>
            <w:pPr>
              <w:spacing w:after="0"/>
              <w:rPr>
                <w:sz w:val="1"/>
                <w:szCs w:val="1"/>
                <w:color w:val="auto"/>
              </w:rPr>
            </w:pPr>
          </w:p>
        </w:tc>
      </w:tr>
      <w:tr>
        <w:trPr>
          <w:trHeight w:val="214"/>
        </w:trPr>
        <w:tc>
          <w:tcPr>
            <w:tcW w:w="2960" w:type="dxa"/>
            <w:vAlign w:val="bottom"/>
            <w:gridSpan w:val="3"/>
          </w:tcPr>
          <w:p>
            <w:pPr>
              <w:ind w:left="140"/>
              <w:spacing w:after="0"/>
              <w:rPr>
                <w:sz w:val="20"/>
                <w:szCs w:val="20"/>
                <w:color w:val="auto"/>
              </w:rPr>
            </w:pPr>
            <w:r>
              <w:rPr>
                <w:rFonts w:ascii="Arial" w:cs="Arial" w:eastAsia="Arial" w:hAnsi="Arial"/>
                <w:sz w:val="18"/>
                <w:szCs w:val="18"/>
                <w:color w:val="auto"/>
              </w:rPr>
              <w:t>Total loans</w:t>
            </w:r>
          </w:p>
        </w:tc>
        <w:tc>
          <w:tcPr>
            <w:tcW w:w="36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27,732</w:t>
            </w:r>
          </w:p>
        </w:tc>
        <w:tc>
          <w:tcPr>
            <w:tcW w:w="1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8,266</w:t>
            </w:r>
          </w:p>
        </w:tc>
        <w:tc>
          <w:tcPr>
            <w:tcW w:w="1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23,129</w:t>
            </w:r>
          </w:p>
        </w:tc>
        <w:tc>
          <w:tcPr>
            <w:tcW w:w="120" w:type="dxa"/>
            <w:vAlign w:val="bottom"/>
          </w:tcPr>
          <w:p>
            <w:pPr>
              <w:spacing w:after="0"/>
              <w:rPr>
                <w:sz w:val="18"/>
                <w:szCs w:val="18"/>
                <w:color w:val="auto"/>
              </w:rPr>
            </w:pPr>
          </w:p>
        </w:tc>
        <w:tc>
          <w:tcPr>
            <w:tcW w:w="24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59,127</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4,115,881</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4,175,008</w:t>
            </w:r>
          </w:p>
        </w:tc>
        <w:tc>
          <w:tcPr>
            <w:tcW w:w="0" w:type="dxa"/>
            <w:vAlign w:val="bottom"/>
          </w:tcPr>
          <w:p>
            <w:pPr>
              <w:spacing w:after="0"/>
              <w:rPr>
                <w:sz w:val="1"/>
                <w:szCs w:val="1"/>
                <w:color w:val="auto"/>
              </w:rPr>
            </w:pPr>
          </w:p>
        </w:tc>
      </w:tr>
      <w:tr>
        <w:trPr>
          <w:trHeight w:val="20"/>
        </w:trPr>
        <w:tc>
          <w:tcPr>
            <w:tcW w:w="296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As of June 30, 2012</w:t>
            </w:r>
          </w:p>
        </w:tc>
        <w:tc>
          <w:tcPr>
            <w:tcW w:w="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09"/>
        </w:trPr>
        <w:tc>
          <w:tcPr>
            <w:tcW w:w="2960" w:type="dxa"/>
            <w:vAlign w:val="bottom"/>
            <w:gridSpan w:val="3"/>
            <w:vMerge w:val="continue"/>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480" w:type="dxa"/>
            <w:vAlign w:val="bottom"/>
            <w:shd w:val="clear" w:color="auto" w:fill="000000"/>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2960" w:type="dxa"/>
            <w:vAlign w:val="bottom"/>
            <w:gridSpan w:val="3"/>
          </w:tcPr>
          <w:p>
            <w:pPr>
              <w:spacing w:after="0"/>
              <w:rPr>
                <w:sz w:val="20"/>
                <w:szCs w:val="20"/>
                <w:color w:val="auto"/>
              </w:rPr>
            </w:pPr>
            <w:r>
              <w:rPr>
                <w:rFonts w:ascii="Arial" w:cs="Arial" w:eastAsia="Arial" w:hAnsi="Arial"/>
                <w:sz w:val="18"/>
                <w:szCs w:val="18"/>
                <w:color w:val="auto"/>
              </w:rPr>
              <w:t>Commercial (secured by real estate)</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7,053</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1,342</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11,996</w:t>
            </w:r>
          </w:p>
        </w:tc>
        <w:tc>
          <w:tcPr>
            <w:tcW w:w="360" w:type="dxa"/>
            <w:vAlign w:val="bottom"/>
            <w:gridSpan w:val="2"/>
          </w:tcPr>
          <w:p>
            <w:pPr>
              <w:jc w:val="right"/>
              <w:ind w:right="51"/>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20,391</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1,816,086</w:t>
            </w:r>
          </w:p>
        </w:tc>
        <w:tc>
          <w:tcPr>
            <w:tcW w:w="340" w:type="dxa"/>
            <w:vAlign w:val="bottom"/>
            <w:gridSpan w:val="2"/>
          </w:tcPr>
          <w:p>
            <w:pPr>
              <w:jc w:val="right"/>
              <w:ind w:right="51"/>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1,836,477</w:t>
            </w:r>
          </w:p>
        </w:tc>
        <w:tc>
          <w:tcPr>
            <w:tcW w:w="0" w:type="dxa"/>
            <w:vAlign w:val="bottom"/>
          </w:tcPr>
          <w:p>
            <w:pPr>
              <w:spacing w:after="0"/>
              <w:rPr>
                <w:sz w:val="1"/>
                <w:szCs w:val="1"/>
                <w:color w:val="auto"/>
              </w:rPr>
            </w:pPr>
          </w:p>
        </w:tc>
      </w:tr>
      <w:tr>
        <w:trPr>
          <w:trHeight w:val="214"/>
        </w:trPr>
        <w:tc>
          <w:tcPr>
            <w:tcW w:w="2960" w:type="dxa"/>
            <w:vAlign w:val="bottom"/>
            <w:gridSpan w:val="3"/>
          </w:tcPr>
          <w:p>
            <w:pPr>
              <w:spacing w:after="0"/>
              <w:rPr>
                <w:sz w:val="20"/>
                <w:szCs w:val="20"/>
                <w:color w:val="auto"/>
              </w:rPr>
            </w:pPr>
            <w:r>
              <w:rPr>
                <w:rFonts w:ascii="Arial" w:cs="Arial" w:eastAsia="Arial" w:hAnsi="Arial"/>
                <w:sz w:val="18"/>
                <w:szCs w:val="18"/>
                <w:color w:val="auto"/>
              </w:rPr>
              <w:t>Commercial &amp; industrial</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663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1,496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389</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2,548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447,674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450,222</w:t>
            </w:r>
          </w:p>
        </w:tc>
        <w:tc>
          <w:tcPr>
            <w:tcW w:w="0" w:type="dxa"/>
            <w:vAlign w:val="bottom"/>
          </w:tcPr>
          <w:p>
            <w:pPr>
              <w:spacing w:after="0"/>
              <w:rPr>
                <w:sz w:val="1"/>
                <w:szCs w:val="1"/>
                <w:color w:val="auto"/>
              </w:rPr>
            </w:pPr>
          </w:p>
        </w:tc>
      </w:tr>
      <w:tr>
        <w:trPr>
          <w:trHeight w:val="235"/>
        </w:trPr>
        <w:tc>
          <w:tcPr>
            <w:tcW w:w="2960" w:type="dxa"/>
            <w:vAlign w:val="bottom"/>
            <w:gridSpan w:val="3"/>
          </w:tcPr>
          <w:p>
            <w:pPr>
              <w:spacing w:after="0"/>
              <w:rPr>
                <w:sz w:val="20"/>
                <w:szCs w:val="20"/>
                <w:color w:val="auto"/>
              </w:rPr>
            </w:pPr>
            <w:r>
              <w:rPr>
                <w:rFonts w:ascii="Arial" w:cs="Arial" w:eastAsia="Arial" w:hAnsi="Arial"/>
                <w:sz w:val="18"/>
                <w:szCs w:val="18"/>
                <w:color w:val="auto"/>
              </w:rPr>
              <w:t>Commercial construction</w:t>
            </w:r>
          </w:p>
        </w:tc>
        <w:tc>
          <w:tcPr>
            <w:tcW w:w="3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3,555</w:t>
            </w: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133</w:t>
            </w: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950</w:t>
            </w: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4,638</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164,700</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169,338</w:t>
            </w:r>
          </w:p>
        </w:tc>
        <w:tc>
          <w:tcPr>
            <w:tcW w:w="0" w:type="dxa"/>
            <w:vAlign w:val="bottom"/>
          </w:tcPr>
          <w:p>
            <w:pPr>
              <w:spacing w:after="0"/>
              <w:rPr>
                <w:sz w:val="1"/>
                <w:szCs w:val="1"/>
                <w:color w:val="auto"/>
              </w:rPr>
            </w:pPr>
          </w:p>
        </w:tc>
      </w:tr>
      <w:tr>
        <w:trPr>
          <w:trHeight w:val="200"/>
        </w:trPr>
        <w:tc>
          <w:tcPr>
            <w:tcW w:w="2960" w:type="dxa"/>
            <w:vAlign w:val="bottom"/>
            <w:gridSpan w:val="3"/>
          </w:tcPr>
          <w:p>
            <w:pPr>
              <w:ind w:left="220"/>
              <w:spacing w:after="0" w:line="200" w:lineRule="exact"/>
              <w:rPr>
                <w:sz w:val="20"/>
                <w:szCs w:val="20"/>
                <w:color w:val="auto"/>
              </w:rPr>
            </w:pPr>
            <w:r>
              <w:rPr>
                <w:rFonts w:ascii="Arial" w:cs="Arial" w:eastAsia="Arial" w:hAnsi="Arial"/>
                <w:sz w:val="18"/>
                <w:szCs w:val="18"/>
                <w:color w:val="auto"/>
              </w:rPr>
              <w:t>Total commercial</w:t>
            </w: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jc w:val="right"/>
              <w:ind w:right="31"/>
              <w:spacing w:after="0" w:line="200" w:lineRule="exact"/>
              <w:rPr>
                <w:sz w:val="20"/>
                <w:szCs w:val="20"/>
                <w:color w:val="auto"/>
              </w:rPr>
            </w:pPr>
            <w:r>
              <w:rPr>
                <w:rFonts w:ascii="Arial" w:cs="Arial" w:eastAsia="Arial" w:hAnsi="Arial"/>
                <w:sz w:val="18"/>
                <w:szCs w:val="18"/>
                <w:color w:val="auto"/>
              </w:rPr>
              <w:t>11,271</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jc w:val="right"/>
              <w:ind w:right="31"/>
              <w:spacing w:after="0" w:line="200" w:lineRule="exact"/>
              <w:rPr>
                <w:sz w:val="20"/>
                <w:szCs w:val="20"/>
                <w:color w:val="auto"/>
              </w:rPr>
            </w:pPr>
            <w:r>
              <w:rPr>
                <w:rFonts w:ascii="Arial" w:cs="Arial" w:eastAsia="Arial" w:hAnsi="Arial"/>
                <w:sz w:val="18"/>
                <w:szCs w:val="18"/>
                <w:color w:val="auto"/>
              </w:rPr>
              <w:t>2,971</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jc w:val="right"/>
              <w:ind w:right="31"/>
              <w:spacing w:after="0" w:line="200" w:lineRule="exact"/>
              <w:rPr>
                <w:sz w:val="20"/>
                <w:szCs w:val="20"/>
                <w:color w:val="auto"/>
              </w:rPr>
            </w:pPr>
            <w:r>
              <w:rPr>
                <w:rFonts w:ascii="Arial" w:cs="Arial" w:eastAsia="Arial" w:hAnsi="Arial"/>
                <w:sz w:val="18"/>
                <w:szCs w:val="18"/>
                <w:color w:val="auto"/>
              </w:rPr>
              <w:t>13,335</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ind w:right="11"/>
              <w:spacing w:after="0" w:line="200" w:lineRule="exact"/>
              <w:rPr>
                <w:sz w:val="20"/>
                <w:szCs w:val="20"/>
                <w:color w:val="auto"/>
              </w:rPr>
            </w:pPr>
            <w:r>
              <w:rPr>
                <w:rFonts w:ascii="Arial" w:cs="Arial" w:eastAsia="Arial" w:hAnsi="Arial"/>
                <w:sz w:val="18"/>
                <w:szCs w:val="18"/>
                <w:color w:val="auto"/>
              </w:rPr>
              <w:t>27,577</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jc w:val="right"/>
              <w:ind w:right="11"/>
              <w:spacing w:after="0" w:line="200" w:lineRule="exact"/>
              <w:rPr>
                <w:sz w:val="20"/>
                <w:szCs w:val="20"/>
                <w:color w:val="auto"/>
              </w:rPr>
            </w:pPr>
            <w:r>
              <w:rPr>
                <w:rFonts w:ascii="Arial" w:cs="Arial" w:eastAsia="Arial" w:hAnsi="Arial"/>
                <w:sz w:val="18"/>
                <w:szCs w:val="18"/>
                <w:color w:val="auto"/>
              </w:rPr>
              <w:t>2,428,460</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ind w:right="11"/>
              <w:spacing w:after="0" w:line="200" w:lineRule="exact"/>
              <w:rPr>
                <w:sz w:val="20"/>
                <w:szCs w:val="20"/>
                <w:color w:val="auto"/>
              </w:rPr>
            </w:pPr>
            <w:r>
              <w:rPr>
                <w:rFonts w:ascii="Arial" w:cs="Arial" w:eastAsia="Arial" w:hAnsi="Arial"/>
                <w:sz w:val="18"/>
                <w:szCs w:val="18"/>
                <w:color w:val="auto"/>
              </w:rPr>
              <w:t>2,456,037</w:t>
            </w:r>
          </w:p>
        </w:tc>
        <w:tc>
          <w:tcPr>
            <w:tcW w:w="0" w:type="dxa"/>
            <w:vAlign w:val="bottom"/>
          </w:tcPr>
          <w:p>
            <w:pPr>
              <w:spacing w:after="0"/>
              <w:rPr>
                <w:sz w:val="1"/>
                <w:szCs w:val="1"/>
                <w:color w:val="auto"/>
              </w:rPr>
            </w:pPr>
          </w:p>
        </w:tc>
      </w:tr>
      <w:tr>
        <w:trPr>
          <w:trHeight w:val="214"/>
        </w:trPr>
        <w:tc>
          <w:tcPr>
            <w:tcW w:w="2960" w:type="dxa"/>
            <w:vAlign w:val="bottom"/>
            <w:gridSpan w:val="3"/>
          </w:tcPr>
          <w:p>
            <w:pPr>
              <w:spacing w:after="0"/>
              <w:rPr>
                <w:sz w:val="20"/>
                <w:szCs w:val="20"/>
                <w:color w:val="auto"/>
              </w:rPr>
            </w:pPr>
            <w:r>
              <w:rPr>
                <w:rFonts w:ascii="Arial" w:cs="Arial" w:eastAsia="Arial" w:hAnsi="Arial"/>
                <w:sz w:val="18"/>
                <w:szCs w:val="18"/>
                <w:color w:val="auto"/>
              </w:rPr>
              <w:t>Residential mortgage</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12,636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2,980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6,756</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22,372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1,105,964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1,128,336</w:t>
            </w:r>
          </w:p>
        </w:tc>
        <w:tc>
          <w:tcPr>
            <w:tcW w:w="0" w:type="dxa"/>
            <w:vAlign w:val="bottom"/>
          </w:tcPr>
          <w:p>
            <w:pPr>
              <w:spacing w:after="0"/>
              <w:rPr>
                <w:sz w:val="1"/>
                <w:szCs w:val="1"/>
                <w:color w:val="auto"/>
              </w:rPr>
            </w:pPr>
          </w:p>
        </w:tc>
      </w:tr>
      <w:tr>
        <w:trPr>
          <w:trHeight w:val="214"/>
        </w:trPr>
        <w:tc>
          <w:tcPr>
            <w:tcW w:w="2960" w:type="dxa"/>
            <w:vAlign w:val="bottom"/>
            <w:gridSpan w:val="3"/>
          </w:tcPr>
          <w:p>
            <w:pPr>
              <w:spacing w:after="0"/>
              <w:rPr>
                <w:sz w:val="20"/>
                <w:szCs w:val="20"/>
                <w:color w:val="auto"/>
              </w:rPr>
            </w:pPr>
            <w:r>
              <w:rPr>
                <w:rFonts w:ascii="Arial" w:cs="Arial" w:eastAsia="Arial" w:hAnsi="Arial"/>
                <w:sz w:val="18"/>
                <w:szCs w:val="18"/>
                <w:color w:val="auto"/>
              </w:rPr>
              <w:t>Residential construction</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4,781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1,189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11,096</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17,066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391,900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408,966</w:t>
            </w:r>
          </w:p>
        </w:tc>
        <w:tc>
          <w:tcPr>
            <w:tcW w:w="0" w:type="dxa"/>
            <w:vAlign w:val="bottom"/>
          </w:tcPr>
          <w:p>
            <w:pPr>
              <w:spacing w:after="0"/>
              <w:rPr>
                <w:sz w:val="1"/>
                <w:szCs w:val="1"/>
                <w:color w:val="auto"/>
              </w:rPr>
            </w:pPr>
          </w:p>
        </w:tc>
      </w:tr>
      <w:tr>
        <w:trPr>
          <w:trHeight w:val="235"/>
        </w:trPr>
        <w:tc>
          <w:tcPr>
            <w:tcW w:w="2960" w:type="dxa"/>
            <w:vAlign w:val="bottom"/>
            <w:gridSpan w:val="3"/>
          </w:tcPr>
          <w:p>
            <w:pPr>
              <w:spacing w:after="0"/>
              <w:rPr>
                <w:sz w:val="20"/>
                <w:szCs w:val="20"/>
                <w:color w:val="auto"/>
              </w:rPr>
            </w:pPr>
            <w:r>
              <w:rPr>
                <w:rFonts w:ascii="Arial" w:cs="Arial" w:eastAsia="Arial" w:hAnsi="Arial"/>
                <w:sz w:val="18"/>
                <w:szCs w:val="18"/>
                <w:color w:val="auto"/>
              </w:rPr>
              <w:t>Consumer installment</w:t>
            </w:r>
          </w:p>
        </w:tc>
        <w:tc>
          <w:tcPr>
            <w:tcW w:w="3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971</w:t>
            </w: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325</w:t>
            </w: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398</w:t>
            </w: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1,694</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124,202</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125,896</w:t>
            </w:r>
          </w:p>
        </w:tc>
        <w:tc>
          <w:tcPr>
            <w:tcW w:w="0" w:type="dxa"/>
            <w:vAlign w:val="bottom"/>
          </w:tcPr>
          <w:p>
            <w:pPr>
              <w:spacing w:after="0"/>
              <w:rPr>
                <w:sz w:val="1"/>
                <w:szCs w:val="1"/>
                <w:color w:val="auto"/>
              </w:rPr>
            </w:pPr>
          </w:p>
        </w:tc>
      </w:tr>
      <w:tr>
        <w:trPr>
          <w:trHeight w:val="214"/>
        </w:trPr>
        <w:tc>
          <w:tcPr>
            <w:tcW w:w="2960" w:type="dxa"/>
            <w:vAlign w:val="bottom"/>
            <w:gridSpan w:val="3"/>
          </w:tcPr>
          <w:p>
            <w:pPr>
              <w:ind w:left="140"/>
              <w:spacing w:after="0"/>
              <w:rPr>
                <w:sz w:val="20"/>
                <w:szCs w:val="20"/>
                <w:color w:val="auto"/>
              </w:rPr>
            </w:pPr>
            <w:r>
              <w:rPr>
                <w:rFonts w:ascii="Arial" w:cs="Arial" w:eastAsia="Arial" w:hAnsi="Arial"/>
                <w:sz w:val="18"/>
                <w:szCs w:val="18"/>
                <w:color w:val="auto"/>
              </w:rPr>
              <w:t>Total loans</w:t>
            </w:r>
          </w:p>
        </w:tc>
        <w:tc>
          <w:tcPr>
            <w:tcW w:w="36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29,659</w:t>
            </w:r>
          </w:p>
        </w:tc>
        <w:tc>
          <w:tcPr>
            <w:tcW w:w="1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7,465</w:t>
            </w:r>
          </w:p>
        </w:tc>
        <w:tc>
          <w:tcPr>
            <w:tcW w:w="1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31,585</w:t>
            </w:r>
          </w:p>
        </w:tc>
        <w:tc>
          <w:tcPr>
            <w:tcW w:w="120" w:type="dxa"/>
            <w:vAlign w:val="bottom"/>
          </w:tcPr>
          <w:p>
            <w:pPr>
              <w:spacing w:after="0"/>
              <w:rPr>
                <w:sz w:val="18"/>
                <w:szCs w:val="18"/>
                <w:color w:val="auto"/>
              </w:rPr>
            </w:pPr>
          </w:p>
        </w:tc>
        <w:tc>
          <w:tcPr>
            <w:tcW w:w="24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68,709</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4,050,526</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4,119,235</w:t>
            </w:r>
          </w:p>
        </w:tc>
        <w:tc>
          <w:tcPr>
            <w:tcW w:w="0" w:type="dxa"/>
            <w:vAlign w:val="bottom"/>
          </w:tcPr>
          <w:p>
            <w:pPr>
              <w:spacing w:after="0"/>
              <w:rPr>
                <w:sz w:val="1"/>
                <w:szCs w:val="1"/>
                <w:color w:val="auto"/>
              </w:rPr>
            </w:pPr>
          </w:p>
        </w:tc>
      </w:tr>
      <w:tr>
        <w:trPr>
          <w:trHeight w:val="20"/>
        </w:trPr>
        <w:tc>
          <w:tcPr>
            <w:tcW w:w="14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1"/>
        </w:trPr>
        <w:tc>
          <w:tcPr>
            <w:tcW w:w="1480" w:type="dxa"/>
            <w:vAlign w:val="bottom"/>
            <w:tcBorders>
              <w:bottom w:val="single" w:sz="8" w:color="DCDCDC"/>
            </w:tcBorders>
          </w:tcPr>
          <w:p>
            <w:pPr>
              <w:spacing w:after="0"/>
              <w:rPr>
                <w:sz w:val="24"/>
                <w:szCs w:val="24"/>
                <w:color w:val="auto"/>
              </w:rPr>
            </w:pPr>
          </w:p>
        </w:tc>
        <w:tc>
          <w:tcPr>
            <w:tcW w:w="400" w:type="dxa"/>
            <w:vAlign w:val="bottom"/>
            <w:tcBorders>
              <w:bottom w:val="single" w:sz="8" w:color="DCDCDC"/>
            </w:tcBorders>
          </w:tcPr>
          <w:p>
            <w:pPr>
              <w:spacing w:after="0"/>
              <w:rPr>
                <w:sz w:val="24"/>
                <w:szCs w:val="24"/>
                <w:color w:val="auto"/>
              </w:rPr>
            </w:pPr>
          </w:p>
        </w:tc>
        <w:tc>
          <w:tcPr>
            <w:tcW w:w="1080" w:type="dxa"/>
            <w:vAlign w:val="bottom"/>
            <w:tcBorders>
              <w:bottom w:val="single" w:sz="8" w:color="DCDCDC"/>
            </w:tcBorders>
          </w:tcPr>
          <w:p>
            <w:pPr>
              <w:spacing w:after="0"/>
              <w:rPr>
                <w:sz w:val="24"/>
                <w:szCs w:val="24"/>
                <w:color w:val="auto"/>
              </w:rPr>
            </w:pPr>
          </w:p>
        </w:tc>
        <w:tc>
          <w:tcPr>
            <w:tcW w:w="360" w:type="dxa"/>
            <w:vAlign w:val="bottom"/>
            <w:tcBorders>
              <w:bottom w:val="single" w:sz="8" w:color="DCDCDC"/>
            </w:tcBorders>
          </w:tcPr>
          <w:p>
            <w:pPr>
              <w:spacing w:after="0"/>
              <w:rPr>
                <w:sz w:val="24"/>
                <w:szCs w:val="24"/>
                <w:color w:val="auto"/>
              </w:rPr>
            </w:pPr>
          </w:p>
        </w:tc>
        <w:tc>
          <w:tcPr>
            <w:tcW w:w="120" w:type="dxa"/>
            <w:vAlign w:val="bottom"/>
            <w:tcBorders>
              <w:bottom w:val="single" w:sz="8" w:color="DCDCDC"/>
            </w:tcBorders>
          </w:tcPr>
          <w:p>
            <w:pPr>
              <w:spacing w:after="0"/>
              <w:rPr>
                <w:sz w:val="24"/>
                <w:szCs w:val="24"/>
                <w:color w:val="auto"/>
              </w:rPr>
            </w:pPr>
          </w:p>
        </w:tc>
        <w:tc>
          <w:tcPr>
            <w:tcW w:w="1160" w:type="dxa"/>
            <w:vAlign w:val="bottom"/>
            <w:tcBorders>
              <w:bottom w:val="single" w:sz="8" w:color="DCDCDC"/>
            </w:tcBorders>
          </w:tcPr>
          <w:p>
            <w:pPr>
              <w:spacing w:after="0"/>
              <w:rPr>
                <w:sz w:val="24"/>
                <w:szCs w:val="24"/>
                <w:color w:val="auto"/>
              </w:rPr>
            </w:pPr>
          </w:p>
        </w:tc>
        <w:tc>
          <w:tcPr>
            <w:tcW w:w="120" w:type="dxa"/>
            <w:vAlign w:val="bottom"/>
            <w:tcBorders>
              <w:bottom w:val="single" w:sz="8" w:color="DCDCDC"/>
            </w:tcBorders>
          </w:tcPr>
          <w:p>
            <w:pPr>
              <w:spacing w:after="0"/>
              <w:rPr>
                <w:sz w:val="24"/>
                <w:szCs w:val="24"/>
                <w:color w:val="auto"/>
              </w:rPr>
            </w:pPr>
          </w:p>
        </w:tc>
        <w:tc>
          <w:tcPr>
            <w:tcW w:w="100" w:type="dxa"/>
            <w:vAlign w:val="bottom"/>
            <w:tcBorders>
              <w:bottom w:val="single" w:sz="8" w:color="DCDCDC"/>
            </w:tcBorders>
          </w:tcPr>
          <w:p>
            <w:pPr>
              <w:spacing w:after="0"/>
              <w:rPr>
                <w:sz w:val="24"/>
                <w:szCs w:val="24"/>
                <w:color w:val="auto"/>
              </w:rPr>
            </w:pPr>
          </w:p>
        </w:tc>
        <w:tc>
          <w:tcPr>
            <w:tcW w:w="1180" w:type="dxa"/>
            <w:vAlign w:val="bottom"/>
            <w:tcBorders>
              <w:bottom w:val="single" w:sz="8" w:color="DCDCDC"/>
            </w:tcBorders>
          </w:tcPr>
          <w:p>
            <w:pPr>
              <w:jc w:val="right"/>
              <w:ind w:right="111"/>
              <w:spacing w:after="0"/>
              <w:rPr>
                <w:sz w:val="20"/>
                <w:szCs w:val="20"/>
                <w:color w:val="auto"/>
              </w:rPr>
            </w:pPr>
            <w:r>
              <w:rPr>
                <w:rFonts w:ascii="Arial" w:cs="Arial" w:eastAsia="Arial" w:hAnsi="Arial"/>
                <w:sz w:val="18"/>
                <w:szCs w:val="18"/>
                <w:color w:val="auto"/>
              </w:rPr>
              <w:t>18</w:t>
            </w:r>
          </w:p>
        </w:tc>
        <w:tc>
          <w:tcPr>
            <w:tcW w:w="120" w:type="dxa"/>
            <w:vAlign w:val="bottom"/>
            <w:tcBorders>
              <w:bottom w:val="single" w:sz="8" w:color="DCDCDC"/>
            </w:tcBorders>
          </w:tcPr>
          <w:p>
            <w:pPr>
              <w:spacing w:after="0"/>
              <w:rPr>
                <w:sz w:val="24"/>
                <w:szCs w:val="24"/>
                <w:color w:val="auto"/>
              </w:rPr>
            </w:pPr>
          </w:p>
        </w:tc>
        <w:tc>
          <w:tcPr>
            <w:tcW w:w="140" w:type="dxa"/>
            <w:vAlign w:val="bottom"/>
            <w:tcBorders>
              <w:bottom w:val="single" w:sz="8" w:color="DCDCDC"/>
            </w:tcBorders>
          </w:tcPr>
          <w:p>
            <w:pPr>
              <w:spacing w:after="0"/>
              <w:rPr>
                <w:sz w:val="24"/>
                <w:szCs w:val="24"/>
                <w:color w:val="auto"/>
              </w:rPr>
            </w:pPr>
          </w:p>
        </w:tc>
        <w:tc>
          <w:tcPr>
            <w:tcW w:w="1120" w:type="dxa"/>
            <w:vAlign w:val="bottom"/>
            <w:tcBorders>
              <w:bottom w:val="single" w:sz="8" w:color="DCDCDC"/>
            </w:tcBorders>
          </w:tcPr>
          <w:p>
            <w:pPr>
              <w:spacing w:after="0"/>
              <w:rPr>
                <w:sz w:val="24"/>
                <w:szCs w:val="24"/>
                <w:color w:val="auto"/>
              </w:rPr>
            </w:pPr>
          </w:p>
        </w:tc>
        <w:tc>
          <w:tcPr>
            <w:tcW w:w="120" w:type="dxa"/>
            <w:vAlign w:val="bottom"/>
            <w:tcBorders>
              <w:bottom w:val="single" w:sz="8" w:color="DCDCDC"/>
            </w:tcBorders>
          </w:tcPr>
          <w:p>
            <w:pPr>
              <w:spacing w:after="0"/>
              <w:rPr>
                <w:sz w:val="24"/>
                <w:szCs w:val="24"/>
                <w:color w:val="auto"/>
              </w:rPr>
            </w:pPr>
          </w:p>
        </w:tc>
        <w:tc>
          <w:tcPr>
            <w:tcW w:w="240" w:type="dxa"/>
            <w:vAlign w:val="bottom"/>
            <w:tcBorders>
              <w:bottom w:val="single" w:sz="8" w:color="DCDCDC"/>
            </w:tcBorders>
          </w:tcPr>
          <w:p>
            <w:pPr>
              <w:spacing w:after="0"/>
              <w:rPr>
                <w:sz w:val="24"/>
                <w:szCs w:val="24"/>
                <w:color w:val="auto"/>
              </w:rPr>
            </w:pPr>
          </w:p>
        </w:tc>
        <w:tc>
          <w:tcPr>
            <w:tcW w:w="1000" w:type="dxa"/>
            <w:vAlign w:val="bottom"/>
            <w:tcBorders>
              <w:bottom w:val="single" w:sz="8" w:color="DCDCDC"/>
            </w:tcBorders>
          </w:tcPr>
          <w:p>
            <w:pPr>
              <w:spacing w:after="0"/>
              <w:rPr>
                <w:sz w:val="24"/>
                <w:szCs w:val="24"/>
                <w:color w:val="auto"/>
              </w:rPr>
            </w:pPr>
          </w:p>
        </w:tc>
        <w:tc>
          <w:tcPr>
            <w:tcW w:w="100" w:type="dxa"/>
            <w:vAlign w:val="bottom"/>
            <w:tcBorders>
              <w:bottom w:val="single" w:sz="8" w:color="DCDCDC"/>
            </w:tcBorders>
          </w:tcPr>
          <w:p>
            <w:pPr>
              <w:spacing w:after="0"/>
              <w:rPr>
                <w:sz w:val="24"/>
                <w:szCs w:val="24"/>
                <w:color w:val="auto"/>
              </w:rPr>
            </w:pPr>
          </w:p>
        </w:tc>
        <w:tc>
          <w:tcPr>
            <w:tcW w:w="140" w:type="dxa"/>
            <w:vAlign w:val="bottom"/>
            <w:tcBorders>
              <w:bottom w:val="single" w:sz="8" w:color="DCDCDC"/>
            </w:tcBorders>
          </w:tcPr>
          <w:p>
            <w:pPr>
              <w:spacing w:after="0"/>
              <w:rPr>
                <w:sz w:val="24"/>
                <w:szCs w:val="24"/>
                <w:color w:val="auto"/>
              </w:rPr>
            </w:pPr>
          </w:p>
        </w:tc>
        <w:tc>
          <w:tcPr>
            <w:tcW w:w="1100" w:type="dxa"/>
            <w:vAlign w:val="bottom"/>
            <w:tcBorders>
              <w:bottom w:val="single" w:sz="8" w:color="DCDCDC"/>
            </w:tcBorders>
          </w:tcPr>
          <w:p>
            <w:pPr>
              <w:spacing w:after="0"/>
              <w:rPr>
                <w:sz w:val="24"/>
                <w:szCs w:val="24"/>
                <w:color w:val="auto"/>
              </w:rPr>
            </w:pPr>
          </w:p>
        </w:tc>
        <w:tc>
          <w:tcPr>
            <w:tcW w:w="100" w:type="dxa"/>
            <w:vAlign w:val="bottom"/>
            <w:tcBorders>
              <w:bottom w:val="single" w:sz="8" w:color="DCDCDC"/>
            </w:tcBorders>
          </w:tcPr>
          <w:p>
            <w:pPr>
              <w:spacing w:after="0"/>
              <w:rPr>
                <w:sz w:val="24"/>
                <w:szCs w:val="24"/>
                <w:color w:val="auto"/>
              </w:rPr>
            </w:pPr>
          </w:p>
        </w:tc>
        <w:tc>
          <w:tcPr>
            <w:tcW w:w="240" w:type="dxa"/>
            <w:vAlign w:val="bottom"/>
            <w:tcBorders>
              <w:bottom w:val="single" w:sz="8" w:color="DCDCDC"/>
            </w:tcBorders>
          </w:tcPr>
          <w:p>
            <w:pPr>
              <w:spacing w:after="0"/>
              <w:rPr>
                <w:sz w:val="24"/>
                <w:szCs w:val="24"/>
                <w:color w:val="auto"/>
              </w:rPr>
            </w:pPr>
          </w:p>
        </w:tc>
        <w:tc>
          <w:tcPr>
            <w:tcW w:w="1000" w:type="dxa"/>
            <w:vAlign w:val="bottom"/>
            <w:tcBorders>
              <w:bottom w:val="single" w:sz="8" w:color="DCDCDC"/>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11" w:right="239" w:bottom="1440" w:gutter="0" w:footer="0" w:header="0"/>
        </w:sectPr>
      </w:pPr>
    </w:p>
    <w:bookmarkStart w:id="22" w:name="page23"/>
    <w:bookmarkEnd w:id="22"/>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6" w:lineRule="exact"/>
        <w:rPr>
          <w:sz w:val="20"/>
          <w:szCs w:val="20"/>
          <w:color w:val="auto"/>
        </w:rPr>
      </w:pPr>
    </w:p>
    <w:p>
      <w:pPr>
        <w:jc w:val="both"/>
        <w:spacing w:after="0" w:line="282" w:lineRule="auto"/>
        <w:rPr>
          <w:sz w:val="20"/>
          <w:szCs w:val="20"/>
          <w:color w:val="auto"/>
        </w:rPr>
      </w:pPr>
      <w:r>
        <w:rPr>
          <w:rFonts w:ascii="Arial" w:cs="Arial" w:eastAsia="Arial" w:hAnsi="Arial"/>
          <w:sz w:val="17"/>
          <w:szCs w:val="17"/>
          <w:color w:val="auto"/>
        </w:rPr>
        <w:t>As of June 30, 2013, December 31, 2012, and June 30, 2012, $4.34 million, $9.50 million and $10.3 million of specific reserves were allocated to customers whose loan terms have been modified in TDRs. United committed to lend additional amounts totaling up to $35,000, $689,000 and $490,000 as of June 30, 2013, December 31, 2012 and June 30, 2012, respectively, to customers with outstanding loans that are classified as TDRs.</w:t>
      </w:r>
    </w:p>
    <w:p>
      <w:pPr>
        <w:spacing w:after="0" w:line="19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modification of the terms of the TDRs included one or a combination of the following: a reduction of the stated interest rate of the loan or an extension of the amortization period that would not otherwise be considered in the current market for new debt with similar risk characteristics; a permanent reduction of the principal amount; a restructuring of the borrower’s debt into an A/B note structure where the A note would fall within the borrower’s ability to pay and the remainder would be included in the B note, or a mandated bankruptcy restructuring.</w:t>
      </w:r>
    </w:p>
    <w:p>
      <w:pPr>
        <w:spacing w:after="0" w:line="215"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 xml:space="preserve">The following table presents additional information on TDRs including the number of loan contracts restructured and the pre- and post-modification recorded investment as of June 30, 2013, December 31, 2012 and June 30, 2012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1880" w:type="dxa"/>
            <w:vAlign w:val="bottom"/>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gridSpan w:val="3"/>
          </w:tcPr>
          <w:p>
            <w:pPr>
              <w:ind w:left="60"/>
              <w:spacing w:after="0"/>
              <w:rPr>
                <w:sz w:val="20"/>
                <w:szCs w:val="20"/>
                <w:color w:val="auto"/>
              </w:rPr>
            </w:pPr>
            <w:r>
              <w:rPr>
                <w:rFonts w:ascii="Arial" w:cs="Arial" w:eastAsia="Arial" w:hAnsi="Arial"/>
                <w:sz w:val="18"/>
                <w:szCs w:val="18"/>
                <w:b w:val="1"/>
                <w:bCs w:val="1"/>
                <w:color w:val="auto"/>
                <w:w w:val="87"/>
              </w:rPr>
              <w:t>June 30, 2013</w:t>
            </w:r>
          </w:p>
        </w:tc>
        <w:tc>
          <w:tcPr>
            <w:tcW w:w="1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2340" w:type="dxa"/>
            <w:vAlign w:val="bottom"/>
            <w:tcBorders>
              <w:bottom w:val="single" w:sz="8" w:color="auto"/>
            </w:tcBorders>
            <w:gridSpan w:val="7"/>
          </w:tcPr>
          <w:p>
            <w:pPr>
              <w:jc w:val="right"/>
              <w:ind w:right="791"/>
              <w:spacing w:after="0"/>
              <w:rPr>
                <w:sz w:val="20"/>
                <w:szCs w:val="20"/>
                <w:color w:val="auto"/>
              </w:rPr>
            </w:pPr>
            <w:r>
              <w:rPr>
                <w:rFonts w:ascii="Arial" w:cs="Arial" w:eastAsia="Arial" w:hAnsi="Arial"/>
                <w:sz w:val="18"/>
                <w:szCs w:val="18"/>
                <w:b w:val="1"/>
                <w:bCs w:val="1"/>
                <w:color w:val="auto"/>
                <w:w w:val="88"/>
              </w:rPr>
              <w:t>December 31, 2012</w:t>
            </w:r>
          </w:p>
        </w:tc>
        <w:tc>
          <w:tcPr>
            <w:tcW w:w="80" w:type="dxa"/>
            <w:vAlign w:val="bottom"/>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gridSpan w:val="3"/>
          </w:tcPr>
          <w:p>
            <w:pPr>
              <w:ind w:left="60"/>
              <w:spacing w:after="0"/>
              <w:rPr>
                <w:sz w:val="20"/>
                <w:szCs w:val="20"/>
                <w:color w:val="auto"/>
              </w:rPr>
            </w:pPr>
            <w:r>
              <w:rPr>
                <w:rFonts w:ascii="Arial" w:cs="Arial" w:eastAsia="Arial" w:hAnsi="Arial"/>
                <w:sz w:val="18"/>
                <w:szCs w:val="18"/>
                <w:b w:val="1"/>
                <w:bCs w:val="1"/>
                <w:color w:val="auto"/>
                <w:w w:val="90"/>
              </w:rPr>
              <w:t>June 30, 2012</w:t>
            </w:r>
          </w:p>
        </w:tc>
        <w:tc>
          <w:tcPr>
            <w:tcW w:w="1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r>
      <w:tr>
        <w:trPr>
          <w:trHeight w:val="196"/>
        </w:trPr>
        <w:tc>
          <w:tcPr>
            <w:tcW w:w="18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center"/>
              <w:ind w:right="240"/>
              <w:spacing w:after="0" w:line="196" w:lineRule="exact"/>
              <w:rPr>
                <w:sz w:val="20"/>
                <w:szCs w:val="20"/>
                <w:color w:val="auto"/>
              </w:rPr>
            </w:pPr>
            <w:r>
              <w:rPr>
                <w:rFonts w:ascii="Arial" w:cs="Arial" w:eastAsia="Arial" w:hAnsi="Arial"/>
                <w:sz w:val="18"/>
                <w:szCs w:val="18"/>
                <w:b w:val="1"/>
                <w:bCs w:val="1"/>
                <w:color w:val="auto"/>
                <w:w w:val="91"/>
              </w:rPr>
              <w:t>Pre-</w:t>
            </w:r>
          </w:p>
        </w:tc>
        <w:tc>
          <w:tcPr>
            <w:tcW w:w="120" w:type="dxa"/>
            <w:vAlign w:val="bottom"/>
          </w:tcPr>
          <w:p>
            <w:pPr>
              <w:spacing w:after="0"/>
              <w:rPr>
                <w:sz w:val="17"/>
                <w:szCs w:val="17"/>
                <w:color w:val="auto"/>
              </w:rPr>
            </w:pPr>
          </w:p>
        </w:tc>
        <w:tc>
          <w:tcPr>
            <w:tcW w:w="940" w:type="dxa"/>
            <w:vAlign w:val="bottom"/>
          </w:tcPr>
          <w:p>
            <w:pPr>
              <w:jc w:val="center"/>
              <w:ind w:right="111"/>
              <w:spacing w:after="0" w:line="196" w:lineRule="exact"/>
              <w:rPr>
                <w:sz w:val="20"/>
                <w:szCs w:val="20"/>
                <w:color w:val="auto"/>
              </w:rPr>
            </w:pPr>
            <w:r>
              <w:rPr>
                <w:rFonts w:ascii="Arial" w:cs="Arial" w:eastAsia="Arial" w:hAnsi="Arial"/>
                <w:sz w:val="18"/>
                <w:szCs w:val="18"/>
                <w:b w:val="1"/>
                <w:bCs w:val="1"/>
                <w:color w:val="auto"/>
                <w:w w:val="84"/>
              </w:rPr>
              <w:t>Post-</w:t>
            </w:r>
          </w:p>
        </w:tc>
        <w:tc>
          <w:tcPr>
            <w:tcW w:w="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center"/>
              <w:ind w:right="91"/>
              <w:spacing w:after="0" w:line="196" w:lineRule="exact"/>
              <w:rPr>
                <w:sz w:val="20"/>
                <w:szCs w:val="20"/>
                <w:color w:val="auto"/>
              </w:rPr>
            </w:pPr>
            <w:r>
              <w:rPr>
                <w:rFonts w:ascii="Arial" w:cs="Arial" w:eastAsia="Arial" w:hAnsi="Arial"/>
                <w:sz w:val="18"/>
                <w:szCs w:val="18"/>
                <w:b w:val="1"/>
                <w:bCs w:val="1"/>
                <w:color w:val="auto"/>
                <w:w w:val="91"/>
              </w:rPr>
              <w:t>Pre-</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center"/>
              <w:ind w:right="111"/>
              <w:spacing w:after="0" w:line="196" w:lineRule="exact"/>
              <w:rPr>
                <w:sz w:val="20"/>
                <w:szCs w:val="20"/>
                <w:color w:val="auto"/>
              </w:rPr>
            </w:pPr>
            <w:r>
              <w:rPr>
                <w:rFonts w:ascii="Arial" w:cs="Arial" w:eastAsia="Arial" w:hAnsi="Arial"/>
                <w:sz w:val="18"/>
                <w:szCs w:val="18"/>
                <w:b w:val="1"/>
                <w:bCs w:val="1"/>
                <w:color w:val="auto"/>
                <w:w w:val="84"/>
              </w:rPr>
              <w:t>Post-</w:t>
            </w: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tcPr>
          <w:p>
            <w:pPr>
              <w:jc w:val="center"/>
              <w:ind w:right="240"/>
              <w:spacing w:after="0" w:line="196" w:lineRule="exact"/>
              <w:rPr>
                <w:sz w:val="20"/>
                <w:szCs w:val="20"/>
                <w:color w:val="auto"/>
              </w:rPr>
            </w:pPr>
            <w:r>
              <w:rPr>
                <w:rFonts w:ascii="Arial" w:cs="Arial" w:eastAsia="Arial" w:hAnsi="Arial"/>
                <w:sz w:val="18"/>
                <w:szCs w:val="18"/>
                <w:b w:val="1"/>
                <w:bCs w:val="1"/>
                <w:color w:val="auto"/>
                <w:w w:val="91"/>
              </w:rPr>
              <w:t>Pre-</w:t>
            </w:r>
          </w:p>
        </w:tc>
        <w:tc>
          <w:tcPr>
            <w:tcW w:w="100" w:type="dxa"/>
            <w:vAlign w:val="bottom"/>
          </w:tcPr>
          <w:p>
            <w:pPr>
              <w:spacing w:after="0"/>
              <w:rPr>
                <w:sz w:val="17"/>
                <w:szCs w:val="17"/>
                <w:color w:val="auto"/>
              </w:rPr>
            </w:pPr>
          </w:p>
        </w:tc>
        <w:tc>
          <w:tcPr>
            <w:tcW w:w="960" w:type="dxa"/>
            <w:vAlign w:val="bottom"/>
          </w:tcPr>
          <w:p>
            <w:pPr>
              <w:jc w:val="center"/>
              <w:ind w:right="91"/>
              <w:spacing w:after="0" w:line="196" w:lineRule="exact"/>
              <w:rPr>
                <w:sz w:val="20"/>
                <w:szCs w:val="20"/>
                <w:color w:val="auto"/>
              </w:rPr>
            </w:pPr>
            <w:r>
              <w:rPr>
                <w:rFonts w:ascii="Arial" w:cs="Arial" w:eastAsia="Arial" w:hAnsi="Arial"/>
                <w:sz w:val="18"/>
                <w:szCs w:val="18"/>
                <w:b w:val="1"/>
                <w:bCs w:val="1"/>
                <w:color w:val="auto"/>
                <w:w w:val="84"/>
              </w:rPr>
              <w:t>Post-</w:t>
            </w:r>
          </w:p>
        </w:tc>
      </w:tr>
      <w:tr>
        <w:trPr>
          <w:trHeight w:val="214"/>
        </w:trPr>
        <w:tc>
          <w:tcPr>
            <w:tcW w:w="18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180" w:type="dxa"/>
            <w:vAlign w:val="bottom"/>
            <w:gridSpan w:val="4"/>
          </w:tcPr>
          <w:p>
            <w:pPr>
              <w:jc w:val="center"/>
              <w:ind w:right="40"/>
              <w:spacing w:after="0"/>
              <w:rPr>
                <w:sz w:val="20"/>
                <w:szCs w:val="20"/>
                <w:color w:val="auto"/>
              </w:rPr>
            </w:pPr>
            <w:r>
              <w:rPr>
                <w:rFonts w:ascii="Arial" w:cs="Arial" w:eastAsia="Arial" w:hAnsi="Arial"/>
                <w:sz w:val="18"/>
                <w:szCs w:val="18"/>
                <w:b w:val="1"/>
                <w:bCs w:val="1"/>
                <w:color w:val="auto"/>
                <w:w w:val="92"/>
              </w:rPr>
              <w:t>Modification</w:t>
            </w:r>
          </w:p>
        </w:tc>
        <w:tc>
          <w:tcPr>
            <w:tcW w:w="1060" w:type="dxa"/>
            <w:vAlign w:val="bottom"/>
            <w:gridSpan w:val="2"/>
          </w:tcPr>
          <w:p>
            <w:pPr>
              <w:jc w:val="center"/>
              <w:spacing w:after="0"/>
              <w:rPr>
                <w:sz w:val="20"/>
                <w:szCs w:val="20"/>
                <w:color w:val="auto"/>
              </w:rPr>
            </w:pPr>
            <w:r>
              <w:rPr>
                <w:rFonts w:ascii="Arial" w:cs="Arial" w:eastAsia="Arial" w:hAnsi="Arial"/>
                <w:sz w:val="18"/>
                <w:szCs w:val="18"/>
                <w:b w:val="1"/>
                <w:bCs w:val="1"/>
                <w:color w:val="auto"/>
                <w:w w:val="92"/>
              </w:rPr>
              <w:t>Modification</w:t>
            </w:r>
          </w:p>
        </w:tc>
        <w:tc>
          <w:tcPr>
            <w:tcW w:w="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center"/>
              <w:spacing w:after="0"/>
              <w:rPr>
                <w:sz w:val="20"/>
                <w:szCs w:val="20"/>
                <w:color w:val="auto"/>
              </w:rPr>
            </w:pPr>
            <w:r>
              <w:rPr>
                <w:rFonts w:ascii="Arial" w:cs="Arial" w:eastAsia="Arial" w:hAnsi="Arial"/>
                <w:sz w:val="18"/>
                <w:szCs w:val="18"/>
                <w:b w:val="1"/>
                <w:bCs w:val="1"/>
                <w:color w:val="auto"/>
                <w:w w:val="94"/>
              </w:rPr>
              <w:t>Modification</w:t>
            </w:r>
          </w:p>
        </w:tc>
        <w:tc>
          <w:tcPr>
            <w:tcW w:w="1140" w:type="dxa"/>
            <w:vAlign w:val="bottom"/>
            <w:gridSpan w:val="3"/>
          </w:tcPr>
          <w:p>
            <w:pPr>
              <w:jc w:val="center"/>
              <w:spacing w:after="0"/>
              <w:rPr>
                <w:sz w:val="20"/>
                <w:szCs w:val="20"/>
                <w:color w:val="auto"/>
              </w:rPr>
            </w:pPr>
            <w:r>
              <w:rPr>
                <w:rFonts w:ascii="Arial" w:cs="Arial" w:eastAsia="Arial" w:hAnsi="Arial"/>
                <w:sz w:val="18"/>
                <w:szCs w:val="18"/>
                <w:b w:val="1"/>
                <w:bCs w:val="1"/>
                <w:color w:val="auto"/>
                <w:w w:val="92"/>
              </w:rPr>
              <w:t>Modification</w:t>
            </w: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20" w:type="dxa"/>
            <w:vAlign w:val="bottom"/>
            <w:gridSpan w:val="4"/>
          </w:tcPr>
          <w:p>
            <w:pPr>
              <w:jc w:val="center"/>
              <w:ind w:right="80"/>
              <w:spacing w:after="0"/>
              <w:rPr>
                <w:sz w:val="20"/>
                <w:szCs w:val="20"/>
                <w:color w:val="auto"/>
              </w:rPr>
            </w:pPr>
            <w:r>
              <w:rPr>
                <w:rFonts w:ascii="Arial" w:cs="Arial" w:eastAsia="Arial" w:hAnsi="Arial"/>
                <w:sz w:val="18"/>
                <w:szCs w:val="18"/>
                <w:b w:val="1"/>
                <w:bCs w:val="1"/>
                <w:color w:val="auto"/>
                <w:w w:val="92"/>
              </w:rPr>
              <w:t>Modification</w:t>
            </w:r>
          </w:p>
        </w:tc>
        <w:tc>
          <w:tcPr>
            <w:tcW w:w="1060" w:type="dxa"/>
            <w:vAlign w:val="bottom"/>
            <w:gridSpan w:val="2"/>
          </w:tcPr>
          <w:p>
            <w:pPr>
              <w:jc w:val="center"/>
              <w:spacing w:after="0"/>
              <w:rPr>
                <w:sz w:val="20"/>
                <w:szCs w:val="20"/>
                <w:color w:val="auto"/>
              </w:rPr>
            </w:pPr>
            <w:r>
              <w:rPr>
                <w:rFonts w:ascii="Arial" w:cs="Arial" w:eastAsia="Arial" w:hAnsi="Arial"/>
                <w:sz w:val="18"/>
                <w:szCs w:val="18"/>
                <w:b w:val="1"/>
                <w:bCs w:val="1"/>
                <w:color w:val="auto"/>
                <w:w w:val="92"/>
              </w:rPr>
              <w:t>Modification</w:t>
            </w:r>
          </w:p>
        </w:tc>
      </w:tr>
      <w:tr>
        <w:trPr>
          <w:trHeight w:val="214"/>
        </w:trPr>
        <w:tc>
          <w:tcPr>
            <w:tcW w:w="188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8"/>
                <w:szCs w:val="18"/>
                <w:b w:val="1"/>
                <w:bCs w:val="1"/>
                <w:color w:val="auto"/>
                <w:w w:val="91"/>
              </w:rPr>
              <w:t>Number</w:t>
            </w:r>
          </w:p>
        </w:tc>
        <w:tc>
          <w:tcPr>
            <w:tcW w:w="80" w:type="dxa"/>
            <w:vAlign w:val="bottom"/>
          </w:tcPr>
          <w:p>
            <w:pPr>
              <w:spacing w:after="0"/>
              <w:rPr>
                <w:sz w:val="18"/>
                <w:szCs w:val="18"/>
                <w:color w:val="auto"/>
              </w:rPr>
            </w:pPr>
          </w:p>
        </w:tc>
        <w:tc>
          <w:tcPr>
            <w:tcW w:w="110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90"/>
              </w:rPr>
              <w:t>Outstanding</w:t>
            </w:r>
          </w:p>
        </w:tc>
        <w:tc>
          <w:tcPr>
            <w:tcW w:w="106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Outstanding</w:t>
            </w:r>
          </w:p>
        </w:tc>
        <w:tc>
          <w:tcPr>
            <w:tcW w:w="60" w:type="dxa"/>
            <w:vAlign w:val="bottom"/>
          </w:tcPr>
          <w:p>
            <w:pPr>
              <w:spacing w:after="0"/>
              <w:rPr>
                <w:sz w:val="18"/>
                <w:szCs w:val="18"/>
                <w:color w:val="auto"/>
              </w:rPr>
            </w:pPr>
          </w:p>
        </w:tc>
        <w:tc>
          <w:tcPr>
            <w:tcW w:w="800" w:type="dxa"/>
            <w:vAlign w:val="bottom"/>
          </w:tcPr>
          <w:p>
            <w:pPr>
              <w:jc w:val="center"/>
              <w:spacing w:after="0"/>
              <w:rPr>
                <w:sz w:val="20"/>
                <w:szCs w:val="20"/>
                <w:color w:val="auto"/>
              </w:rPr>
            </w:pPr>
            <w:r>
              <w:rPr>
                <w:rFonts w:ascii="Arial" w:cs="Arial" w:eastAsia="Arial" w:hAnsi="Arial"/>
                <w:sz w:val="18"/>
                <w:szCs w:val="18"/>
                <w:b w:val="1"/>
                <w:bCs w:val="1"/>
                <w:color w:val="auto"/>
                <w:w w:val="94"/>
              </w:rPr>
              <w:t>Number</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Outstanding</w:t>
            </w:r>
          </w:p>
        </w:tc>
        <w:tc>
          <w:tcPr>
            <w:tcW w:w="80" w:type="dxa"/>
            <w:vAlign w:val="bottom"/>
          </w:tcPr>
          <w:p>
            <w:pPr>
              <w:spacing w:after="0"/>
              <w:rPr>
                <w:sz w:val="18"/>
                <w:szCs w:val="18"/>
                <w:color w:val="auto"/>
              </w:rPr>
            </w:pPr>
          </w:p>
        </w:tc>
        <w:tc>
          <w:tcPr>
            <w:tcW w:w="106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Outstanding</w:t>
            </w:r>
          </w:p>
        </w:tc>
        <w:tc>
          <w:tcPr>
            <w:tcW w:w="8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8"/>
                <w:szCs w:val="18"/>
                <w:b w:val="1"/>
                <w:bCs w:val="1"/>
                <w:color w:val="auto"/>
                <w:w w:val="94"/>
              </w:rPr>
              <w:t>Number</w:t>
            </w:r>
          </w:p>
        </w:tc>
        <w:tc>
          <w:tcPr>
            <w:tcW w:w="80" w:type="dxa"/>
            <w:vAlign w:val="bottom"/>
          </w:tcPr>
          <w:p>
            <w:pPr>
              <w:spacing w:after="0"/>
              <w:rPr>
                <w:sz w:val="18"/>
                <w:szCs w:val="18"/>
                <w:color w:val="auto"/>
              </w:rPr>
            </w:pPr>
          </w:p>
        </w:tc>
        <w:tc>
          <w:tcPr>
            <w:tcW w:w="114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88"/>
              </w:rPr>
              <w:t>Outstanding</w:t>
            </w:r>
          </w:p>
        </w:tc>
        <w:tc>
          <w:tcPr>
            <w:tcW w:w="1060" w:type="dxa"/>
            <w:vAlign w:val="bottom"/>
            <w:gridSpan w:val="2"/>
          </w:tcPr>
          <w:p>
            <w:pPr>
              <w:jc w:val="center"/>
              <w:spacing w:after="0"/>
              <w:rPr>
                <w:sz w:val="20"/>
                <w:szCs w:val="20"/>
                <w:color w:val="auto"/>
              </w:rPr>
            </w:pPr>
            <w:r>
              <w:rPr>
                <w:rFonts w:ascii="Arial" w:cs="Arial" w:eastAsia="Arial" w:hAnsi="Arial"/>
                <w:sz w:val="18"/>
                <w:szCs w:val="18"/>
                <w:b w:val="1"/>
                <w:bCs w:val="1"/>
                <w:color w:val="auto"/>
                <w:w w:val="88"/>
              </w:rPr>
              <w:t>Outstanding</w:t>
            </w:r>
          </w:p>
        </w:tc>
      </w:tr>
      <w:tr>
        <w:trPr>
          <w:trHeight w:val="214"/>
        </w:trPr>
        <w:tc>
          <w:tcPr>
            <w:tcW w:w="188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8"/>
                <w:szCs w:val="18"/>
                <w:b w:val="1"/>
                <w:bCs w:val="1"/>
                <w:color w:val="auto"/>
                <w:w w:val="82"/>
              </w:rPr>
              <w:t>of</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6"/>
              </w:rPr>
              <w:t>Recorded</w:t>
            </w:r>
          </w:p>
        </w:tc>
        <w:tc>
          <w:tcPr>
            <w:tcW w:w="120" w:type="dxa"/>
            <w:vAlign w:val="bottom"/>
          </w:tcPr>
          <w:p>
            <w:pPr>
              <w:spacing w:after="0"/>
              <w:rPr>
                <w:sz w:val="18"/>
                <w:szCs w:val="18"/>
                <w:color w:val="auto"/>
              </w:rPr>
            </w:pPr>
          </w:p>
        </w:tc>
        <w:tc>
          <w:tcPr>
            <w:tcW w:w="940" w:type="dxa"/>
            <w:vAlign w:val="bottom"/>
          </w:tcPr>
          <w:p>
            <w:pPr>
              <w:jc w:val="center"/>
              <w:ind w:right="111"/>
              <w:spacing w:after="0"/>
              <w:rPr>
                <w:sz w:val="20"/>
                <w:szCs w:val="20"/>
                <w:color w:val="auto"/>
              </w:rPr>
            </w:pPr>
            <w:r>
              <w:rPr>
                <w:rFonts w:ascii="Arial" w:cs="Arial" w:eastAsia="Arial" w:hAnsi="Arial"/>
                <w:sz w:val="18"/>
                <w:szCs w:val="18"/>
                <w:b w:val="1"/>
                <w:bCs w:val="1"/>
                <w:color w:val="auto"/>
                <w:w w:val="89"/>
              </w:rPr>
              <w:t>Recorded</w:t>
            </w:r>
          </w:p>
        </w:tc>
        <w:tc>
          <w:tcPr>
            <w:tcW w:w="60" w:type="dxa"/>
            <w:vAlign w:val="bottom"/>
          </w:tcPr>
          <w:p>
            <w:pPr>
              <w:spacing w:after="0"/>
              <w:rPr>
                <w:sz w:val="18"/>
                <w:szCs w:val="18"/>
                <w:color w:val="auto"/>
              </w:rPr>
            </w:pPr>
          </w:p>
        </w:tc>
        <w:tc>
          <w:tcPr>
            <w:tcW w:w="800" w:type="dxa"/>
            <w:vAlign w:val="bottom"/>
          </w:tcPr>
          <w:p>
            <w:pPr>
              <w:jc w:val="center"/>
              <w:spacing w:after="0"/>
              <w:rPr>
                <w:sz w:val="20"/>
                <w:szCs w:val="20"/>
                <w:color w:val="auto"/>
              </w:rPr>
            </w:pPr>
            <w:r>
              <w:rPr>
                <w:rFonts w:ascii="Arial" w:cs="Arial" w:eastAsia="Arial" w:hAnsi="Arial"/>
                <w:sz w:val="18"/>
                <w:szCs w:val="18"/>
                <w:b w:val="1"/>
                <w:bCs w:val="1"/>
                <w:color w:val="auto"/>
                <w:w w:val="93"/>
              </w:rPr>
              <w:t>of</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center"/>
              <w:ind w:right="91"/>
              <w:spacing w:after="0"/>
              <w:rPr>
                <w:sz w:val="20"/>
                <w:szCs w:val="20"/>
                <w:color w:val="auto"/>
              </w:rPr>
            </w:pPr>
            <w:r>
              <w:rPr>
                <w:rFonts w:ascii="Arial" w:cs="Arial" w:eastAsia="Arial" w:hAnsi="Arial"/>
                <w:sz w:val="18"/>
                <w:szCs w:val="18"/>
                <w:b w:val="1"/>
                <w:bCs w:val="1"/>
                <w:color w:val="auto"/>
                <w:w w:val="86"/>
              </w:rPr>
              <w:t>Recorded</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center"/>
              <w:ind w:right="111"/>
              <w:spacing w:after="0"/>
              <w:rPr>
                <w:sz w:val="20"/>
                <w:szCs w:val="20"/>
                <w:color w:val="auto"/>
              </w:rPr>
            </w:pPr>
            <w:r>
              <w:rPr>
                <w:rFonts w:ascii="Arial" w:cs="Arial" w:eastAsia="Arial" w:hAnsi="Arial"/>
                <w:sz w:val="18"/>
                <w:szCs w:val="18"/>
                <w:b w:val="1"/>
                <w:bCs w:val="1"/>
                <w:color w:val="auto"/>
                <w:w w:val="89"/>
              </w:rPr>
              <w:t>Recorded</w:t>
            </w:r>
          </w:p>
        </w:tc>
        <w:tc>
          <w:tcPr>
            <w:tcW w:w="8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8"/>
                <w:szCs w:val="18"/>
                <w:b w:val="1"/>
                <w:bCs w:val="1"/>
                <w:color w:val="auto"/>
                <w:w w:val="82"/>
              </w:rPr>
              <w:t>of</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Recorded</w:t>
            </w:r>
          </w:p>
        </w:tc>
        <w:tc>
          <w:tcPr>
            <w:tcW w:w="100" w:type="dxa"/>
            <w:vAlign w:val="bottom"/>
          </w:tcPr>
          <w:p>
            <w:pPr>
              <w:spacing w:after="0"/>
              <w:rPr>
                <w:sz w:val="18"/>
                <w:szCs w:val="18"/>
                <w:color w:val="auto"/>
              </w:rPr>
            </w:pPr>
          </w:p>
        </w:tc>
        <w:tc>
          <w:tcPr>
            <w:tcW w:w="960" w:type="dxa"/>
            <w:vAlign w:val="bottom"/>
          </w:tcPr>
          <w:p>
            <w:pPr>
              <w:jc w:val="center"/>
              <w:ind w:right="91"/>
              <w:spacing w:after="0"/>
              <w:rPr>
                <w:sz w:val="20"/>
                <w:szCs w:val="20"/>
                <w:color w:val="auto"/>
              </w:rPr>
            </w:pPr>
            <w:r>
              <w:rPr>
                <w:rFonts w:ascii="Arial" w:cs="Arial" w:eastAsia="Arial" w:hAnsi="Arial"/>
                <w:sz w:val="18"/>
                <w:szCs w:val="18"/>
                <w:b w:val="1"/>
                <w:bCs w:val="1"/>
                <w:color w:val="auto"/>
                <w:w w:val="89"/>
              </w:rPr>
              <w:t>Recorded</w:t>
            </w:r>
          </w:p>
        </w:tc>
      </w:tr>
      <w:tr>
        <w:trPr>
          <w:trHeight w:val="239"/>
        </w:trPr>
        <w:tc>
          <w:tcPr>
            <w:tcW w:w="1880" w:type="dxa"/>
            <w:vAlign w:val="bottom"/>
          </w:tcPr>
          <w:p>
            <w:pPr>
              <w:spacing w:after="0"/>
              <w:rPr>
                <w:sz w:val="20"/>
                <w:szCs w:val="20"/>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Contracts</w:t>
            </w:r>
          </w:p>
        </w:tc>
        <w:tc>
          <w:tcPr>
            <w:tcW w:w="80" w:type="dxa"/>
            <w:vAlign w:val="bottom"/>
          </w:tcPr>
          <w:p>
            <w:pPr>
              <w:spacing w:after="0"/>
              <w:rPr>
                <w:sz w:val="20"/>
                <w:szCs w:val="20"/>
                <w:color w:val="auto"/>
              </w:rPr>
            </w:pPr>
          </w:p>
        </w:tc>
        <w:tc>
          <w:tcPr>
            <w:tcW w:w="104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8"/>
              </w:rPr>
              <w:t>Investment</w:t>
            </w:r>
          </w:p>
        </w:tc>
        <w:tc>
          <w:tcPr>
            <w:tcW w:w="60" w:type="dxa"/>
            <w:vAlign w:val="bottom"/>
          </w:tcPr>
          <w:p>
            <w:pPr>
              <w:spacing w:after="0"/>
              <w:rPr>
                <w:sz w:val="20"/>
                <w:szCs w:val="20"/>
                <w:color w:val="auto"/>
              </w:rPr>
            </w:pPr>
          </w:p>
        </w:tc>
        <w:tc>
          <w:tcPr>
            <w:tcW w:w="106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0"/>
              </w:rPr>
              <w:t>Investment</w:t>
            </w:r>
          </w:p>
        </w:tc>
        <w:tc>
          <w:tcPr>
            <w:tcW w:w="60" w:type="dxa"/>
            <w:vAlign w:val="bottom"/>
          </w:tcPr>
          <w:p>
            <w:pPr>
              <w:spacing w:after="0"/>
              <w:rPr>
                <w:sz w:val="20"/>
                <w:szCs w:val="20"/>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Contracts</w:t>
            </w:r>
          </w:p>
        </w:tc>
        <w:tc>
          <w:tcPr>
            <w:tcW w:w="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8"/>
              </w:rPr>
              <w:t>Investment</w:t>
            </w:r>
          </w:p>
        </w:tc>
        <w:tc>
          <w:tcPr>
            <w:tcW w:w="80" w:type="dxa"/>
            <w:vAlign w:val="bottom"/>
          </w:tcPr>
          <w:p>
            <w:pPr>
              <w:spacing w:after="0"/>
              <w:rPr>
                <w:sz w:val="20"/>
                <w:szCs w:val="20"/>
                <w:color w:val="auto"/>
              </w:rPr>
            </w:pPr>
          </w:p>
        </w:tc>
        <w:tc>
          <w:tcPr>
            <w:tcW w:w="106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0"/>
              </w:rPr>
              <w:t>Investment</w:t>
            </w:r>
          </w:p>
        </w:tc>
        <w:tc>
          <w:tcPr>
            <w:tcW w:w="80" w:type="dxa"/>
            <w:vAlign w:val="bottom"/>
          </w:tcPr>
          <w:p>
            <w:pPr>
              <w:spacing w:after="0"/>
              <w:rPr>
                <w:sz w:val="20"/>
                <w:szCs w:val="20"/>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Contracts</w:t>
            </w:r>
          </w:p>
        </w:tc>
        <w:tc>
          <w:tcPr>
            <w:tcW w:w="80" w:type="dxa"/>
            <w:vAlign w:val="bottom"/>
          </w:tcPr>
          <w:p>
            <w:pPr>
              <w:spacing w:after="0"/>
              <w:rPr>
                <w:sz w:val="20"/>
                <w:szCs w:val="20"/>
                <w:color w:val="auto"/>
              </w:rPr>
            </w:pPr>
          </w:p>
        </w:tc>
        <w:tc>
          <w:tcPr>
            <w:tcW w:w="106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0"/>
              </w:rPr>
              <w:t>Investment</w:t>
            </w:r>
          </w:p>
        </w:tc>
        <w:tc>
          <w:tcPr>
            <w:tcW w:w="80" w:type="dxa"/>
            <w:vAlign w:val="bottom"/>
          </w:tcPr>
          <w:p>
            <w:pPr>
              <w:spacing w:after="0"/>
              <w:rPr>
                <w:sz w:val="20"/>
                <w:szCs w:val="20"/>
                <w:color w:val="auto"/>
              </w:rPr>
            </w:pPr>
          </w:p>
        </w:tc>
        <w:tc>
          <w:tcPr>
            <w:tcW w:w="106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0"/>
              </w:rPr>
              <w:t>Investment</w:t>
            </w:r>
          </w:p>
        </w:tc>
      </w:tr>
      <w:tr>
        <w:trPr>
          <w:trHeight w:val="414"/>
        </w:trPr>
        <w:tc>
          <w:tcPr>
            <w:tcW w:w="1880" w:type="dxa"/>
            <w:vAlign w:val="bottom"/>
          </w:tcPr>
          <w:p>
            <w:pPr>
              <w:spacing w:after="0"/>
              <w:rPr>
                <w:sz w:val="20"/>
                <w:szCs w:val="20"/>
                <w:color w:val="auto"/>
              </w:rPr>
            </w:pPr>
            <w:r>
              <w:rPr>
                <w:rFonts w:ascii="Arial" w:cs="Arial" w:eastAsia="Arial" w:hAnsi="Arial"/>
                <w:sz w:val="18"/>
                <w:szCs w:val="18"/>
                <w:color w:val="auto"/>
                <w:w w:val="95"/>
              </w:rPr>
              <w:t>Commercial (sec by RE)</w:t>
            </w:r>
          </w:p>
        </w:tc>
        <w:tc>
          <w:tcPr>
            <w:tcW w:w="840" w:type="dxa"/>
            <w:vAlign w:val="bottom"/>
          </w:tcPr>
          <w:p>
            <w:pPr>
              <w:jc w:val="right"/>
              <w:spacing w:after="0"/>
              <w:rPr>
                <w:sz w:val="20"/>
                <w:szCs w:val="20"/>
                <w:color w:val="auto"/>
              </w:rPr>
            </w:pPr>
            <w:r>
              <w:rPr>
                <w:rFonts w:ascii="Arial" w:cs="Arial" w:eastAsia="Arial" w:hAnsi="Arial"/>
                <w:sz w:val="18"/>
                <w:szCs w:val="18"/>
                <w:color w:val="auto"/>
              </w:rPr>
              <w:t>77</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45,874</w:t>
            </w:r>
          </w:p>
        </w:tc>
        <w:tc>
          <w:tcPr>
            <w:tcW w:w="6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42,366</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96</w:t>
            </w:r>
          </w:p>
        </w:tc>
        <w:tc>
          <w:tcPr>
            <w:tcW w:w="2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80,261</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75,340</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96</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87,104</w:t>
            </w:r>
          </w:p>
        </w:tc>
        <w:tc>
          <w:tcPr>
            <w:tcW w:w="8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82,325</w:t>
            </w:r>
          </w:p>
        </w:tc>
      </w:tr>
      <w:tr>
        <w:trPr>
          <w:trHeight w:val="214"/>
        </w:trPr>
        <w:tc>
          <w:tcPr>
            <w:tcW w:w="1880" w:type="dxa"/>
            <w:vAlign w:val="bottom"/>
          </w:tcPr>
          <w:p>
            <w:pPr>
              <w:spacing w:after="0"/>
              <w:rPr>
                <w:sz w:val="20"/>
                <w:szCs w:val="20"/>
                <w:color w:val="auto"/>
              </w:rPr>
            </w:pPr>
            <w:r>
              <w:rPr>
                <w:rFonts w:ascii="Arial" w:cs="Arial" w:eastAsia="Arial" w:hAnsi="Arial"/>
                <w:sz w:val="18"/>
                <w:szCs w:val="18"/>
                <w:color w:val="auto"/>
                <w:w w:val="97"/>
              </w:rPr>
              <w:t>Commercial &amp; industrial</w:t>
            </w:r>
          </w:p>
        </w:tc>
        <w:tc>
          <w:tcPr>
            <w:tcW w:w="840" w:type="dxa"/>
            <w:vAlign w:val="bottom"/>
          </w:tcPr>
          <w:p>
            <w:pPr>
              <w:jc w:val="right"/>
              <w:spacing w:after="0"/>
              <w:rPr>
                <w:sz w:val="20"/>
                <w:szCs w:val="20"/>
                <w:color w:val="auto"/>
              </w:rPr>
            </w:pPr>
            <w:r>
              <w:rPr>
                <w:rFonts w:ascii="Arial" w:cs="Arial" w:eastAsia="Arial" w:hAnsi="Arial"/>
                <w:sz w:val="18"/>
                <w:szCs w:val="18"/>
                <w:color w:val="auto"/>
              </w:rPr>
              <w:t>34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3,091</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2,929</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32</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7,492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7,250</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29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3,972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3,972</w:t>
            </w:r>
          </w:p>
        </w:tc>
      </w:tr>
      <w:tr>
        <w:trPr>
          <w:trHeight w:val="235"/>
        </w:trPr>
        <w:tc>
          <w:tcPr>
            <w:tcW w:w="1880" w:type="dxa"/>
            <w:vAlign w:val="bottom"/>
          </w:tcPr>
          <w:p>
            <w:pPr>
              <w:spacing w:after="0"/>
              <w:rPr>
                <w:sz w:val="20"/>
                <w:szCs w:val="20"/>
                <w:color w:val="auto"/>
              </w:rPr>
            </w:pPr>
            <w:r>
              <w:rPr>
                <w:rFonts w:ascii="Arial" w:cs="Arial" w:eastAsia="Arial" w:hAnsi="Arial"/>
                <w:sz w:val="18"/>
                <w:szCs w:val="18"/>
                <w:color w:val="auto"/>
                <w:w w:val="93"/>
              </w:rPr>
              <w:t>Commercial construction</w:t>
            </w:r>
          </w:p>
        </w:tc>
        <w:tc>
          <w:tcPr>
            <w:tcW w:w="840" w:type="dxa"/>
            <w:vAlign w:val="bottom"/>
          </w:tcPr>
          <w:p>
            <w:pPr>
              <w:jc w:val="right"/>
              <w:spacing w:after="0"/>
              <w:rPr>
                <w:sz w:val="20"/>
                <w:szCs w:val="20"/>
                <w:color w:val="auto"/>
              </w:rPr>
            </w:pPr>
            <w:r>
              <w:rPr>
                <w:rFonts w:ascii="Arial" w:cs="Arial" w:eastAsia="Arial" w:hAnsi="Arial"/>
                <w:sz w:val="18"/>
                <w:szCs w:val="18"/>
                <w:color w:val="auto"/>
              </w:rPr>
              <w:t>14</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13,185</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12,956</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25</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37,537</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33,809</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23</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42,796</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41,677</w:t>
            </w:r>
          </w:p>
        </w:tc>
      </w:tr>
      <w:tr>
        <w:trPr>
          <w:trHeight w:val="200"/>
        </w:trPr>
        <w:tc>
          <w:tcPr>
            <w:tcW w:w="1880" w:type="dxa"/>
            <w:vAlign w:val="bottom"/>
          </w:tcPr>
          <w:p>
            <w:pPr>
              <w:ind w:left="220"/>
              <w:spacing w:after="0" w:line="200" w:lineRule="exact"/>
              <w:rPr>
                <w:sz w:val="20"/>
                <w:szCs w:val="20"/>
                <w:color w:val="auto"/>
              </w:rPr>
            </w:pPr>
            <w:r>
              <w:rPr>
                <w:rFonts w:ascii="Arial" w:cs="Arial" w:eastAsia="Arial" w:hAnsi="Arial"/>
                <w:sz w:val="18"/>
                <w:szCs w:val="18"/>
                <w:color w:val="auto"/>
              </w:rPr>
              <w:t>Total commercial</w:t>
            </w:r>
          </w:p>
        </w:tc>
        <w:tc>
          <w:tcPr>
            <w:tcW w:w="840" w:type="dxa"/>
            <w:vAlign w:val="bottom"/>
            <w:tcBorders>
              <w:top w:val="single" w:sz="8" w:color="auto"/>
            </w:tcBorders>
          </w:tcPr>
          <w:p>
            <w:pPr>
              <w:jc w:val="right"/>
              <w:spacing w:after="0" w:line="200" w:lineRule="exact"/>
              <w:rPr>
                <w:sz w:val="20"/>
                <w:szCs w:val="20"/>
                <w:color w:val="auto"/>
              </w:rPr>
            </w:pPr>
            <w:r>
              <w:rPr>
                <w:rFonts w:ascii="Arial" w:cs="Arial" w:eastAsia="Arial" w:hAnsi="Arial"/>
                <w:sz w:val="18"/>
                <w:szCs w:val="18"/>
                <w:color w:val="auto"/>
              </w:rPr>
              <w:t>125</w:t>
            </w:r>
          </w:p>
        </w:tc>
        <w:tc>
          <w:tcPr>
            <w:tcW w:w="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spacing w:after="0" w:line="200" w:lineRule="exact"/>
              <w:rPr>
                <w:sz w:val="20"/>
                <w:szCs w:val="20"/>
                <w:color w:val="auto"/>
              </w:rPr>
            </w:pPr>
            <w:r>
              <w:rPr>
                <w:rFonts w:ascii="Arial" w:cs="Arial" w:eastAsia="Arial" w:hAnsi="Arial"/>
                <w:sz w:val="18"/>
                <w:szCs w:val="18"/>
                <w:color w:val="auto"/>
              </w:rPr>
              <w:t>62,150</w:t>
            </w:r>
          </w:p>
        </w:tc>
        <w:tc>
          <w:tcPr>
            <w:tcW w:w="6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spacing w:after="0" w:line="200" w:lineRule="exact"/>
              <w:rPr>
                <w:sz w:val="20"/>
                <w:szCs w:val="20"/>
                <w:color w:val="auto"/>
              </w:rPr>
            </w:pPr>
            <w:r>
              <w:rPr>
                <w:rFonts w:ascii="Arial" w:cs="Arial" w:eastAsia="Arial" w:hAnsi="Arial"/>
                <w:sz w:val="18"/>
                <w:szCs w:val="18"/>
                <w:color w:val="auto"/>
              </w:rPr>
              <w:t>58,251</w:t>
            </w:r>
          </w:p>
        </w:tc>
        <w:tc>
          <w:tcPr>
            <w:tcW w:w="60" w:type="dxa"/>
            <w:vAlign w:val="bottom"/>
          </w:tcPr>
          <w:p>
            <w:pPr>
              <w:spacing w:after="0"/>
              <w:rPr>
                <w:sz w:val="17"/>
                <w:szCs w:val="17"/>
                <w:color w:val="auto"/>
              </w:rPr>
            </w:pPr>
          </w:p>
        </w:tc>
        <w:tc>
          <w:tcPr>
            <w:tcW w:w="800" w:type="dxa"/>
            <w:vAlign w:val="bottom"/>
            <w:tcBorders>
              <w:top w:val="single" w:sz="8" w:color="auto"/>
            </w:tcBorders>
          </w:tcPr>
          <w:p>
            <w:pPr>
              <w:jc w:val="right"/>
              <w:spacing w:after="0" w:line="200" w:lineRule="exact"/>
              <w:rPr>
                <w:sz w:val="20"/>
                <w:szCs w:val="20"/>
                <w:color w:val="auto"/>
              </w:rPr>
            </w:pPr>
            <w:r>
              <w:rPr>
                <w:rFonts w:ascii="Arial" w:cs="Arial" w:eastAsia="Arial" w:hAnsi="Arial"/>
                <w:sz w:val="18"/>
                <w:szCs w:val="18"/>
                <w:color w:val="auto"/>
              </w:rPr>
              <w:t>153</w:t>
            </w:r>
          </w:p>
        </w:tc>
        <w:tc>
          <w:tcPr>
            <w:tcW w:w="6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spacing w:after="0" w:line="200" w:lineRule="exact"/>
              <w:rPr>
                <w:sz w:val="20"/>
                <w:szCs w:val="20"/>
                <w:color w:val="auto"/>
              </w:rPr>
            </w:pPr>
            <w:r>
              <w:rPr>
                <w:rFonts w:ascii="Arial" w:cs="Arial" w:eastAsia="Arial" w:hAnsi="Arial"/>
                <w:sz w:val="18"/>
                <w:szCs w:val="18"/>
                <w:color w:val="auto"/>
              </w:rPr>
              <w:t>125,290</w:t>
            </w:r>
          </w:p>
        </w:tc>
        <w:tc>
          <w:tcPr>
            <w:tcW w:w="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jc w:val="right"/>
              <w:spacing w:after="0" w:line="200" w:lineRule="exact"/>
              <w:rPr>
                <w:sz w:val="20"/>
                <w:szCs w:val="20"/>
                <w:color w:val="auto"/>
              </w:rPr>
            </w:pPr>
            <w:r>
              <w:rPr>
                <w:rFonts w:ascii="Arial" w:cs="Arial" w:eastAsia="Arial" w:hAnsi="Arial"/>
                <w:sz w:val="18"/>
                <w:szCs w:val="18"/>
                <w:color w:val="auto"/>
              </w:rPr>
              <w:t>116,399</w:t>
            </w:r>
          </w:p>
        </w:tc>
        <w:tc>
          <w:tcPr>
            <w:tcW w:w="80" w:type="dxa"/>
            <w:vAlign w:val="bottom"/>
          </w:tcPr>
          <w:p>
            <w:pPr>
              <w:spacing w:after="0"/>
              <w:rPr>
                <w:sz w:val="17"/>
                <w:szCs w:val="17"/>
                <w:color w:val="auto"/>
              </w:rPr>
            </w:pPr>
          </w:p>
        </w:tc>
        <w:tc>
          <w:tcPr>
            <w:tcW w:w="900" w:type="dxa"/>
            <w:vAlign w:val="bottom"/>
            <w:tcBorders>
              <w:top w:val="single" w:sz="8" w:color="auto"/>
            </w:tcBorders>
          </w:tcPr>
          <w:p>
            <w:pPr>
              <w:jc w:val="right"/>
              <w:spacing w:after="0" w:line="200" w:lineRule="exact"/>
              <w:rPr>
                <w:sz w:val="20"/>
                <w:szCs w:val="20"/>
                <w:color w:val="auto"/>
              </w:rPr>
            </w:pPr>
            <w:r>
              <w:rPr>
                <w:rFonts w:ascii="Arial" w:cs="Arial" w:eastAsia="Arial" w:hAnsi="Arial"/>
                <w:sz w:val="18"/>
                <w:szCs w:val="18"/>
                <w:color w:val="auto"/>
              </w:rPr>
              <w:t>148</w:t>
            </w:r>
          </w:p>
        </w:tc>
        <w:tc>
          <w:tcPr>
            <w:tcW w:w="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spacing w:after="0" w:line="200" w:lineRule="exact"/>
              <w:rPr>
                <w:sz w:val="20"/>
                <w:szCs w:val="20"/>
                <w:color w:val="auto"/>
              </w:rPr>
            </w:pPr>
            <w:r>
              <w:rPr>
                <w:rFonts w:ascii="Arial" w:cs="Arial" w:eastAsia="Arial" w:hAnsi="Arial"/>
                <w:sz w:val="18"/>
                <w:szCs w:val="18"/>
                <w:color w:val="auto"/>
              </w:rPr>
              <w:t>133,872</w:t>
            </w:r>
          </w:p>
        </w:tc>
        <w:tc>
          <w:tcPr>
            <w:tcW w:w="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spacing w:after="0" w:line="200" w:lineRule="exact"/>
              <w:rPr>
                <w:sz w:val="20"/>
                <w:szCs w:val="20"/>
                <w:color w:val="auto"/>
              </w:rPr>
            </w:pPr>
            <w:r>
              <w:rPr>
                <w:rFonts w:ascii="Arial" w:cs="Arial" w:eastAsia="Arial" w:hAnsi="Arial"/>
                <w:sz w:val="18"/>
                <w:szCs w:val="18"/>
                <w:color w:val="auto"/>
              </w:rPr>
              <w:t>127,974</w:t>
            </w:r>
          </w:p>
        </w:tc>
      </w:tr>
      <w:tr>
        <w:trPr>
          <w:trHeight w:val="214"/>
        </w:trPr>
        <w:tc>
          <w:tcPr>
            <w:tcW w:w="1880" w:type="dxa"/>
            <w:vAlign w:val="bottom"/>
          </w:tcPr>
          <w:p>
            <w:pPr>
              <w:spacing w:after="0"/>
              <w:rPr>
                <w:sz w:val="20"/>
                <w:szCs w:val="20"/>
                <w:color w:val="auto"/>
              </w:rPr>
            </w:pPr>
            <w:r>
              <w:rPr>
                <w:rFonts w:ascii="Arial" w:cs="Arial" w:eastAsia="Arial" w:hAnsi="Arial"/>
                <w:sz w:val="18"/>
                <w:szCs w:val="18"/>
                <w:color w:val="auto"/>
              </w:rPr>
              <w:t>Residential mortgage</w:t>
            </w:r>
          </w:p>
        </w:tc>
        <w:tc>
          <w:tcPr>
            <w:tcW w:w="840" w:type="dxa"/>
            <w:vAlign w:val="bottom"/>
          </w:tcPr>
          <w:p>
            <w:pPr>
              <w:jc w:val="right"/>
              <w:spacing w:after="0"/>
              <w:rPr>
                <w:sz w:val="20"/>
                <w:szCs w:val="20"/>
                <w:color w:val="auto"/>
              </w:rPr>
            </w:pPr>
            <w:r>
              <w:rPr>
                <w:rFonts w:ascii="Arial" w:cs="Arial" w:eastAsia="Arial" w:hAnsi="Arial"/>
                <w:sz w:val="18"/>
                <w:szCs w:val="18"/>
                <w:color w:val="auto"/>
              </w:rPr>
              <w:t>110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17,772</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16,381</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117</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20,323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19,296</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110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17,613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16,950</w:t>
            </w:r>
          </w:p>
        </w:tc>
      </w:tr>
      <w:tr>
        <w:trPr>
          <w:trHeight w:val="214"/>
        </w:trPr>
        <w:tc>
          <w:tcPr>
            <w:tcW w:w="1880" w:type="dxa"/>
            <w:vAlign w:val="bottom"/>
          </w:tcPr>
          <w:p>
            <w:pPr>
              <w:spacing w:after="0"/>
              <w:rPr>
                <w:sz w:val="20"/>
                <w:szCs w:val="20"/>
                <w:color w:val="auto"/>
              </w:rPr>
            </w:pPr>
            <w:r>
              <w:rPr>
                <w:rFonts w:ascii="Arial" w:cs="Arial" w:eastAsia="Arial" w:hAnsi="Arial"/>
                <w:sz w:val="18"/>
                <w:szCs w:val="18"/>
                <w:color w:val="auto"/>
                <w:w w:val="97"/>
              </w:rPr>
              <w:t>Residential construction</w:t>
            </w:r>
          </w:p>
        </w:tc>
        <w:tc>
          <w:tcPr>
            <w:tcW w:w="840" w:type="dxa"/>
            <w:vAlign w:val="bottom"/>
          </w:tcPr>
          <w:p>
            <w:pPr>
              <w:jc w:val="right"/>
              <w:spacing w:after="0"/>
              <w:rPr>
                <w:sz w:val="20"/>
                <w:szCs w:val="20"/>
                <w:color w:val="auto"/>
              </w:rPr>
            </w:pPr>
            <w:r>
              <w:rPr>
                <w:rFonts w:ascii="Arial" w:cs="Arial" w:eastAsia="Arial" w:hAnsi="Arial"/>
                <w:sz w:val="18"/>
                <w:szCs w:val="18"/>
                <w:color w:val="auto"/>
              </w:rPr>
              <w:t>51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11,895</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9,908</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67</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25,822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23,786</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72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25,123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22,178</w:t>
            </w:r>
          </w:p>
        </w:tc>
      </w:tr>
      <w:tr>
        <w:trPr>
          <w:trHeight w:val="235"/>
        </w:trPr>
        <w:tc>
          <w:tcPr>
            <w:tcW w:w="1880" w:type="dxa"/>
            <w:vAlign w:val="bottom"/>
          </w:tcPr>
          <w:p>
            <w:pPr>
              <w:spacing w:after="0"/>
              <w:rPr>
                <w:sz w:val="20"/>
                <w:szCs w:val="20"/>
                <w:color w:val="auto"/>
              </w:rPr>
            </w:pPr>
            <w:r>
              <w:rPr>
                <w:rFonts w:ascii="Arial" w:cs="Arial" w:eastAsia="Arial" w:hAnsi="Arial"/>
                <w:sz w:val="18"/>
                <w:szCs w:val="18"/>
                <w:color w:val="auto"/>
              </w:rPr>
              <w:t>Consumer installment</w:t>
            </w:r>
          </w:p>
        </w:tc>
        <w:tc>
          <w:tcPr>
            <w:tcW w:w="840" w:type="dxa"/>
            <w:vAlign w:val="bottom"/>
          </w:tcPr>
          <w:p>
            <w:pPr>
              <w:jc w:val="right"/>
              <w:spacing w:after="0"/>
              <w:rPr>
                <w:sz w:val="20"/>
                <w:szCs w:val="20"/>
                <w:color w:val="auto"/>
              </w:rPr>
            </w:pPr>
            <w:r>
              <w:rPr>
                <w:rFonts w:ascii="Arial" w:cs="Arial" w:eastAsia="Arial" w:hAnsi="Arial"/>
                <w:sz w:val="18"/>
                <w:szCs w:val="18"/>
                <w:color w:val="auto"/>
              </w:rPr>
              <w:t>42</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447</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337</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51</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1,292</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1,282</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47</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521</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511</w:t>
            </w:r>
          </w:p>
        </w:tc>
      </w:tr>
      <w:tr>
        <w:trPr>
          <w:trHeight w:val="214"/>
        </w:trPr>
        <w:tc>
          <w:tcPr>
            <w:tcW w:w="1880" w:type="dxa"/>
            <w:vAlign w:val="bottom"/>
          </w:tcPr>
          <w:p>
            <w:pPr>
              <w:ind w:left="140"/>
              <w:spacing w:after="0"/>
              <w:rPr>
                <w:sz w:val="20"/>
                <w:szCs w:val="20"/>
                <w:color w:val="auto"/>
              </w:rPr>
            </w:pPr>
            <w:r>
              <w:rPr>
                <w:rFonts w:ascii="Arial" w:cs="Arial" w:eastAsia="Arial" w:hAnsi="Arial"/>
                <w:sz w:val="18"/>
                <w:szCs w:val="18"/>
                <w:color w:val="auto"/>
              </w:rPr>
              <w:t>Total loans</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328</w:t>
            </w:r>
          </w:p>
        </w:tc>
        <w:tc>
          <w:tcPr>
            <w:tcW w:w="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92,264</w:t>
            </w:r>
          </w:p>
        </w:tc>
        <w:tc>
          <w:tcPr>
            <w:tcW w:w="6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84,877</w:t>
            </w:r>
          </w:p>
        </w:tc>
        <w:tc>
          <w:tcPr>
            <w:tcW w:w="60" w:type="dxa"/>
            <w:vAlign w:val="bottom"/>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388</w:t>
            </w:r>
          </w:p>
        </w:tc>
        <w:tc>
          <w:tcPr>
            <w:tcW w:w="60" w:type="dxa"/>
            <w:vAlign w:val="bottom"/>
            <w:tcBorders>
              <w:top w:val="single" w:sz="8" w:color="auto"/>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172,727</w:t>
            </w: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160,763</w:t>
            </w:r>
          </w:p>
        </w:tc>
        <w:tc>
          <w:tcPr>
            <w:tcW w:w="80" w:type="dxa"/>
            <w:vAlign w:val="bottom"/>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377</w:t>
            </w:r>
          </w:p>
        </w:tc>
        <w:tc>
          <w:tcPr>
            <w:tcW w:w="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177,129</w:t>
            </w:r>
          </w:p>
        </w:tc>
        <w:tc>
          <w:tcPr>
            <w:tcW w:w="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167,613</w:t>
            </w:r>
          </w:p>
        </w:tc>
      </w:tr>
      <w:tr>
        <w:trPr>
          <w:trHeight w:val="20"/>
        </w:trPr>
        <w:tc>
          <w:tcPr>
            <w:tcW w:w="18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27" w:lineRule="exact"/>
        <w:rPr>
          <w:sz w:val="20"/>
          <w:szCs w:val="20"/>
          <w:color w:val="auto"/>
        </w:rPr>
      </w:pPr>
    </w:p>
    <w:p>
      <w:pPr>
        <w:jc w:val="both"/>
        <w:spacing w:after="0" w:line="307" w:lineRule="auto"/>
        <w:rPr>
          <w:sz w:val="20"/>
          <w:szCs w:val="20"/>
          <w:color w:val="auto"/>
        </w:rPr>
      </w:pPr>
      <w:r>
        <w:rPr>
          <w:rFonts w:ascii="Arial" w:cs="Arial" w:eastAsia="Arial" w:hAnsi="Arial"/>
          <w:sz w:val="16"/>
          <w:szCs w:val="16"/>
          <w:color w:val="auto"/>
        </w:rPr>
        <w:t xml:space="preserve">Loans modified under the terms of a TDR during the three and six months ended June 30, 2013 and 2012 are presented in the table below. In addition, the following table presents loans modified under the terms of a TDR that became 90 days or more delinquent during the three and six months ended June 30, 2013 and 2012 that were initially restructured within one year prior to the three and six months ended June 30, 2013 and 2012 </w:t>
      </w:r>
      <w:r>
        <w:rPr>
          <w:rFonts w:ascii="Arial" w:cs="Arial" w:eastAsia="Arial" w:hAnsi="Arial"/>
          <w:sz w:val="16"/>
          <w:szCs w:val="16"/>
          <w:i w:val="1"/>
          <w:iCs w:val="1"/>
          <w:color w:val="auto"/>
        </w:rPr>
        <w:t>(dollars in thousands)</w:t>
      </w:r>
      <w:r>
        <w:rPr>
          <w:rFonts w:ascii="Arial" w:cs="Arial" w:eastAsia="Arial" w:hAnsi="Arial"/>
          <w:sz w:val="16"/>
          <w:szCs w:val="16"/>
          <w:color w:val="auto"/>
        </w:rPr>
        <w:t>.</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4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80" w:type="dxa"/>
            <w:vAlign w:val="bottom"/>
            <w:gridSpan w:val="4"/>
          </w:tcPr>
          <w:p>
            <w:pPr>
              <w:jc w:val="center"/>
              <w:ind w:right="91"/>
              <w:spacing w:after="0"/>
              <w:rPr>
                <w:sz w:val="20"/>
                <w:szCs w:val="20"/>
                <w:color w:val="auto"/>
              </w:rPr>
            </w:pPr>
            <w:r>
              <w:rPr>
                <w:rFonts w:ascii="Arial" w:cs="Arial" w:eastAsia="Arial" w:hAnsi="Arial"/>
                <w:sz w:val="18"/>
                <w:szCs w:val="18"/>
                <w:b w:val="1"/>
                <w:bCs w:val="1"/>
                <w:color w:val="auto"/>
                <w:w w:val="91"/>
              </w:rPr>
              <w:t>Modified Within the Previous</w:t>
            </w:r>
          </w:p>
        </w:tc>
      </w:tr>
      <w:tr>
        <w:trPr>
          <w:trHeight w:val="214"/>
        </w:trPr>
        <w:tc>
          <w:tcPr>
            <w:tcW w:w="4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80" w:type="dxa"/>
            <w:vAlign w:val="bottom"/>
            <w:gridSpan w:val="4"/>
          </w:tcPr>
          <w:p>
            <w:pPr>
              <w:jc w:val="center"/>
              <w:ind w:right="111"/>
              <w:spacing w:after="0"/>
              <w:rPr>
                <w:sz w:val="20"/>
                <w:szCs w:val="20"/>
                <w:color w:val="auto"/>
              </w:rPr>
            </w:pPr>
            <w:r>
              <w:rPr>
                <w:rFonts w:ascii="Arial" w:cs="Arial" w:eastAsia="Arial" w:hAnsi="Arial"/>
                <w:sz w:val="18"/>
                <w:szCs w:val="18"/>
                <w:b w:val="1"/>
                <w:bCs w:val="1"/>
                <w:color w:val="auto"/>
                <w:w w:val="91"/>
              </w:rPr>
              <w:t>Twelve Months that Have</w:t>
            </w:r>
          </w:p>
        </w:tc>
      </w:tr>
      <w:tr>
        <w:trPr>
          <w:trHeight w:val="214"/>
        </w:trPr>
        <w:tc>
          <w:tcPr>
            <w:tcW w:w="4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center"/>
              <w:ind w:right="131"/>
              <w:spacing w:after="0"/>
              <w:rPr>
                <w:sz w:val="20"/>
                <w:szCs w:val="20"/>
                <w:color w:val="auto"/>
              </w:rPr>
            </w:pPr>
            <w:r>
              <w:rPr>
                <w:rFonts w:ascii="Arial" w:cs="Arial" w:eastAsia="Arial" w:hAnsi="Arial"/>
                <w:sz w:val="18"/>
                <w:szCs w:val="18"/>
                <w:b w:val="1"/>
                <w:bCs w:val="1"/>
                <w:color w:val="auto"/>
                <w:w w:val="91"/>
              </w:rPr>
              <w:t>Pre-</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8"/>
              </w:rPr>
              <w:t>Post-</w:t>
            </w:r>
          </w:p>
        </w:tc>
        <w:tc>
          <w:tcPr>
            <w:tcW w:w="2580" w:type="dxa"/>
            <w:vAlign w:val="bottom"/>
            <w:gridSpan w:val="5"/>
          </w:tcPr>
          <w:p>
            <w:pPr>
              <w:jc w:val="center"/>
              <w:ind w:right="11"/>
              <w:spacing w:after="0"/>
              <w:rPr>
                <w:sz w:val="20"/>
                <w:szCs w:val="20"/>
                <w:color w:val="auto"/>
              </w:rPr>
            </w:pPr>
            <w:r>
              <w:rPr>
                <w:rFonts w:ascii="Arial" w:cs="Arial" w:eastAsia="Arial" w:hAnsi="Arial"/>
                <w:sz w:val="18"/>
                <w:szCs w:val="18"/>
                <w:b w:val="1"/>
                <w:bCs w:val="1"/>
                <w:color w:val="auto"/>
                <w:w w:val="89"/>
              </w:rPr>
              <w:t>Subsequently Defaulted During</w:t>
            </w:r>
          </w:p>
        </w:tc>
      </w:tr>
      <w:tr>
        <w:trPr>
          <w:trHeight w:val="214"/>
        </w:trPr>
        <w:tc>
          <w:tcPr>
            <w:tcW w:w="4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center"/>
              <w:ind w:right="11"/>
              <w:spacing w:after="0"/>
              <w:rPr>
                <w:sz w:val="20"/>
                <w:szCs w:val="20"/>
                <w:color w:val="auto"/>
              </w:rPr>
            </w:pPr>
            <w:r>
              <w:rPr>
                <w:rFonts w:ascii="Arial" w:cs="Arial" w:eastAsia="Arial" w:hAnsi="Arial"/>
                <w:sz w:val="18"/>
                <w:szCs w:val="18"/>
                <w:b w:val="1"/>
                <w:bCs w:val="1"/>
                <w:color w:val="auto"/>
                <w:w w:val="92"/>
              </w:rPr>
              <w:t>Modification</w:t>
            </w:r>
          </w:p>
        </w:tc>
        <w:tc>
          <w:tcPr>
            <w:tcW w:w="120" w:type="dxa"/>
            <w:vAlign w:val="bottom"/>
          </w:tcPr>
          <w:p>
            <w:pPr>
              <w:spacing w:after="0"/>
              <w:rPr>
                <w:sz w:val="18"/>
                <w:szCs w:val="18"/>
                <w:color w:val="auto"/>
              </w:rPr>
            </w:pPr>
          </w:p>
        </w:tc>
        <w:tc>
          <w:tcPr>
            <w:tcW w:w="136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2"/>
              </w:rPr>
              <w:t>Modification</w:t>
            </w:r>
          </w:p>
        </w:tc>
        <w:tc>
          <w:tcPr>
            <w:tcW w:w="100" w:type="dxa"/>
            <w:vAlign w:val="bottom"/>
          </w:tcPr>
          <w:p>
            <w:pPr>
              <w:spacing w:after="0"/>
              <w:rPr>
                <w:sz w:val="18"/>
                <w:szCs w:val="18"/>
                <w:color w:val="auto"/>
              </w:rPr>
            </w:pPr>
          </w:p>
        </w:tc>
        <w:tc>
          <w:tcPr>
            <w:tcW w:w="2480" w:type="dxa"/>
            <w:vAlign w:val="bottom"/>
            <w:gridSpan w:val="4"/>
          </w:tcPr>
          <w:p>
            <w:pPr>
              <w:jc w:val="center"/>
              <w:ind w:right="111"/>
              <w:spacing w:after="0"/>
              <w:rPr>
                <w:sz w:val="20"/>
                <w:szCs w:val="20"/>
                <w:color w:val="auto"/>
              </w:rPr>
            </w:pPr>
            <w:r>
              <w:rPr>
                <w:rFonts w:ascii="Arial" w:cs="Arial" w:eastAsia="Arial" w:hAnsi="Arial"/>
                <w:sz w:val="18"/>
                <w:szCs w:val="18"/>
                <w:b w:val="1"/>
                <w:bCs w:val="1"/>
                <w:color w:val="auto"/>
                <w:w w:val="91"/>
              </w:rPr>
              <w:t>the Three Months Ended</w:t>
            </w:r>
          </w:p>
        </w:tc>
      </w:tr>
      <w:tr>
        <w:trPr>
          <w:trHeight w:val="239"/>
        </w:trPr>
        <w:tc>
          <w:tcPr>
            <w:tcW w:w="4580" w:type="dxa"/>
            <w:vAlign w:val="bottom"/>
          </w:tcPr>
          <w:p>
            <w:pPr>
              <w:spacing w:after="0"/>
              <w:rPr>
                <w:sz w:val="20"/>
                <w:szCs w:val="20"/>
                <w:color w:val="auto"/>
              </w:rPr>
            </w:pPr>
            <w:r>
              <w:rPr>
                <w:rFonts w:ascii="Arial" w:cs="Arial" w:eastAsia="Arial" w:hAnsi="Arial"/>
                <w:sz w:val="18"/>
                <w:szCs w:val="18"/>
                <w:b w:val="1"/>
                <w:bCs w:val="1"/>
                <w:color w:val="auto"/>
              </w:rPr>
              <w:t>New Troubled Debt</w:t>
            </w: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Pr>
          <w:p>
            <w:pPr>
              <w:jc w:val="center"/>
              <w:ind w:right="131"/>
              <w:spacing w:after="0"/>
              <w:rPr>
                <w:sz w:val="20"/>
                <w:szCs w:val="20"/>
                <w:color w:val="auto"/>
              </w:rPr>
            </w:pPr>
            <w:r>
              <w:rPr>
                <w:rFonts w:ascii="Arial" w:cs="Arial" w:eastAsia="Arial" w:hAnsi="Arial"/>
                <w:sz w:val="18"/>
                <w:szCs w:val="18"/>
                <w:b w:val="1"/>
                <w:bCs w:val="1"/>
                <w:color w:val="auto"/>
                <w:w w:val="90"/>
              </w:rPr>
              <w:t>Outstanding</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Outstanding</w:t>
            </w:r>
          </w:p>
        </w:tc>
        <w:tc>
          <w:tcPr>
            <w:tcW w:w="100" w:type="dxa"/>
            <w:vAlign w:val="bottom"/>
            <w:tcBorders>
              <w:bottom w:val="single" w:sz="8" w:color="auto"/>
            </w:tcBorders>
          </w:tcPr>
          <w:p>
            <w:pPr>
              <w:spacing w:after="0"/>
              <w:rPr>
                <w:sz w:val="20"/>
                <w:szCs w:val="20"/>
                <w:color w:val="auto"/>
              </w:rPr>
            </w:pPr>
          </w:p>
        </w:tc>
        <w:tc>
          <w:tcPr>
            <w:tcW w:w="2480" w:type="dxa"/>
            <w:vAlign w:val="bottom"/>
            <w:tcBorders>
              <w:bottom w:val="single" w:sz="8" w:color="auto"/>
            </w:tcBorders>
            <w:gridSpan w:val="4"/>
          </w:tcPr>
          <w:p>
            <w:pPr>
              <w:jc w:val="center"/>
              <w:ind w:right="111"/>
              <w:spacing w:after="0"/>
              <w:rPr>
                <w:sz w:val="20"/>
                <w:szCs w:val="20"/>
                <w:color w:val="auto"/>
              </w:rPr>
            </w:pPr>
            <w:r>
              <w:rPr>
                <w:rFonts w:ascii="Arial" w:cs="Arial" w:eastAsia="Arial" w:hAnsi="Arial"/>
                <w:sz w:val="18"/>
                <w:szCs w:val="18"/>
                <w:b w:val="1"/>
                <w:bCs w:val="1"/>
                <w:color w:val="auto"/>
                <w:w w:val="88"/>
              </w:rPr>
              <w:t>June 30, 2013</w:t>
            </w:r>
          </w:p>
        </w:tc>
      </w:tr>
      <w:tr>
        <w:trPr>
          <w:trHeight w:val="196"/>
        </w:trPr>
        <w:tc>
          <w:tcPr>
            <w:tcW w:w="4580" w:type="dxa"/>
            <w:vAlign w:val="bottom"/>
          </w:tcPr>
          <w:p>
            <w:pPr>
              <w:spacing w:after="0" w:line="196" w:lineRule="exact"/>
              <w:rPr>
                <w:sz w:val="20"/>
                <w:szCs w:val="20"/>
                <w:color w:val="auto"/>
              </w:rPr>
            </w:pPr>
            <w:r>
              <w:rPr>
                <w:rFonts w:ascii="Arial" w:cs="Arial" w:eastAsia="Arial" w:hAnsi="Arial"/>
                <w:sz w:val="18"/>
                <w:szCs w:val="18"/>
                <w:b w:val="1"/>
                <w:bCs w:val="1"/>
                <w:color w:val="auto"/>
              </w:rPr>
              <w:t>Restructurings for the Three</w:t>
            </w:r>
          </w:p>
        </w:tc>
        <w:tc>
          <w:tcPr>
            <w:tcW w:w="120" w:type="dxa"/>
            <w:vAlign w:val="bottom"/>
          </w:tcPr>
          <w:p>
            <w:pPr>
              <w:spacing w:after="0"/>
              <w:rPr>
                <w:sz w:val="17"/>
                <w:szCs w:val="17"/>
                <w:color w:val="auto"/>
              </w:rPr>
            </w:pPr>
          </w:p>
        </w:tc>
        <w:tc>
          <w:tcPr>
            <w:tcW w:w="1260" w:type="dxa"/>
            <w:vAlign w:val="bottom"/>
          </w:tcPr>
          <w:p>
            <w:pPr>
              <w:jc w:val="right"/>
              <w:ind w:right="191"/>
              <w:spacing w:after="0" w:line="196" w:lineRule="exact"/>
              <w:rPr>
                <w:sz w:val="20"/>
                <w:szCs w:val="20"/>
                <w:color w:val="auto"/>
              </w:rPr>
            </w:pPr>
            <w:r>
              <w:rPr>
                <w:rFonts w:ascii="Arial" w:cs="Arial" w:eastAsia="Arial" w:hAnsi="Arial"/>
                <w:sz w:val="18"/>
                <w:szCs w:val="18"/>
                <w:b w:val="1"/>
                <w:bCs w:val="1"/>
                <w:color w:val="auto"/>
              </w:rPr>
              <w:t>Number of</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jc w:val="center"/>
              <w:ind w:right="111"/>
              <w:spacing w:after="0" w:line="196" w:lineRule="exact"/>
              <w:rPr>
                <w:sz w:val="20"/>
                <w:szCs w:val="20"/>
                <w:color w:val="auto"/>
              </w:rPr>
            </w:pPr>
            <w:r>
              <w:rPr>
                <w:rFonts w:ascii="Arial" w:cs="Arial" w:eastAsia="Arial" w:hAnsi="Arial"/>
                <w:sz w:val="18"/>
                <w:szCs w:val="18"/>
                <w:b w:val="1"/>
                <w:bCs w:val="1"/>
                <w:color w:val="auto"/>
                <w:w w:val="89"/>
              </w:rPr>
              <w:t>Recorded</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gridSpan w:val="2"/>
          </w:tcPr>
          <w:p>
            <w:pPr>
              <w:jc w:val="center"/>
              <w:ind w:right="300"/>
              <w:spacing w:after="0" w:line="196" w:lineRule="exact"/>
              <w:rPr>
                <w:sz w:val="20"/>
                <w:szCs w:val="20"/>
                <w:color w:val="auto"/>
              </w:rPr>
            </w:pPr>
            <w:r>
              <w:rPr>
                <w:rFonts w:ascii="Arial" w:cs="Arial" w:eastAsia="Arial" w:hAnsi="Arial"/>
                <w:sz w:val="18"/>
                <w:szCs w:val="18"/>
                <w:b w:val="1"/>
                <w:bCs w:val="1"/>
                <w:color w:val="auto"/>
                <w:w w:val="86"/>
              </w:rPr>
              <w:t>Recorded</w:t>
            </w:r>
          </w:p>
        </w:tc>
        <w:tc>
          <w:tcPr>
            <w:tcW w:w="100" w:type="dxa"/>
            <w:vAlign w:val="bottom"/>
          </w:tcPr>
          <w:p>
            <w:pPr>
              <w:spacing w:after="0"/>
              <w:rPr>
                <w:sz w:val="17"/>
                <w:szCs w:val="17"/>
                <w:color w:val="auto"/>
              </w:rPr>
            </w:pPr>
          </w:p>
        </w:tc>
        <w:tc>
          <w:tcPr>
            <w:tcW w:w="1140" w:type="dxa"/>
            <w:vAlign w:val="bottom"/>
          </w:tcPr>
          <w:p>
            <w:pPr>
              <w:jc w:val="right"/>
              <w:ind w:right="171"/>
              <w:spacing w:after="0" w:line="196" w:lineRule="exact"/>
              <w:rPr>
                <w:sz w:val="20"/>
                <w:szCs w:val="20"/>
                <w:color w:val="auto"/>
              </w:rPr>
            </w:pPr>
            <w:r>
              <w:rPr>
                <w:rFonts w:ascii="Arial" w:cs="Arial" w:eastAsia="Arial" w:hAnsi="Arial"/>
                <w:sz w:val="18"/>
                <w:szCs w:val="18"/>
                <w:b w:val="1"/>
                <w:bCs w:val="1"/>
                <w:color w:val="auto"/>
                <w:w w:val="95"/>
              </w:rPr>
              <w:t>Number of</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right"/>
              <w:ind w:right="211"/>
              <w:spacing w:after="0" w:line="196" w:lineRule="exact"/>
              <w:rPr>
                <w:sz w:val="20"/>
                <w:szCs w:val="20"/>
                <w:color w:val="auto"/>
              </w:rPr>
            </w:pPr>
            <w:r>
              <w:rPr>
                <w:rFonts w:ascii="Arial" w:cs="Arial" w:eastAsia="Arial" w:hAnsi="Arial"/>
                <w:sz w:val="18"/>
                <w:szCs w:val="18"/>
                <w:b w:val="1"/>
                <w:bCs w:val="1"/>
                <w:color w:val="auto"/>
                <w:w w:val="96"/>
              </w:rPr>
              <w:t>Recorded</w:t>
            </w:r>
          </w:p>
        </w:tc>
      </w:tr>
      <w:tr>
        <w:trPr>
          <w:trHeight w:val="239"/>
        </w:trPr>
        <w:tc>
          <w:tcPr>
            <w:tcW w:w="45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Months Ended June 30, 2013</w:t>
            </w:r>
          </w:p>
        </w:tc>
        <w:tc>
          <w:tcPr>
            <w:tcW w:w="120" w:type="dxa"/>
            <w:vAlign w:val="bottom"/>
          </w:tcPr>
          <w:p>
            <w:pPr>
              <w:spacing w:after="0"/>
              <w:rPr>
                <w:sz w:val="20"/>
                <w:szCs w:val="20"/>
                <w:color w:val="auto"/>
              </w:rPr>
            </w:pPr>
          </w:p>
        </w:tc>
        <w:tc>
          <w:tcPr>
            <w:tcW w:w="1260" w:type="dxa"/>
            <w:vAlign w:val="bottom"/>
            <w:tcBorders>
              <w:bottom w:val="single" w:sz="8" w:color="auto"/>
            </w:tcBorders>
          </w:tcPr>
          <w:p>
            <w:pPr>
              <w:jc w:val="right"/>
              <w:ind w:right="231"/>
              <w:spacing w:after="0"/>
              <w:rPr>
                <w:sz w:val="20"/>
                <w:szCs w:val="20"/>
                <w:color w:val="auto"/>
              </w:rPr>
            </w:pPr>
            <w:r>
              <w:rPr>
                <w:rFonts w:ascii="Arial" w:cs="Arial" w:eastAsia="Arial" w:hAnsi="Arial"/>
                <w:sz w:val="18"/>
                <w:szCs w:val="18"/>
                <w:b w:val="1"/>
                <w:bCs w:val="1"/>
                <w:color w:val="auto"/>
              </w:rPr>
              <w:t>Contracts</w:t>
            </w: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center"/>
              <w:ind w:right="111"/>
              <w:spacing w:after="0"/>
              <w:rPr>
                <w:sz w:val="20"/>
                <w:szCs w:val="20"/>
                <w:color w:val="auto"/>
              </w:rPr>
            </w:pPr>
            <w:r>
              <w:rPr>
                <w:rFonts w:ascii="Arial" w:cs="Arial" w:eastAsia="Arial" w:hAnsi="Arial"/>
                <w:sz w:val="18"/>
                <w:szCs w:val="18"/>
                <w:b w:val="1"/>
                <w:bCs w:val="1"/>
                <w:color w:val="auto"/>
                <w:w w:val="90"/>
              </w:rPr>
              <w:t>Investment</w:t>
            </w: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center"/>
              <w:ind w:right="111"/>
              <w:spacing w:after="0"/>
              <w:rPr>
                <w:sz w:val="20"/>
                <w:szCs w:val="20"/>
                <w:color w:val="auto"/>
              </w:rPr>
            </w:pPr>
            <w:r>
              <w:rPr>
                <w:rFonts w:ascii="Arial" w:cs="Arial" w:eastAsia="Arial" w:hAnsi="Arial"/>
                <w:sz w:val="18"/>
                <w:szCs w:val="18"/>
                <w:b w:val="1"/>
                <w:bCs w:val="1"/>
                <w:color w:val="auto"/>
                <w:w w:val="88"/>
              </w:rPr>
              <w:t>Investment</w:t>
            </w: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211"/>
              <w:spacing w:after="0"/>
              <w:rPr>
                <w:sz w:val="20"/>
                <w:szCs w:val="20"/>
                <w:color w:val="auto"/>
              </w:rPr>
            </w:pPr>
            <w:r>
              <w:rPr>
                <w:rFonts w:ascii="Arial" w:cs="Arial" w:eastAsia="Arial" w:hAnsi="Arial"/>
                <w:sz w:val="18"/>
                <w:szCs w:val="18"/>
                <w:b w:val="1"/>
                <w:bCs w:val="1"/>
                <w:color w:val="auto"/>
                <w:w w:val="97"/>
              </w:rPr>
              <w:t>Contracts</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b w:val="1"/>
                <w:bCs w:val="1"/>
                <w:color w:val="auto"/>
                <w:w w:val="90"/>
              </w:rPr>
              <w:t>Investment</w:t>
            </w:r>
          </w:p>
        </w:tc>
      </w:tr>
      <w:tr>
        <w:trPr>
          <w:trHeight w:val="414"/>
        </w:trPr>
        <w:tc>
          <w:tcPr>
            <w:tcW w:w="4580" w:type="dxa"/>
            <w:vAlign w:val="bottom"/>
          </w:tcPr>
          <w:p>
            <w:pPr>
              <w:spacing w:after="0"/>
              <w:rPr>
                <w:sz w:val="20"/>
                <w:szCs w:val="20"/>
                <w:color w:val="auto"/>
              </w:rPr>
            </w:pPr>
            <w:r>
              <w:rPr>
                <w:rFonts w:ascii="Arial" w:cs="Arial" w:eastAsia="Arial" w:hAnsi="Arial"/>
                <w:sz w:val="18"/>
                <w:szCs w:val="18"/>
                <w:color w:val="auto"/>
              </w:rPr>
              <w:t>Commercial (secured by real estate)</w:t>
            </w:r>
          </w:p>
        </w:tc>
        <w:tc>
          <w:tcPr>
            <w:tcW w:w="1380" w:type="dxa"/>
            <w:vAlign w:val="bottom"/>
            <w:gridSpan w:val="2"/>
          </w:tcPr>
          <w:p>
            <w:pPr>
              <w:jc w:val="right"/>
              <w:ind w:right="31"/>
              <w:spacing w:after="0"/>
              <w:rPr>
                <w:sz w:val="20"/>
                <w:szCs w:val="20"/>
                <w:color w:val="auto"/>
              </w:rPr>
            </w:pPr>
            <w:r>
              <w:rPr>
                <w:rFonts w:ascii="Arial" w:cs="Arial" w:eastAsia="Arial" w:hAnsi="Arial"/>
                <w:sz w:val="18"/>
                <w:szCs w:val="18"/>
                <w:color w:val="auto"/>
              </w:rPr>
              <w:t>9</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6,523</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6,523</w:t>
            </w:r>
          </w:p>
        </w:tc>
        <w:tc>
          <w:tcPr>
            <w:tcW w:w="10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14"/>
        </w:trPr>
        <w:tc>
          <w:tcPr>
            <w:tcW w:w="4580" w:type="dxa"/>
            <w:vAlign w:val="bottom"/>
          </w:tcPr>
          <w:p>
            <w:pPr>
              <w:spacing w:after="0"/>
              <w:rPr>
                <w:sz w:val="20"/>
                <w:szCs w:val="20"/>
                <w:color w:val="auto"/>
              </w:rPr>
            </w:pPr>
            <w:r>
              <w:rPr>
                <w:rFonts w:ascii="Arial" w:cs="Arial" w:eastAsia="Arial" w:hAnsi="Arial"/>
                <w:sz w:val="18"/>
                <w:szCs w:val="18"/>
                <w:color w:val="auto"/>
              </w:rPr>
              <w:t>Commercial &amp; industrial</w:t>
            </w:r>
          </w:p>
        </w:tc>
        <w:tc>
          <w:tcPr>
            <w:tcW w:w="1380" w:type="dxa"/>
            <w:vAlign w:val="bottom"/>
            <w:gridSpan w:val="2"/>
          </w:tcPr>
          <w:p>
            <w:pPr>
              <w:jc w:val="right"/>
              <w:ind w:right="3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35"/>
        </w:trPr>
        <w:tc>
          <w:tcPr>
            <w:tcW w:w="4580" w:type="dxa"/>
            <w:vAlign w:val="bottom"/>
          </w:tcPr>
          <w:p>
            <w:pPr>
              <w:spacing w:after="0"/>
              <w:rPr>
                <w:sz w:val="20"/>
                <w:szCs w:val="20"/>
                <w:color w:val="auto"/>
              </w:rPr>
            </w:pPr>
            <w:r>
              <w:rPr>
                <w:rFonts w:ascii="Arial" w:cs="Arial" w:eastAsia="Arial" w:hAnsi="Arial"/>
                <w:sz w:val="18"/>
                <w:szCs w:val="18"/>
                <w:color w:val="auto"/>
              </w:rPr>
              <w:t>Commercial construction</w:t>
            </w:r>
          </w:p>
        </w:tc>
        <w:tc>
          <w:tcPr>
            <w:tcW w:w="1380" w:type="dxa"/>
            <w:vAlign w:val="bottom"/>
            <w:gridSpan w:val="2"/>
          </w:tcPr>
          <w:p>
            <w:pPr>
              <w:jc w:val="right"/>
              <w:ind w:right="3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00"/>
        </w:trPr>
        <w:tc>
          <w:tcPr>
            <w:tcW w:w="4580" w:type="dxa"/>
            <w:vAlign w:val="bottom"/>
          </w:tcPr>
          <w:p>
            <w:pPr>
              <w:ind w:left="220"/>
              <w:spacing w:after="0" w:line="200" w:lineRule="exact"/>
              <w:rPr>
                <w:sz w:val="20"/>
                <w:szCs w:val="20"/>
                <w:color w:val="auto"/>
              </w:rPr>
            </w:pPr>
            <w:r>
              <w:rPr>
                <w:rFonts w:ascii="Arial" w:cs="Arial" w:eastAsia="Arial" w:hAnsi="Arial"/>
                <w:sz w:val="18"/>
                <w:szCs w:val="18"/>
                <w:color w:val="auto"/>
              </w:rPr>
              <w:t>Total commercial</w:t>
            </w:r>
          </w:p>
        </w:tc>
        <w:tc>
          <w:tcPr>
            <w:tcW w:w="120" w:type="dxa"/>
            <w:vAlign w:val="bottom"/>
          </w:tcPr>
          <w:p>
            <w:pPr>
              <w:spacing w:after="0"/>
              <w:rPr>
                <w:sz w:val="17"/>
                <w:szCs w:val="17"/>
                <w:color w:val="auto"/>
              </w:rPr>
            </w:pPr>
          </w:p>
        </w:tc>
        <w:tc>
          <w:tcPr>
            <w:tcW w:w="1260" w:type="dxa"/>
            <w:vAlign w:val="bottom"/>
            <w:tcBorders>
              <w:top w:val="single" w:sz="8" w:color="auto"/>
            </w:tcBorders>
          </w:tcPr>
          <w:p>
            <w:pPr>
              <w:jc w:val="right"/>
              <w:ind w:right="31"/>
              <w:spacing w:after="0" w:line="200" w:lineRule="exact"/>
              <w:rPr>
                <w:sz w:val="20"/>
                <w:szCs w:val="20"/>
                <w:color w:val="auto"/>
              </w:rPr>
            </w:pPr>
            <w:r>
              <w:rPr>
                <w:rFonts w:ascii="Arial" w:cs="Arial" w:eastAsia="Arial" w:hAnsi="Arial"/>
                <w:sz w:val="18"/>
                <w:szCs w:val="18"/>
                <w:color w:val="auto"/>
              </w:rPr>
              <w:t>9</w:t>
            </w:r>
          </w:p>
        </w:tc>
        <w:tc>
          <w:tcPr>
            <w:tcW w:w="1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jc w:val="right"/>
              <w:ind w:right="31"/>
              <w:spacing w:after="0" w:line="200" w:lineRule="exact"/>
              <w:rPr>
                <w:sz w:val="20"/>
                <w:szCs w:val="20"/>
                <w:color w:val="auto"/>
              </w:rPr>
            </w:pPr>
            <w:r>
              <w:rPr>
                <w:rFonts w:ascii="Arial" w:cs="Arial" w:eastAsia="Arial" w:hAnsi="Arial"/>
                <w:sz w:val="18"/>
                <w:szCs w:val="18"/>
                <w:color w:val="auto"/>
              </w:rPr>
              <w:t>6,523</w:t>
            </w:r>
          </w:p>
        </w:tc>
        <w:tc>
          <w:tcPr>
            <w:tcW w:w="1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jc w:val="right"/>
              <w:ind w:right="11"/>
              <w:spacing w:after="0" w:line="200" w:lineRule="exact"/>
              <w:rPr>
                <w:sz w:val="20"/>
                <w:szCs w:val="20"/>
                <w:color w:val="auto"/>
              </w:rPr>
            </w:pPr>
            <w:r>
              <w:rPr>
                <w:rFonts w:ascii="Arial" w:cs="Arial" w:eastAsia="Arial" w:hAnsi="Arial"/>
                <w:sz w:val="18"/>
                <w:szCs w:val="18"/>
                <w:color w:val="auto"/>
              </w:rPr>
              <w:t>6,523</w:t>
            </w:r>
          </w:p>
        </w:tc>
        <w:tc>
          <w:tcPr>
            <w:tcW w:w="1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jc w:val="right"/>
              <w:ind w:right="11"/>
              <w:spacing w:after="0" w:line="200"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right"/>
              <w:ind w:right="11"/>
              <w:spacing w:after="0" w:line="200" w:lineRule="exact"/>
              <w:rPr>
                <w:sz w:val="20"/>
                <w:szCs w:val="20"/>
                <w:color w:val="auto"/>
              </w:rPr>
            </w:pPr>
            <w:r>
              <w:rPr>
                <w:rFonts w:ascii="Arial" w:cs="Arial" w:eastAsia="Arial" w:hAnsi="Arial"/>
                <w:sz w:val="18"/>
                <w:szCs w:val="18"/>
                <w:color w:val="auto"/>
              </w:rPr>
              <w:t>-</w:t>
            </w:r>
          </w:p>
        </w:tc>
      </w:tr>
      <w:tr>
        <w:trPr>
          <w:trHeight w:val="214"/>
        </w:trPr>
        <w:tc>
          <w:tcPr>
            <w:tcW w:w="4580" w:type="dxa"/>
            <w:vAlign w:val="bottom"/>
          </w:tcPr>
          <w:p>
            <w:pPr>
              <w:spacing w:after="0"/>
              <w:rPr>
                <w:sz w:val="20"/>
                <w:szCs w:val="20"/>
                <w:color w:val="auto"/>
              </w:rPr>
            </w:pPr>
            <w:r>
              <w:rPr>
                <w:rFonts w:ascii="Arial" w:cs="Arial" w:eastAsia="Arial" w:hAnsi="Arial"/>
                <w:sz w:val="18"/>
                <w:szCs w:val="18"/>
                <w:color w:val="auto"/>
              </w:rPr>
              <w:t>Residential mortgage</w:t>
            </w:r>
          </w:p>
        </w:tc>
        <w:tc>
          <w:tcPr>
            <w:tcW w:w="1380" w:type="dxa"/>
            <w:vAlign w:val="bottom"/>
            <w:gridSpan w:val="2"/>
          </w:tcPr>
          <w:p>
            <w:pPr>
              <w:jc w:val="right"/>
              <w:ind w:right="31"/>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649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505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40</w:t>
            </w:r>
          </w:p>
        </w:tc>
      </w:tr>
      <w:tr>
        <w:trPr>
          <w:trHeight w:val="214"/>
        </w:trPr>
        <w:tc>
          <w:tcPr>
            <w:tcW w:w="4580" w:type="dxa"/>
            <w:vAlign w:val="bottom"/>
          </w:tcPr>
          <w:p>
            <w:pPr>
              <w:spacing w:after="0"/>
              <w:rPr>
                <w:sz w:val="20"/>
                <w:szCs w:val="20"/>
                <w:color w:val="auto"/>
              </w:rPr>
            </w:pPr>
            <w:r>
              <w:rPr>
                <w:rFonts w:ascii="Arial" w:cs="Arial" w:eastAsia="Arial" w:hAnsi="Arial"/>
                <w:sz w:val="18"/>
                <w:szCs w:val="18"/>
                <w:color w:val="auto"/>
              </w:rPr>
              <w:t>Residential construction</w:t>
            </w:r>
          </w:p>
        </w:tc>
        <w:tc>
          <w:tcPr>
            <w:tcW w:w="1380" w:type="dxa"/>
            <w:vAlign w:val="bottom"/>
            <w:gridSpan w:val="2"/>
          </w:tcPr>
          <w:p>
            <w:pPr>
              <w:jc w:val="right"/>
              <w:ind w:right="31"/>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339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339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35"/>
        </w:trPr>
        <w:tc>
          <w:tcPr>
            <w:tcW w:w="4580" w:type="dxa"/>
            <w:vAlign w:val="bottom"/>
          </w:tcPr>
          <w:p>
            <w:pPr>
              <w:spacing w:after="0"/>
              <w:rPr>
                <w:sz w:val="20"/>
                <w:szCs w:val="20"/>
                <w:color w:val="auto"/>
              </w:rPr>
            </w:pPr>
            <w:r>
              <w:rPr>
                <w:rFonts w:ascii="Arial" w:cs="Arial" w:eastAsia="Arial" w:hAnsi="Arial"/>
                <w:sz w:val="18"/>
                <w:szCs w:val="18"/>
                <w:color w:val="auto"/>
              </w:rPr>
              <w:t>Consumer installment</w:t>
            </w:r>
          </w:p>
        </w:tc>
        <w:tc>
          <w:tcPr>
            <w:tcW w:w="1380" w:type="dxa"/>
            <w:vAlign w:val="bottom"/>
            <w:gridSpan w:val="2"/>
          </w:tcPr>
          <w:p>
            <w:pPr>
              <w:jc w:val="right"/>
              <w:ind w:right="3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14"/>
        </w:trPr>
        <w:tc>
          <w:tcPr>
            <w:tcW w:w="4580" w:type="dxa"/>
            <w:vAlign w:val="bottom"/>
          </w:tcPr>
          <w:p>
            <w:pPr>
              <w:ind w:left="140"/>
              <w:spacing w:after="0"/>
              <w:rPr>
                <w:sz w:val="20"/>
                <w:szCs w:val="20"/>
                <w:color w:val="auto"/>
              </w:rPr>
            </w:pPr>
            <w:r>
              <w:rPr>
                <w:rFonts w:ascii="Arial" w:cs="Arial" w:eastAsia="Arial" w:hAnsi="Arial"/>
                <w:sz w:val="18"/>
                <w:szCs w:val="18"/>
                <w:color w:val="auto"/>
              </w:rPr>
              <w:t>Total loans</w:t>
            </w:r>
          </w:p>
        </w:tc>
        <w:tc>
          <w:tcPr>
            <w:tcW w:w="120" w:type="dxa"/>
            <w:vAlign w:val="bottom"/>
          </w:tcPr>
          <w:p>
            <w:pPr>
              <w:spacing w:after="0"/>
              <w:rPr>
                <w:sz w:val="18"/>
                <w:szCs w:val="18"/>
                <w:color w:val="auto"/>
              </w:rPr>
            </w:pPr>
          </w:p>
        </w:tc>
        <w:tc>
          <w:tcPr>
            <w:tcW w:w="126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7,511</w:t>
            </w:r>
          </w:p>
        </w:tc>
        <w:tc>
          <w:tcPr>
            <w:tcW w:w="1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7,367</w:t>
            </w:r>
          </w:p>
        </w:tc>
        <w:tc>
          <w:tcPr>
            <w:tcW w:w="10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40</w:t>
            </w:r>
          </w:p>
        </w:tc>
      </w:tr>
      <w:tr>
        <w:trPr>
          <w:trHeight w:val="20"/>
        </w:trPr>
        <w:tc>
          <w:tcPr>
            <w:tcW w:w="4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421"/>
        </w:trPr>
        <w:tc>
          <w:tcPr>
            <w:tcW w:w="4580" w:type="dxa"/>
            <w:vAlign w:val="bottom"/>
            <w:tcBorders>
              <w:bottom w:val="single" w:sz="8" w:color="DCDCDC"/>
            </w:tcBorders>
          </w:tcPr>
          <w:p>
            <w:pPr>
              <w:spacing w:after="0"/>
              <w:rPr>
                <w:sz w:val="24"/>
                <w:szCs w:val="24"/>
                <w:color w:val="auto"/>
              </w:rPr>
            </w:pPr>
          </w:p>
        </w:tc>
        <w:tc>
          <w:tcPr>
            <w:tcW w:w="1380" w:type="dxa"/>
            <w:vAlign w:val="bottom"/>
            <w:tcBorders>
              <w:bottom w:val="single" w:sz="8" w:color="DCDCDC"/>
            </w:tcBorders>
            <w:gridSpan w:val="2"/>
          </w:tcPr>
          <w:p>
            <w:pPr>
              <w:jc w:val="right"/>
              <w:ind w:right="71"/>
              <w:spacing w:after="0"/>
              <w:rPr>
                <w:sz w:val="20"/>
                <w:szCs w:val="20"/>
                <w:color w:val="auto"/>
              </w:rPr>
            </w:pPr>
            <w:r>
              <w:rPr>
                <w:rFonts w:ascii="Arial" w:cs="Arial" w:eastAsia="Arial" w:hAnsi="Arial"/>
                <w:sz w:val="18"/>
                <w:szCs w:val="18"/>
                <w:color w:val="auto"/>
              </w:rPr>
              <w:t>19</w:t>
            </w:r>
          </w:p>
        </w:tc>
        <w:tc>
          <w:tcPr>
            <w:tcW w:w="120" w:type="dxa"/>
            <w:vAlign w:val="bottom"/>
            <w:tcBorders>
              <w:bottom w:val="single" w:sz="8" w:color="DCDCDC"/>
            </w:tcBorders>
          </w:tcPr>
          <w:p>
            <w:pPr>
              <w:spacing w:after="0"/>
              <w:rPr>
                <w:sz w:val="24"/>
                <w:szCs w:val="24"/>
                <w:color w:val="auto"/>
              </w:rPr>
            </w:pPr>
          </w:p>
        </w:tc>
        <w:tc>
          <w:tcPr>
            <w:tcW w:w="100" w:type="dxa"/>
            <w:vAlign w:val="bottom"/>
            <w:tcBorders>
              <w:bottom w:val="single" w:sz="8" w:color="DCDCDC"/>
            </w:tcBorders>
          </w:tcPr>
          <w:p>
            <w:pPr>
              <w:spacing w:after="0"/>
              <w:rPr>
                <w:sz w:val="24"/>
                <w:szCs w:val="24"/>
                <w:color w:val="auto"/>
              </w:rPr>
            </w:pPr>
          </w:p>
        </w:tc>
        <w:tc>
          <w:tcPr>
            <w:tcW w:w="1180" w:type="dxa"/>
            <w:vAlign w:val="bottom"/>
            <w:tcBorders>
              <w:bottom w:val="single" w:sz="8" w:color="DCDCDC"/>
            </w:tcBorders>
          </w:tcPr>
          <w:p>
            <w:pPr>
              <w:spacing w:after="0"/>
              <w:rPr>
                <w:sz w:val="24"/>
                <w:szCs w:val="24"/>
                <w:color w:val="auto"/>
              </w:rPr>
            </w:pPr>
          </w:p>
        </w:tc>
        <w:tc>
          <w:tcPr>
            <w:tcW w:w="120" w:type="dxa"/>
            <w:vAlign w:val="bottom"/>
            <w:tcBorders>
              <w:bottom w:val="single" w:sz="8" w:color="DCDCDC"/>
            </w:tcBorders>
          </w:tcPr>
          <w:p>
            <w:pPr>
              <w:spacing w:after="0"/>
              <w:rPr>
                <w:sz w:val="24"/>
                <w:szCs w:val="24"/>
                <w:color w:val="auto"/>
              </w:rPr>
            </w:pPr>
          </w:p>
        </w:tc>
        <w:tc>
          <w:tcPr>
            <w:tcW w:w="100" w:type="dxa"/>
            <w:vAlign w:val="bottom"/>
            <w:tcBorders>
              <w:bottom w:val="single" w:sz="8" w:color="DCDCDC"/>
            </w:tcBorders>
          </w:tcPr>
          <w:p>
            <w:pPr>
              <w:spacing w:after="0"/>
              <w:rPr>
                <w:sz w:val="24"/>
                <w:szCs w:val="24"/>
                <w:color w:val="auto"/>
              </w:rPr>
            </w:pPr>
          </w:p>
        </w:tc>
        <w:tc>
          <w:tcPr>
            <w:tcW w:w="1160" w:type="dxa"/>
            <w:vAlign w:val="bottom"/>
            <w:tcBorders>
              <w:bottom w:val="single" w:sz="8" w:color="DCDCDC"/>
            </w:tcBorders>
          </w:tcPr>
          <w:p>
            <w:pPr>
              <w:spacing w:after="0"/>
              <w:rPr>
                <w:sz w:val="24"/>
                <w:szCs w:val="24"/>
                <w:color w:val="auto"/>
              </w:rPr>
            </w:pPr>
          </w:p>
        </w:tc>
        <w:tc>
          <w:tcPr>
            <w:tcW w:w="100" w:type="dxa"/>
            <w:vAlign w:val="bottom"/>
            <w:tcBorders>
              <w:bottom w:val="single" w:sz="8" w:color="DCDCDC"/>
            </w:tcBorders>
          </w:tcPr>
          <w:p>
            <w:pPr>
              <w:spacing w:after="0"/>
              <w:rPr>
                <w:sz w:val="24"/>
                <w:szCs w:val="24"/>
                <w:color w:val="auto"/>
              </w:rPr>
            </w:pPr>
          </w:p>
        </w:tc>
        <w:tc>
          <w:tcPr>
            <w:tcW w:w="100" w:type="dxa"/>
            <w:vAlign w:val="bottom"/>
            <w:tcBorders>
              <w:bottom w:val="single" w:sz="8" w:color="DCDCDC"/>
            </w:tcBorders>
          </w:tcPr>
          <w:p>
            <w:pPr>
              <w:spacing w:after="0"/>
              <w:rPr>
                <w:sz w:val="24"/>
                <w:szCs w:val="24"/>
                <w:color w:val="auto"/>
              </w:rPr>
            </w:pPr>
          </w:p>
        </w:tc>
        <w:tc>
          <w:tcPr>
            <w:tcW w:w="1140" w:type="dxa"/>
            <w:vAlign w:val="bottom"/>
            <w:tcBorders>
              <w:bottom w:val="single" w:sz="8" w:color="DCDCDC"/>
            </w:tcBorders>
          </w:tcPr>
          <w:p>
            <w:pPr>
              <w:spacing w:after="0"/>
              <w:rPr>
                <w:sz w:val="24"/>
                <w:szCs w:val="24"/>
                <w:color w:val="auto"/>
              </w:rPr>
            </w:pPr>
          </w:p>
        </w:tc>
        <w:tc>
          <w:tcPr>
            <w:tcW w:w="100" w:type="dxa"/>
            <w:vAlign w:val="bottom"/>
            <w:tcBorders>
              <w:bottom w:val="single" w:sz="8" w:color="DCDCDC"/>
            </w:tcBorders>
          </w:tcPr>
          <w:p>
            <w:pPr>
              <w:spacing w:after="0"/>
              <w:rPr>
                <w:sz w:val="24"/>
                <w:szCs w:val="24"/>
                <w:color w:val="auto"/>
              </w:rPr>
            </w:pPr>
          </w:p>
        </w:tc>
        <w:tc>
          <w:tcPr>
            <w:tcW w:w="120" w:type="dxa"/>
            <w:vAlign w:val="bottom"/>
            <w:tcBorders>
              <w:bottom w:val="single" w:sz="8" w:color="DCDCDC"/>
            </w:tcBorders>
          </w:tcPr>
          <w:p>
            <w:pPr>
              <w:spacing w:after="0"/>
              <w:rPr>
                <w:sz w:val="24"/>
                <w:szCs w:val="24"/>
                <w:color w:val="auto"/>
              </w:rPr>
            </w:pPr>
          </w:p>
        </w:tc>
        <w:tc>
          <w:tcPr>
            <w:tcW w:w="1120" w:type="dxa"/>
            <w:vAlign w:val="bottom"/>
            <w:tcBorders>
              <w:bottom w:val="single" w:sz="8" w:color="DCDCDC"/>
            </w:tcBorders>
          </w:tcPr>
          <w:p>
            <w:pPr>
              <w:spacing w:after="0"/>
              <w:rPr>
                <w:sz w:val="24"/>
                <w:szCs w:val="24"/>
                <w:color w:val="auto"/>
              </w:rPr>
            </w:pPr>
          </w:p>
        </w:tc>
      </w:tr>
    </w:tbl>
    <w:p>
      <w:pPr>
        <w:sectPr>
          <w:pgSz w:w="11900" w:h="16838" w:orient="portrait"/>
          <w:cols w:equalWidth="0" w:num="1">
            <w:col w:w="11420"/>
          </w:cols>
          <w:pgMar w:left="240" w:top="885" w:right="239" w:bottom="1440" w:gutter="0" w:footer="0" w:header="0"/>
        </w:sectPr>
      </w:pPr>
    </w:p>
    <w:bookmarkStart w:id="23" w:name="page24"/>
    <w:bookmarkEnd w:id="23"/>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4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80" w:type="dxa"/>
            <w:vAlign w:val="bottom"/>
            <w:gridSpan w:val="4"/>
          </w:tcPr>
          <w:p>
            <w:pPr>
              <w:jc w:val="center"/>
              <w:ind w:right="91"/>
              <w:spacing w:after="0"/>
              <w:rPr>
                <w:sz w:val="20"/>
                <w:szCs w:val="20"/>
                <w:color w:val="auto"/>
              </w:rPr>
            </w:pPr>
            <w:r>
              <w:rPr>
                <w:rFonts w:ascii="Arial" w:cs="Arial" w:eastAsia="Arial" w:hAnsi="Arial"/>
                <w:sz w:val="18"/>
                <w:szCs w:val="18"/>
                <w:b w:val="1"/>
                <w:bCs w:val="1"/>
                <w:color w:val="auto"/>
                <w:w w:val="91"/>
              </w:rPr>
              <w:t>Modified Within the Previous</w:t>
            </w:r>
          </w:p>
        </w:tc>
      </w:tr>
      <w:tr>
        <w:trPr>
          <w:trHeight w:val="214"/>
        </w:trPr>
        <w:tc>
          <w:tcPr>
            <w:tcW w:w="4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80" w:type="dxa"/>
            <w:vAlign w:val="bottom"/>
            <w:gridSpan w:val="4"/>
          </w:tcPr>
          <w:p>
            <w:pPr>
              <w:jc w:val="center"/>
              <w:ind w:right="111"/>
              <w:spacing w:after="0"/>
              <w:rPr>
                <w:sz w:val="20"/>
                <w:szCs w:val="20"/>
                <w:color w:val="auto"/>
              </w:rPr>
            </w:pPr>
            <w:r>
              <w:rPr>
                <w:rFonts w:ascii="Arial" w:cs="Arial" w:eastAsia="Arial" w:hAnsi="Arial"/>
                <w:sz w:val="18"/>
                <w:szCs w:val="18"/>
                <w:b w:val="1"/>
                <w:bCs w:val="1"/>
                <w:color w:val="auto"/>
                <w:w w:val="91"/>
              </w:rPr>
              <w:t>Twelve Months that Have</w:t>
            </w:r>
          </w:p>
        </w:tc>
      </w:tr>
      <w:tr>
        <w:trPr>
          <w:trHeight w:val="214"/>
        </w:trPr>
        <w:tc>
          <w:tcPr>
            <w:tcW w:w="4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center"/>
              <w:ind w:right="131"/>
              <w:spacing w:after="0"/>
              <w:rPr>
                <w:sz w:val="20"/>
                <w:szCs w:val="20"/>
                <w:color w:val="auto"/>
              </w:rPr>
            </w:pPr>
            <w:r>
              <w:rPr>
                <w:rFonts w:ascii="Arial" w:cs="Arial" w:eastAsia="Arial" w:hAnsi="Arial"/>
                <w:sz w:val="18"/>
                <w:szCs w:val="18"/>
                <w:b w:val="1"/>
                <w:bCs w:val="1"/>
                <w:color w:val="auto"/>
                <w:w w:val="91"/>
              </w:rPr>
              <w:t>Pre-</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8"/>
              </w:rPr>
              <w:t>Post-</w:t>
            </w:r>
          </w:p>
        </w:tc>
        <w:tc>
          <w:tcPr>
            <w:tcW w:w="2580" w:type="dxa"/>
            <w:vAlign w:val="bottom"/>
            <w:gridSpan w:val="5"/>
          </w:tcPr>
          <w:p>
            <w:pPr>
              <w:jc w:val="center"/>
              <w:ind w:right="11"/>
              <w:spacing w:after="0"/>
              <w:rPr>
                <w:sz w:val="20"/>
                <w:szCs w:val="20"/>
                <w:color w:val="auto"/>
              </w:rPr>
            </w:pPr>
            <w:r>
              <w:rPr>
                <w:rFonts w:ascii="Arial" w:cs="Arial" w:eastAsia="Arial" w:hAnsi="Arial"/>
                <w:sz w:val="18"/>
                <w:szCs w:val="18"/>
                <w:b w:val="1"/>
                <w:bCs w:val="1"/>
                <w:color w:val="auto"/>
                <w:w w:val="89"/>
              </w:rPr>
              <w:t>Subsequently Defaulted During</w:t>
            </w:r>
          </w:p>
        </w:tc>
      </w:tr>
      <w:tr>
        <w:trPr>
          <w:trHeight w:val="214"/>
        </w:trPr>
        <w:tc>
          <w:tcPr>
            <w:tcW w:w="4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center"/>
              <w:ind w:right="11"/>
              <w:spacing w:after="0"/>
              <w:rPr>
                <w:sz w:val="20"/>
                <w:szCs w:val="20"/>
                <w:color w:val="auto"/>
              </w:rPr>
            </w:pPr>
            <w:r>
              <w:rPr>
                <w:rFonts w:ascii="Arial" w:cs="Arial" w:eastAsia="Arial" w:hAnsi="Arial"/>
                <w:sz w:val="18"/>
                <w:szCs w:val="18"/>
                <w:b w:val="1"/>
                <w:bCs w:val="1"/>
                <w:color w:val="auto"/>
                <w:w w:val="92"/>
              </w:rPr>
              <w:t>Modification</w:t>
            </w:r>
          </w:p>
        </w:tc>
        <w:tc>
          <w:tcPr>
            <w:tcW w:w="120" w:type="dxa"/>
            <w:vAlign w:val="bottom"/>
          </w:tcPr>
          <w:p>
            <w:pPr>
              <w:spacing w:after="0"/>
              <w:rPr>
                <w:sz w:val="18"/>
                <w:szCs w:val="18"/>
                <w:color w:val="auto"/>
              </w:rPr>
            </w:pPr>
          </w:p>
        </w:tc>
        <w:tc>
          <w:tcPr>
            <w:tcW w:w="136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2"/>
              </w:rPr>
              <w:t>Modification</w:t>
            </w:r>
          </w:p>
        </w:tc>
        <w:tc>
          <w:tcPr>
            <w:tcW w:w="100" w:type="dxa"/>
            <w:vAlign w:val="bottom"/>
          </w:tcPr>
          <w:p>
            <w:pPr>
              <w:spacing w:after="0"/>
              <w:rPr>
                <w:sz w:val="18"/>
                <w:szCs w:val="18"/>
                <w:color w:val="auto"/>
              </w:rPr>
            </w:pPr>
          </w:p>
        </w:tc>
        <w:tc>
          <w:tcPr>
            <w:tcW w:w="2480" w:type="dxa"/>
            <w:vAlign w:val="bottom"/>
            <w:gridSpan w:val="4"/>
          </w:tcPr>
          <w:p>
            <w:pPr>
              <w:jc w:val="center"/>
              <w:ind w:right="111"/>
              <w:spacing w:after="0"/>
              <w:rPr>
                <w:sz w:val="20"/>
                <w:szCs w:val="20"/>
                <w:color w:val="auto"/>
              </w:rPr>
            </w:pPr>
            <w:r>
              <w:rPr>
                <w:rFonts w:ascii="Arial" w:cs="Arial" w:eastAsia="Arial" w:hAnsi="Arial"/>
                <w:sz w:val="18"/>
                <w:szCs w:val="18"/>
                <w:b w:val="1"/>
                <w:bCs w:val="1"/>
                <w:color w:val="auto"/>
                <w:w w:val="89"/>
              </w:rPr>
              <w:t>the Six Months Ended</w:t>
            </w:r>
          </w:p>
        </w:tc>
      </w:tr>
      <w:tr>
        <w:trPr>
          <w:trHeight w:val="239"/>
        </w:trPr>
        <w:tc>
          <w:tcPr>
            <w:tcW w:w="4580" w:type="dxa"/>
            <w:vAlign w:val="bottom"/>
          </w:tcPr>
          <w:p>
            <w:pPr>
              <w:spacing w:after="0"/>
              <w:rPr>
                <w:sz w:val="20"/>
                <w:szCs w:val="20"/>
                <w:color w:val="auto"/>
              </w:rPr>
            </w:pPr>
            <w:r>
              <w:rPr>
                <w:rFonts w:ascii="Arial" w:cs="Arial" w:eastAsia="Arial" w:hAnsi="Arial"/>
                <w:sz w:val="18"/>
                <w:szCs w:val="18"/>
                <w:b w:val="1"/>
                <w:bCs w:val="1"/>
                <w:color w:val="auto"/>
              </w:rPr>
              <w:t>New Troubled Debt</w:t>
            </w: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Pr>
          <w:p>
            <w:pPr>
              <w:jc w:val="center"/>
              <w:ind w:right="131"/>
              <w:spacing w:after="0"/>
              <w:rPr>
                <w:sz w:val="20"/>
                <w:szCs w:val="20"/>
                <w:color w:val="auto"/>
              </w:rPr>
            </w:pPr>
            <w:r>
              <w:rPr>
                <w:rFonts w:ascii="Arial" w:cs="Arial" w:eastAsia="Arial" w:hAnsi="Arial"/>
                <w:sz w:val="18"/>
                <w:szCs w:val="18"/>
                <w:b w:val="1"/>
                <w:bCs w:val="1"/>
                <w:color w:val="auto"/>
                <w:w w:val="90"/>
              </w:rPr>
              <w:t>Outstanding</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Outstanding</w:t>
            </w:r>
          </w:p>
        </w:tc>
        <w:tc>
          <w:tcPr>
            <w:tcW w:w="100" w:type="dxa"/>
            <w:vAlign w:val="bottom"/>
            <w:tcBorders>
              <w:bottom w:val="single" w:sz="8" w:color="auto"/>
            </w:tcBorders>
          </w:tcPr>
          <w:p>
            <w:pPr>
              <w:spacing w:after="0"/>
              <w:rPr>
                <w:sz w:val="20"/>
                <w:szCs w:val="20"/>
                <w:color w:val="auto"/>
              </w:rPr>
            </w:pPr>
          </w:p>
        </w:tc>
        <w:tc>
          <w:tcPr>
            <w:tcW w:w="2480" w:type="dxa"/>
            <w:vAlign w:val="bottom"/>
            <w:tcBorders>
              <w:bottom w:val="single" w:sz="8" w:color="auto"/>
            </w:tcBorders>
            <w:gridSpan w:val="4"/>
          </w:tcPr>
          <w:p>
            <w:pPr>
              <w:jc w:val="center"/>
              <w:ind w:right="111"/>
              <w:spacing w:after="0"/>
              <w:rPr>
                <w:sz w:val="20"/>
                <w:szCs w:val="20"/>
                <w:color w:val="auto"/>
              </w:rPr>
            </w:pPr>
            <w:r>
              <w:rPr>
                <w:rFonts w:ascii="Arial" w:cs="Arial" w:eastAsia="Arial" w:hAnsi="Arial"/>
                <w:sz w:val="18"/>
                <w:szCs w:val="18"/>
                <w:b w:val="1"/>
                <w:bCs w:val="1"/>
                <w:color w:val="auto"/>
                <w:w w:val="88"/>
              </w:rPr>
              <w:t>June 30, 2013</w:t>
            </w:r>
          </w:p>
        </w:tc>
      </w:tr>
      <w:tr>
        <w:trPr>
          <w:trHeight w:val="196"/>
        </w:trPr>
        <w:tc>
          <w:tcPr>
            <w:tcW w:w="4580" w:type="dxa"/>
            <w:vAlign w:val="bottom"/>
          </w:tcPr>
          <w:p>
            <w:pPr>
              <w:spacing w:after="0" w:line="196" w:lineRule="exact"/>
              <w:rPr>
                <w:sz w:val="20"/>
                <w:szCs w:val="20"/>
                <w:color w:val="auto"/>
              </w:rPr>
            </w:pPr>
            <w:r>
              <w:rPr>
                <w:rFonts w:ascii="Arial" w:cs="Arial" w:eastAsia="Arial" w:hAnsi="Arial"/>
                <w:sz w:val="18"/>
                <w:szCs w:val="18"/>
                <w:b w:val="1"/>
                <w:bCs w:val="1"/>
                <w:color w:val="auto"/>
              </w:rPr>
              <w:t>Restructurings for the Six Months</w:t>
            </w:r>
          </w:p>
        </w:tc>
        <w:tc>
          <w:tcPr>
            <w:tcW w:w="120" w:type="dxa"/>
            <w:vAlign w:val="bottom"/>
          </w:tcPr>
          <w:p>
            <w:pPr>
              <w:spacing w:after="0"/>
              <w:rPr>
                <w:sz w:val="17"/>
                <w:szCs w:val="17"/>
                <w:color w:val="auto"/>
              </w:rPr>
            </w:pPr>
          </w:p>
        </w:tc>
        <w:tc>
          <w:tcPr>
            <w:tcW w:w="1260" w:type="dxa"/>
            <w:vAlign w:val="bottom"/>
          </w:tcPr>
          <w:p>
            <w:pPr>
              <w:jc w:val="right"/>
              <w:ind w:right="191"/>
              <w:spacing w:after="0" w:line="196" w:lineRule="exact"/>
              <w:rPr>
                <w:sz w:val="20"/>
                <w:szCs w:val="20"/>
                <w:color w:val="auto"/>
              </w:rPr>
            </w:pPr>
            <w:r>
              <w:rPr>
                <w:rFonts w:ascii="Arial" w:cs="Arial" w:eastAsia="Arial" w:hAnsi="Arial"/>
                <w:sz w:val="18"/>
                <w:szCs w:val="18"/>
                <w:b w:val="1"/>
                <w:bCs w:val="1"/>
                <w:color w:val="auto"/>
              </w:rPr>
              <w:t>Number of</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jc w:val="center"/>
              <w:ind w:right="111"/>
              <w:spacing w:after="0" w:line="196" w:lineRule="exact"/>
              <w:rPr>
                <w:sz w:val="20"/>
                <w:szCs w:val="20"/>
                <w:color w:val="auto"/>
              </w:rPr>
            </w:pPr>
            <w:r>
              <w:rPr>
                <w:rFonts w:ascii="Arial" w:cs="Arial" w:eastAsia="Arial" w:hAnsi="Arial"/>
                <w:sz w:val="18"/>
                <w:szCs w:val="18"/>
                <w:b w:val="1"/>
                <w:bCs w:val="1"/>
                <w:color w:val="auto"/>
                <w:w w:val="89"/>
              </w:rPr>
              <w:t>Recorded</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gridSpan w:val="2"/>
          </w:tcPr>
          <w:p>
            <w:pPr>
              <w:jc w:val="center"/>
              <w:ind w:right="300"/>
              <w:spacing w:after="0" w:line="196" w:lineRule="exact"/>
              <w:rPr>
                <w:sz w:val="20"/>
                <w:szCs w:val="20"/>
                <w:color w:val="auto"/>
              </w:rPr>
            </w:pPr>
            <w:r>
              <w:rPr>
                <w:rFonts w:ascii="Arial" w:cs="Arial" w:eastAsia="Arial" w:hAnsi="Arial"/>
                <w:sz w:val="18"/>
                <w:szCs w:val="18"/>
                <w:b w:val="1"/>
                <w:bCs w:val="1"/>
                <w:color w:val="auto"/>
                <w:w w:val="86"/>
              </w:rPr>
              <w:t>Recorded</w:t>
            </w:r>
          </w:p>
        </w:tc>
        <w:tc>
          <w:tcPr>
            <w:tcW w:w="100" w:type="dxa"/>
            <w:vAlign w:val="bottom"/>
          </w:tcPr>
          <w:p>
            <w:pPr>
              <w:spacing w:after="0"/>
              <w:rPr>
                <w:sz w:val="17"/>
                <w:szCs w:val="17"/>
                <w:color w:val="auto"/>
              </w:rPr>
            </w:pPr>
          </w:p>
        </w:tc>
        <w:tc>
          <w:tcPr>
            <w:tcW w:w="1140" w:type="dxa"/>
            <w:vAlign w:val="bottom"/>
          </w:tcPr>
          <w:p>
            <w:pPr>
              <w:jc w:val="right"/>
              <w:ind w:right="171"/>
              <w:spacing w:after="0" w:line="196" w:lineRule="exact"/>
              <w:rPr>
                <w:sz w:val="20"/>
                <w:szCs w:val="20"/>
                <w:color w:val="auto"/>
              </w:rPr>
            </w:pPr>
            <w:r>
              <w:rPr>
                <w:rFonts w:ascii="Arial" w:cs="Arial" w:eastAsia="Arial" w:hAnsi="Arial"/>
                <w:sz w:val="18"/>
                <w:szCs w:val="18"/>
                <w:b w:val="1"/>
                <w:bCs w:val="1"/>
                <w:color w:val="auto"/>
                <w:w w:val="95"/>
              </w:rPr>
              <w:t>Number of</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center"/>
              <w:ind w:right="131"/>
              <w:spacing w:after="0" w:line="196" w:lineRule="exact"/>
              <w:rPr>
                <w:sz w:val="20"/>
                <w:szCs w:val="20"/>
                <w:color w:val="auto"/>
              </w:rPr>
            </w:pPr>
            <w:r>
              <w:rPr>
                <w:rFonts w:ascii="Arial" w:cs="Arial" w:eastAsia="Arial" w:hAnsi="Arial"/>
                <w:sz w:val="18"/>
                <w:szCs w:val="18"/>
                <w:b w:val="1"/>
                <w:bCs w:val="1"/>
                <w:color w:val="auto"/>
                <w:w w:val="89"/>
              </w:rPr>
              <w:t>Recorded</w:t>
            </w:r>
          </w:p>
        </w:tc>
      </w:tr>
      <w:tr>
        <w:trPr>
          <w:trHeight w:val="239"/>
        </w:trPr>
        <w:tc>
          <w:tcPr>
            <w:tcW w:w="45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Ended June 30, 2013</w:t>
            </w:r>
          </w:p>
        </w:tc>
        <w:tc>
          <w:tcPr>
            <w:tcW w:w="120" w:type="dxa"/>
            <w:vAlign w:val="bottom"/>
          </w:tcPr>
          <w:p>
            <w:pPr>
              <w:spacing w:after="0"/>
              <w:rPr>
                <w:sz w:val="20"/>
                <w:szCs w:val="20"/>
                <w:color w:val="auto"/>
              </w:rPr>
            </w:pPr>
          </w:p>
        </w:tc>
        <w:tc>
          <w:tcPr>
            <w:tcW w:w="1260" w:type="dxa"/>
            <w:vAlign w:val="bottom"/>
            <w:tcBorders>
              <w:bottom w:val="single" w:sz="8" w:color="auto"/>
            </w:tcBorders>
          </w:tcPr>
          <w:p>
            <w:pPr>
              <w:jc w:val="right"/>
              <w:ind w:right="231"/>
              <w:spacing w:after="0"/>
              <w:rPr>
                <w:sz w:val="20"/>
                <w:szCs w:val="20"/>
                <w:color w:val="auto"/>
              </w:rPr>
            </w:pPr>
            <w:r>
              <w:rPr>
                <w:rFonts w:ascii="Arial" w:cs="Arial" w:eastAsia="Arial" w:hAnsi="Arial"/>
                <w:sz w:val="18"/>
                <w:szCs w:val="18"/>
                <w:b w:val="1"/>
                <w:bCs w:val="1"/>
                <w:color w:val="auto"/>
              </w:rPr>
              <w:t>Contracts</w:t>
            </w: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center"/>
              <w:ind w:right="111"/>
              <w:spacing w:after="0"/>
              <w:rPr>
                <w:sz w:val="20"/>
                <w:szCs w:val="20"/>
                <w:color w:val="auto"/>
              </w:rPr>
            </w:pPr>
            <w:r>
              <w:rPr>
                <w:rFonts w:ascii="Arial" w:cs="Arial" w:eastAsia="Arial" w:hAnsi="Arial"/>
                <w:sz w:val="18"/>
                <w:szCs w:val="18"/>
                <w:b w:val="1"/>
                <w:bCs w:val="1"/>
                <w:color w:val="auto"/>
                <w:w w:val="90"/>
              </w:rPr>
              <w:t>Investment</w:t>
            </w: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center"/>
              <w:ind w:right="111"/>
              <w:spacing w:after="0"/>
              <w:rPr>
                <w:sz w:val="20"/>
                <w:szCs w:val="20"/>
                <w:color w:val="auto"/>
              </w:rPr>
            </w:pPr>
            <w:r>
              <w:rPr>
                <w:rFonts w:ascii="Arial" w:cs="Arial" w:eastAsia="Arial" w:hAnsi="Arial"/>
                <w:sz w:val="18"/>
                <w:szCs w:val="18"/>
                <w:b w:val="1"/>
                <w:bCs w:val="1"/>
                <w:color w:val="auto"/>
                <w:w w:val="88"/>
              </w:rPr>
              <w:t>Investment</w:t>
            </w: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211"/>
              <w:spacing w:after="0"/>
              <w:rPr>
                <w:sz w:val="20"/>
                <w:szCs w:val="20"/>
                <w:color w:val="auto"/>
              </w:rPr>
            </w:pPr>
            <w:r>
              <w:rPr>
                <w:rFonts w:ascii="Arial" w:cs="Arial" w:eastAsia="Arial" w:hAnsi="Arial"/>
                <w:sz w:val="18"/>
                <w:szCs w:val="18"/>
                <w:b w:val="1"/>
                <w:bCs w:val="1"/>
                <w:color w:val="auto"/>
                <w:w w:val="97"/>
              </w:rPr>
              <w:t>Contracts</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ind w:right="131"/>
              <w:spacing w:after="0"/>
              <w:rPr>
                <w:sz w:val="20"/>
                <w:szCs w:val="20"/>
                <w:color w:val="auto"/>
              </w:rPr>
            </w:pPr>
            <w:r>
              <w:rPr>
                <w:rFonts w:ascii="Arial" w:cs="Arial" w:eastAsia="Arial" w:hAnsi="Arial"/>
                <w:sz w:val="18"/>
                <w:szCs w:val="18"/>
                <w:b w:val="1"/>
                <w:bCs w:val="1"/>
                <w:color w:val="auto"/>
                <w:w w:val="90"/>
              </w:rPr>
              <w:t>Investment</w:t>
            </w:r>
          </w:p>
        </w:tc>
      </w:tr>
      <w:tr>
        <w:trPr>
          <w:trHeight w:val="414"/>
        </w:trPr>
        <w:tc>
          <w:tcPr>
            <w:tcW w:w="4580" w:type="dxa"/>
            <w:vAlign w:val="bottom"/>
          </w:tcPr>
          <w:p>
            <w:pPr>
              <w:spacing w:after="0"/>
              <w:rPr>
                <w:sz w:val="20"/>
                <w:szCs w:val="20"/>
                <w:color w:val="auto"/>
              </w:rPr>
            </w:pPr>
            <w:r>
              <w:rPr>
                <w:rFonts w:ascii="Arial" w:cs="Arial" w:eastAsia="Arial" w:hAnsi="Arial"/>
                <w:sz w:val="18"/>
                <w:szCs w:val="18"/>
                <w:color w:val="auto"/>
              </w:rPr>
              <w:t>Commercial (secured by real estate)</w:t>
            </w:r>
          </w:p>
        </w:tc>
        <w:tc>
          <w:tcPr>
            <w:tcW w:w="1380" w:type="dxa"/>
            <w:vAlign w:val="bottom"/>
            <w:gridSpan w:val="2"/>
          </w:tcPr>
          <w:p>
            <w:pPr>
              <w:jc w:val="right"/>
              <w:ind w:right="31"/>
              <w:spacing w:after="0"/>
              <w:rPr>
                <w:sz w:val="20"/>
                <w:szCs w:val="20"/>
                <w:color w:val="auto"/>
              </w:rPr>
            </w:pPr>
            <w:r>
              <w:rPr>
                <w:rFonts w:ascii="Arial" w:cs="Arial" w:eastAsia="Arial" w:hAnsi="Arial"/>
                <w:sz w:val="18"/>
                <w:szCs w:val="18"/>
                <w:color w:val="auto"/>
              </w:rPr>
              <w:t>17</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10,091</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10,091</w:t>
            </w:r>
          </w:p>
        </w:tc>
        <w:tc>
          <w:tcPr>
            <w:tcW w:w="10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432</w:t>
            </w:r>
          </w:p>
        </w:tc>
      </w:tr>
      <w:tr>
        <w:trPr>
          <w:trHeight w:val="214"/>
        </w:trPr>
        <w:tc>
          <w:tcPr>
            <w:tcW w:w="4580" w:type="dxa"/>
            <w:vAlign w:val="bottom"/>
          </w:tcPr>
          <w:p>
            <w:pPr>
              <w:spacing w:after="0"/>
              <w:rPr>
                <w:sz w:val="20"/>
                <w:szCs w:val="20"/>
                <w:color w:val="auto"/>
              </w:rPr>
            </w:pPr>
            <w:r>
              <w:rPr>
                <w:rFonts w:ascii="Arial" w:cs="Arial" w:eastAsia="Arial" w:hAnsi="Arial"/>
                <w:sz w:val="18"/>
                <w:szCs w:val="18"/>
                <w:color w:val="auto"/>
              </w:rPr>
              <w:t>Commercial &amp; industrial</w:t>
            </w:r>
          </w:p>
        </w:tc>
        <w:tc>
          <w:tcPr>
            <w:tcW w:w="1380" w:type="dxa"/>
            <w:vAlign w:val="bottom"/>
            <w:gridSpan w:val="2"/>
          </w:tcPr>
          <w:p>
            <w:pPr>
              <w:jc w:val="right"/>
              <w:ind w:right="31"/>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815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709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35</w:t>
            </w:r>
          </w:p>
        </w:tc>
      </w:tr>
      <w:tr>
        <w:trPr>
          <w:trHeight w:val="235"/>
        </w:trPr>
        <w:tc>
          <w:tcPr>
            <w:tcW w:w="4580" w:type="dxa"/>
            <w:vAlign w:val="bottom"/>
          </w:tcPr>
          <w:p>
            <w:pPr>
              <w:spacing w:after="0"/>
              <w:rPr>
                <w:sz w:val="20"/>
                <w:szCs w:val="20"/>
                <w:color w:val="auto"/>
              </w:rPr>
            </w:pPr>
            <w:r>
              <w:rPr>
                <w:rFonts w:ascii="Arial" w:cs="Arial" w:eastAsia="Arial" w:hAnsi="Arial"/>
                <w:sz w:val="18"/>
                <w:szCs w:val="18"/>
                <w:color w:val="auto"/>
              </w:rPr>
              <w:t>Commercial construction</w:t>
            </w:r>
          </w:p>
        </w:tc>
        <w:tc>
          <w:tcPr>
            <w:tcW w:w="1380" w:type="dxa"/>
            <w:vAlign w:val="bottom"/>
            <w:gridSpan w:val="2"/>
          </w:tcPr>
          <w:p>
            <w:pPr>
              <w:jc w:val="right"/>
              <w:ind w:right="3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1,454</w:t>
            </w:r>
          </w:p>
        </w:tc>
      </w:tr>
      <w:tr>
        <w:trPr>
          <w:trHeight w:val="200"/>
        </w:trPr>
        <w:tc>
          <w:tcPr>
            <w:tcW w:w="4580" w:type="dxa"/>
            <w:vAlign w:val="bottom"/>
          </w:tcPr>
          <w:p>
            <w:pPr>
              <w:ind w:left="220"/>
              <w:spacing w:after="0" w:line="200" w:lineRule="exact"/>
              <w:rPr>
                <w:sz w:val="20"/>
                <w:szCs w:val="20"/>
                <w:color w:val="auto"/>
              </w:rPr>
            </w:pPr>
            <w:r>
              <w:rPr>
                <w:rFonts w:ascii="Arial" w:cs="Arial" w:eastAsia="Arial" w:hAnsi="Arial"/>
                <w:sz w:val="18"/>
                <w:szCs w:val="18"/>
                <w:color w:val="auto"/>
              </w:rPr>
              <w:t>Total commercial</w:t>
            </w:r>
          </w:p>
        </w:tc>
        <w:tc>
          <w:tcPr>
            <w:tcW w:w="120" w:type="dxa"/>
            <w:vAlign w:val="bottom"/>
          </w:tcPr>
          <w:p>
            <w:pPr>
              <w:spacing w:after="0"/>
              <w:rPr>
                <w:sz w:val="17"/>
                <w:szCs w:val="17"/>
                <w:color w:val="auto"/>
              </w:rPr>
            </w:pPr>
          </w:p>
        </w:tc>
        <w:tc>
          <w:tcPr>
            <w:tcW w:w="1260" w:type="dxa"/>
            <w:vAlign w:val="bottom"/>
            <w:tcBorders>
              <w:top w:val="single" w:sz="8" w:color="auto"/>
            </w:tcBorders>
          </w:tcPr>
          <w:p>
            <w:pPr>
              <w:jc w:val="right"/>
              <w:ind w:right="31"/>
              <w:spacing w:after="0" w:line="200" w:lineRule="exact"/>
              <w:rPr>
                <w:sz w:val="20"/>
                <w:szCs w:val="20"/>
                <w:color w:val="auto"/>
              </w:rPr>
            </w:pPr>
            <w:r>
              <w:rPr>
                <w:rFonts w:ascii="Arial" w:cs="Arial" w:eastAsia="Arial" w:hAnsi="Arial"/>
                <w:sz w:val="18"/>
                <w:szCs w:val="18"/>
                <w:color w:val="auto"/>
              </w:rPr>
              <w:t>26</w:t>
            </w:r>
          </w:p>
        </w:tc>
        <w:tc>
          <w:tcPr>
            <w:tcW w:w="1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jc w:val="right"/>
              <w:ind w:right="31"/>
              <w:spacing w:after="0" w:line="200" w:lineRule="exact"/>
              <w:rPr>
                <w:sz w:val="20"/>
                <w:szCs w:val="20"/>
                <w:color w:val="auto"/>
              </w:rPr>
            </w:pPr>
            <w:r>
              <w:rPr>
                <w:rFonts w:ascii="Arial" w:cs="Arial" w:eastAsia="Arial" w:hAnsi="Arial"/>
                <w:sz w:val="18"/>
                <w:szCs w:val="18"/>
                <w:color w:val="auto"/>
              </w:rPr>
              <w:t>10,906</w:t>
            </w:r>
          </w:p>
        </w:tc>
        <w:tc>
          <w:tcPr>
            <w:tcW w:w="1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jc w:val="right"/>
              <w:ind w:right="11"/>
              <w:spacing w:after="0" w:line="200" w:lineRule="exact"/>
              <w:rPr>
                <w:sz w:val="20"/>
                <w:szCs w:val="20"/>
                <w:color w:val="auto"/>
              </w:rPr>
            </w:pPr>
            <w:r>
              <w:rPr>
                <w:rFonts w:ascii="Arial" w:cs="Arial" w:eastAsia="Arial" w:hAnsi="Arial"/>
                <w:sz w:val="18"/>
                <w:szCs w:val="18"/>
                <w:color w:val="auto"/>
              </w:rPr>
              <w:t>10,800</w:t>
            </w:r>
          </w:p>
        </w:tc>
        <w:tc>
          <w:tcPr>
            <w:tcW w:w="1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jc w:val="right"/>
              <w:ind w:right="11"/>
              <w:spacing w:after="0" w:line="200" w:lineRule="exact"/>
              <w:rPr>
                <w:sz w:val="20"/>
                <w:szCs w:val="20"/>
                <w:color w:val="auto"/>
              </w:rPr>
            </w:pPr>
            <w:r>
              <w:rPr>
                <w:rFonts w:ascii="Arial" w:cs="Arial" w:eastAsia="Arial" w:hAnsi="Arial"/>
                <w:sz w:val="18"/>
                <w:szCs w:val="18"/>
                <w:color w:val="auto"/>
              </w:rPr>
              <w:t>4</w:t>
            </w: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right"/>
              <w:ind w:right="11"/>
              <w:spacing w:after="0" w:line="200" w:lineRule="exact"/>
              <w:rPr>
                <w:sz w:val="20"/>
                <w:szCs w:val="20"/>
                <w:color w:val="auto"/>
              </w:rPr>
            </w:pPr>
            <w:r>
              <w:rPr>
                <w:rFonts w:ascii="Arial" w:cs="Arial" w:eastAsia="Arial" w:hAnsi="Arial"/>
                <w:sz w:val="18"/>
                <w:szCs w:val="18"/>
                <w:color w:val="auto"/>
              </w:rPr>
              <w:t>1,921</w:t>
            </w:r>
          </w:p>
        </w:tc>
      </w:tr>
      <w:tr>
        <w:trPr>
          <w:trHeight w:val="214"/>
        </w:trPr>
        <w:tc>
          <w:tcPr>
            <w:tcW w:w="4580" w:type="dxa"/>
            <w:vAlign w:val="bottom"/>
          </w:tcPr>
          <w:p>
            <w:pPr>
              <w:spacing w:after="0"/>
              <w:rPr>
                <w:sz w:val="20"/>
                <w:szCs w:val="20"/>
                <w:color w:val="auto"/>
              </w:rPr>
            </w:pPr>
            <w:r>
              <w:rPr>
                <w:rFonts w:ascii="Arial" w:cs="Arial" w:eastAsia="Arial" w:hAnsi="Arial"/>
                <w:sz w:val="18"/>
                <w:szCs w:val="18"/>
                <w:color w:val="auto"/>
              </w:rPr>
              <w:t>Residential mortgage</w:t>
            </w:r>
          </w:p>
        </w:tc>
        <w:tc>
          <w:tcPr>
            <w:tcW w:w="1380" w:type="dxa"/>
            <w:vAlign w:val="bottom"/>
            <w:gridSpan w:val="2"/>
          </w:tcPr>
          <w:p>
            <w:pPr>
              <w:jc w:val="right"/>
              <w:ind w:right="31"/>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2,764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2,620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108</w:t>
            </w:r>
          </w:p>
        </w:tc>
      </w:tr>
      <w:tr>
        <w:trPr>
          <w:trHeight w:val="214"/>
        </w:trPr>
        <w:tc>
          <w:tcPr>
            <w:tcW w:w="4580" w:type="dxa"/>
            <w:vAlign w:val="bottom"/>
          </w:tcPr>
          <w:p>
            <w:pPr>
              <w:spacing w:after="0"/>
              <w:rPr>
                <w:sz w:val="20"/>
                <w:szCs w:val="20"/>
                <w:color w:val="auto"/>
              </w:rPr>
            </w:pPr>
            <w:r>
              <w:rPr>
                <w:rFonts w:ascii="Arial" w:cs="Arial" w:eastAsia="Arial" w:hAnsi="Arial"/>
                <w:sz w:val="18"/>
                <w:szCs w:val="18"/>
                <w:color w:val="auto"/>
              </w:rPr>
              <w:t>Residential construction</w:t>
            </w:r>
          </w:p>
        </w:tc>
        <w:tc>
          <w:tcPr>
            <w:tcW w:w="1380" w:type="dxa"/>
            <w:vAlign w:val="bottom"/>
            <w:gridSpan w:val="2"/>
          </w:tcPr>
          <w:p>
            <w:pPr>
              <w:jc w:val="right"/>
              <w:ind w:right="31"/>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1,123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994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117</w:t>
            </w:r>
          </w:p>
        </w:tc>
      </w:tr>
      <w:tr>
        <w:trPr>
          <w:trHeight w:val="235"/>
        </w:trPr>
        <w:tc>
          <w:tcPr>
            <w:tcW w:w="4580" w:type="dxa"/>
            <w:vAlign w:val="bottom"/>
          </w:tcPr>
          <w:p>
            <w:pPr>
              <w:spacing w:after="0"/>
              <w:rPr>
                <w:sz w:val="20"/>
                <w:szCs w:val="20"/>
                <w:color w:val="auto"/>
              </w:rPr>
            </w:pPr>
            <w:r>
              <w:rPr>
                <w:rFonts w:ascii="Arial" w:cs="Arial" w:eastAsia="Arial" w:hAnsi="Arial"/>
                <w:sz w:val="18"/>
                <w:szCs w:val="18"/>
                <w:color w:val="auto"/>
              </w:rPr>
              <w:t>Consumer installment</w:t>
            </w:r>
          </w:p>
        </w:tc>
        <w:tc>
          <w:tcPr>
            <w:tcW w:w="1380" w:type="dxa"/>
            <w:vAlign w:val="bottom"/>
            <w:gridSpan w:val="2"/>
          </w:tcPr>
          <w:p>
            <w:pPr>
              <w:jc w:val="right"/>
              <w:ind w:right="31"/>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20</w:t>
            </w:r>
          </w:p>
        </w:tc>
      </w:tr>
      <w:tr>
        <w:trPr>
          <w:trHeight w:val="214"/>
        </w:trPr>
        <w:tc>
          <w:tcPr>
            <w:tcW w:w="4580" w:type="dxa"/>
            <w:vAlign w:val="bottom"/>
          </w:tcPr>
          <w:p>
            <w:pPr>
              <w:ind w:left="140"/>
              <w:spacing w:after="0"/>
              <w:rPr>
                <w:sz w:val="20"/>
                <w:szCs w:val="20"/>
                <w:color w:val="auto"/>
              </w:rPr>
            </w:pPr>
            <w:r>
              <w:rPr>
                <w:rFonts w:ascii="Arial" w:cs="Arial" w:eastAsia="Arial" w:hAnsi="Arial"/>
                <w:sz w:val="18"/>
                <w:szCs w:val="18"/>
                <w:color w:val="auto"/>
              </w:rPr>
              <w:t>Total loans</w:t>
            </w:r>
          </w:p>
        </w:tc>
        <w:tc>
          <w:tcPr>
            <w:tcW w:w="120" w:type="dxa"/>
            <w:vAlign w:val="bottom"/>
          </w:tcPr>
          <w:p>
            <w:pPr>
              <w:spacing w:after="0"/>
              <w:rPr>
                <w:sz w:val="18"/>
                <w:szCs w:val="18"/>
                <w:color w:val="auto"/>
              </w:rPr>
            </w:pPr>
          </w:p>
        </w:tc>
        <w:tc>
          <w:tcPr>
            <w:tcW w:w="126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14,814</w:t>
            </w:r>
          </w:p>
        </w:tc>
        <w:tc>
          <w:tcPr>
            <w:tcW w:w="1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14,435</w:t>
            </w:r>
          </w:p>
        </w:tc>
        <w:tc>
          <w:tcPr>
            <w:tcW w:w="10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2,166</w:t>
            </w:r>
          </w:p>
        </w:tc>
      </w:tr>
      <w:tr>
        <w:trPr>
          <w:trHeight w:val="20"/>
        </w:trPr>
        <w:tc>
          <w:tcPr>
            <w:tcW w:w="4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r>
      <w:tr>
        <w:trPr>
          <w:trHeight w:val="618"/>
        </w:trPr>
        <w:tc>
          <w:tcPr>
            <w:tcW w:w="4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80" w:type="dxa"/>
            <w:vAlign w:val="bottom"/>
            <w:gridSpan w:val="4"/>
          </w:tcPr>
          <w:p>
            <w:pPr>
              <w:jc w:val="center"/>
              <w:ind w:right="91"/>
              <w:spacing w:after="0"/>
              <w:rPr>
                <w:sz w:val="20"/>
                <w:szCs w:val="20"/>
                <w:color w:val="auto"/>
              </w:rPr>
            </w:pPr>
            <w:r>
              <w:rPr>
                <w:rFonts w:ascii="Arial" w:cs="Arial" w:eastAsia="Arial" w:hAnsi="Arial"/>
                <w:sz w:val="18"/>
                <w:szCs w:val="18"/>
                <w:b w:val="1"/>
                <w:bCs w:val="1"/>
                <w:color w:val="auto"/>
                <w:w w:val="91"/>
              </w:rPr>
              <w:t>Modified Within the Previous</w:t>
            </w:r>
          </w:p>
        </w:tc>
      </w:tr>
      <w:tr>
        <w:trPr>
          <w:trHeight w:val="214"/>
        </w:trPr>
        <w:tc>
          <w:tcPr>
            <w:tcW w:w="4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80" w:type="dxa"/>
            <w:vAlign w:val="bottom"/>
            <w:gridSpan w:val="4"/>
          </w:tcPr>
          <w:p>
            <w:pPr>
              <w:jc w:val="center"/>
              <w:ind w:right="111"/>
              <w:spacing w:after="0"/>
              <w:rPr>
                <w:sz w:val="20"/>
                <w:szCs w:val="20"/>
                <w:color w:val="auto"/>
              </w:rPr>
            </w:pPr>
            <w:r>
              <w:rPr>
                <w:rFonts w:ascii="Arial" w:cs="Arial" w:eastAsia="Arial" w:hAnsi="Arial"/>
                <w:sz w:val="18"/>
                <w:szCs w:val="18"/>
                <w:b w:val="1"/>
                <w:bCs w:val="1"/>
                <w:color w:val="auto"/>
                <w:w w:val="91"/>
              </w:rPr>
              <w:t>Twelve Months that Have</w:t>
            </w:r>
          </w:p>
        </w:tc>
      </w:tr>
      <w:tr>
        <w:trPr>
          <w:trHeight w:val="214"/>
        </w:trPr>
        <w:tc>
          <w:tcPr>
            <w:tcW w:w="4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center"/>
              <w:ind w:right="11"/>
              <w:spacing w:after="0"/>
              <w:rPr>
                <w:sz w:val="20"/>
                <w:szCs w:val="20"/>
                <w:color w:val="auto"/>
              </w:rPr>
            </w:pPr>
            <w:r>
              <w:rPr>
                <w:rFonts w:ascii="Arial" w:cs="Arial" w:eastAsia="Arial" w:hAnsi="Arial"/>
                <w:sz w:val="18"/>
                <w:szCs w:val="18"/>
                <w:b w:val="1"/>
                <w:bCs w:val="1"/>
                <w:color w:val="auto"/>
                <w:w w:val="91"/>
              </w:rPr>
              <w:t>Pre-</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4"/>
              </w:rPr>
              <w:t>Post-</w:t>
            </w:r>
          </w:p>
        </w:tc>
        <w:tc>
          <w:tcPr>
            <w:tcW w:w="2580" w:type="dxa"/>
            <w:vAlign w:val="bottom"/>
            <w:gridSpan w:val="5"/>
          </w:tcPr>
          <w:p>
            <w:pPr>
              <w:jc w:val="center"/>
              <w:ind w:right="11"/>
              <w:spacing w:after="0"/>
              <w:rPr>
                <w:sz w:val="20"/>
                <w:szCs w:val="20"/>
                <w:color w:val="auto"/>
              </w:rPr>
            </w:pPr>
            <w:r>
              <w:rPr>
                <w:rFonts w:ascii="Arial" w:cs="Arial" w:eastAsia="Arial" w:hAnsi="Arial"/>
                <w:sz w:val="18"/>
                <w:szCs w:val="18"/>
                <w:b w:val="1"/>
                <w:bCs w:val="1"/>
                <w:color w:val="auto"/>
                <w:w w:val="89"/>
              </w:rPr>
              <w:t>Subsequently Defaulted During</w:t>
            </w:r>
          </w:p>
        </w:tc>
      </w:tr>
      <w:tr>
        <w:trPr>
          <w:trHeight w:val="214"/>
        </w:trPr>
        <w:tc>
          <w:tcPr>
            <w:tcW w:w="4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Arial" w:cs="Arial" w:eastAsia="Arial" w:hAnsi="Arial"/>
                <w:sz w:val="18"/>
                <w:szCs w:val="18"/>
                <w:b w:val="1"/>
                <w:bCs w:val="1"/>
                <w:color w:val="auto"/>
                <w:w w:val="92"/>
              </w:rPr>
              <w:t>Modification</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2"/>
              </w:rPr>
              <w:t>Modification</w:t>
            </w:r>
          </w:p>
        </w:tc>
        <w:tc>
          <w:tcPr>
            <w:tcW w:w="100" w:type="dxa"/>
            <w:vAlign w:val="bottom"/>
          </w:tcPr>
          <w:p>
            <w:pPr>
              <w:spacing w:after="0"/>
              <w:rPr>
                <w:sz w:val="18"/>
                <w:szCs w:val="18"/>
                <w:color w:val="auto"/>
              </w:rPr>
            </w:pPr>
          </w:p>
        </w:tc>
        <w:tc>
          <w:tcPr>
            <w:tcW w:w="2480" w:type="dxa"/>
            <w:vAlign w:val="bottom"/>
            <w:gridSpan w:val="4"/>
          </w:tcPr>
          <w:p>
            <w:pPr>
              <w:jc w:val="center"/>
              <w:ind w:right="111"/>
              <w:spacing w:after="0"/>
              <w:rPr>
                <w:sz w:val="20"/>
                <w:szCs w:val="20"/>
                <w:color w:val="auto"/>
              </w:rPr>
            </w:pPr>
            <w:r>
              <w:rPr>
                <w:rFonts w:ascii="Arial" w:cs="Arial" w:eastAsia="Arial" w:hAnsi="Arial"/>
                <w:sz w:val="18"/>
                <w:szCs w:val="18"/>
                <w:b w:val="1"/>
                <w:bCs w:val="1"/>
                <w:color w:val="auto"/>
                <w:w w:val="91"/>
              </w:rPr>
              <w:t>the Three Months Ended</w:t>
            </w:r>
          </w:p>
        </w:tc>
      </w:tr>
      <w:tr>
        <w:trPr>
          <w:trHeight w:val="239"/>
        </w:trPr>
        <w:tc>
          <w:tcPr>
            <w:tcW w:w="4580" w:type="dxa"/>
            <w:vAlign w:val="bottom"/>
          </w:tcPr>
          <w:p>
            <w:pPr>
              <w:spacing w:after="0"/>
              <w:rPr>
                <w:sz w:val="20"/>
                <w:szCs w:val="20"/>
                <w:color w:val="auto"/>
              </w:rPr>
            </w:pPr>
            <w:r>
              <w:rPr>
                <w:rFonts w:ascii="Arial" w:cs="Arial" w:eastAsia="Arial" w:hAnsi="Arial"/>
                <w:sz w:val="18"/>
                <w:szCs w:val="18"/>
                <w:b w:val="1"/>
                <w:bCs w:val="1"/>
                <w:color w:val="auto"/>
              </w:rPr>
              <w:t>New Troubled Debt</w:t>
            </w: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Pr>
          <w:p>
            <w:pPr>
              <w:jc w:val="center"/>
              <w:ind w:right="11"/>
              <w:spacing w:after="0"/>
              <w:rPr>
                <w:sz w:val="20"/>
                <w:szCs w:val="20"/>
                <w:color w:val="auto"/>
              </w:rPr>
            </w:pPr>
            <w:r>
              <w:rPr>
                <w:rFonts w:ascii="Arial" w:cs="Arial" w:eastAsia="Arial" w:hAnsi="Arial"/>
                <w:sz w:val="18"/>
                <w:szCs w:val="18"/>
                <w:b w:val="1"/>
                <w:bCs w:val="1"/>
                <w:color w:val="auto"/>
                <w:w w:val="90"/>
              </w:rPr>
              <w:t>Outstanding</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Outstanding</w:t>
            </w:r>
          </w:p>
        </w:tc>
        <w:tc>
          <w:tcPr>
            <w:tcW w:w="100" w:type="dxa"/>
            <w:vAlign w:val="bottom"/>
            <w:tcBorders>
              <w:bottom w:val="single" w:sz="8" w:color="auto"/>
            </w:tcBorders>
          </w:tcPr>
          <w:p>
            <w:pPr>
              <w:spacing w:after="0"/>
              <w:rPr>
                <w:sz w:val="20"/>
                <w:szCs w:val="20"/>
                <w:color w:val="auto"/>
              </w:rPr>
            </w:pPr>
          </w:p>
        </w:tc>
        <w:tc>
          <w:tcPr>
            <w:tcW w:w="2480" w:type="dxa"/>
            <w:vAlign w:val="bottom"/>
            <w:tcBorders>
              <w:bottom w:val="single" w:sz="8" w:color="auto"/>
            </w:tcBorders>
            <w:gridSpan w:val="4"/>
          </w:tcPr>
          <w:p>
            <w:pPr>
              <w:jc w:val="center"/>
              <w:ind w:right="111"/>
              <w:spacing w:after="0"/>
              <w:rPr>
                <w:sz w:val="20"/>
                <w:szCs w:val="20"/>
                <w:color w:val="auto"/>
              </w:rPr>
            </w:pPr>
            <w:r>
              <w:rPr>
                <w:rFonts w:ascii="Arial" w:cs="Arial" w:eastAsia="Arial" w:hAnsi="Arial"/>
                <w:sz w:val="18"/>
                <w:szCs w:val="18"/>
                <w:b w:val="1"/>
                <w:bCs w:val="1"/>
                <w:color w:val="auto"/>
                <w:w w:val="88"/>
              </w:rPr>
              <w:t>June 30, 2012</w:t>
            </w:r>
          </w:p>
        </w:tc>
      </w:tr>
      <w:tr>
        <w:trPr>
          <w:trHeight w:val="196"/>
        </w:trPr>
        <w:tc>
          <w:tcPr>
            <w:tcW w:w="4580" w:type="dxa"/>
            <w:vAlign w:val="bottom"/>
          </w:tcPr>
          <w:p>
            <w:pPr>
              <w:spacing w:after="0" w:line="196" w:lineRule="exact"/>
              <w:rPr>
                <w:sz w:val="20"/>
                <w:szCs w:val="20"/>
                <w:color w:val="auto"/>
              </w:rPr>
            </w:pPr>
            <w:r>
              <w:rPr>
                <w:rFonts w:ascii="Arial" w:cs="Arial" w:eastAsia="Arial" w:hAnsi="Arial"/>
                <w:sz w:val="18"/>
                <w:szCs w:val="18"/>
                <w:b w:val="1"/>
                <w:bCs w:val="1"/>
                <w:color w:val="auto"/>
              </w:rPr>
              <w:t>Restructurings for the Three</w:t>
            </w:r>
          </w:p>
        </w:tc>
        <w:tc>
          <w:tcPr>
            <w:tcW w:w="120" w:type="dxa"/>
            <w:vAlign w:val="bottom"/>
          </w:tcPr>
          <w:p>
            <w:pPr>
              <w:spacing w:after="0"/>
              <w:rPr>
                <w:sz w:val="17"/>
                <w:szCs w:val="17"/>
                <w:color w:val="auto"/>
              </w:rPr>
            </w:pPr>
          </w:p>
        </w:tc>
        <w:tc>
          <w:tcPr>
            <w:tcW w:w="1260" w:type="dxa"/>
            <w:vAlign w:val="bottom"/>
          </w:tcPr>
          <w:p>
            <w:pPr>
              <w:jc w:val="center"/>
              <w:spacing w:after="0" w:line="196" w:lineRule="exact"/>
              <w:rPr>
                <w:sz w:val="20"/>
                <w:szCs w:val="20"/>
                <w:color w:val="auto"/>
              </w:rPr>
            </w:pPr>
            <w:r>
              <w:rPr>
                <w:rFonts w:ascii="Arial" w:cs="Arial" w:eastAsia="Arial" w:hAnsi="Arial"/>
                <w:sz w:val="18"/>
                <w:szCs w:val="18"/>
                <w:b w:val="1"/>
                <w:bCs w:val="1"/>
                <w:color w:val="auto"/>
                <w:w w:val="91"/>
              </w:rPr>
              <w:t>Number of</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jc w:val="center"/>
              <w:spacing w:after="0" w:line="196" w:lineRule="exact"/>
              <w:rPr>
                <w:sz w:val="20"/>
                <w:szCs w:val="20"/>
                <w:color w:val="auto"/>
              </w:rPr>
            </w:pPr>
            <w:r>
              <w:rPr>
                <w:rFonts w:ascii="Arial" w:cs="Arial" w:eastAsia="Arial" w:hAnsi="Arial"/>
                <w:sz w:val="18"/>
                <w:szCs w:val="18"/>
                <w:b w:val="1"/>
                <w:bCs w:val="1"/>
                <w:color w:val="auto"/>
                <w:w w:val="89"/>
              </w:rPr>
              <w:t>Recorded</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gridSpan w:val="2"/>
          </w:tcPr>
          <w:p>
            <w:pPr>
              <w:jc w:val="center"/>
              <w:ind w:right="200"/>
              <w:spacing w:after="0" w:line="196" w:lineRule="exact"/>
              <w:rPr>
                <w:sz w:val="20"/>
                <w:szCs w:val="20"/>
                <w:color w:val="auto"/>
              </w:rPr>
            </w:pPr>
            <w:r>
              <w:rPr>
                <w:rFonts w:ascii="Arial" w:cs="Arial" w:eastAsia="Arial" w:hAnsi="Arial"/>
                <w:sz w:val="18"/>
                <w:szCs w:val="18"/>
                <w:b w:val="1"/>
                <w:bCs w:val="1"/>
                <w:color w:val="auto"/>
                <w:w w:val="89"/>
              </w:rPr>
              <w:t>Recorded</w:t>
            </w:r>
          </w:p>
        </w:tc>
        <w:tc>
          <w:tcPr>
            <w:tcW w:w="100" w:type="dxa"/>
            <w:vAlign w:val="bottom"/>
          </w:tcPr>
          <w:p>
            <w:pPr>
              <w:spacing w:after="0"/>
              <w:rPr>
                <w:sz w:val="17"/>
                <w:szCs w:val="17"/>
                <w:color w:val="auto"/>
              </w:rPr>
            </w:pPr>
          </w:p>
        </w:tc>
        <w:tc>
          <w:tcPr>
            <w:tcW w:w="1140" w:type="dxa"/>
            <w:vAlign w:val="bottom"/>
          </w:tcPr>
          <w:p>
            <w:pPr>
              <w:jc w:val="center"/>
              <w:spacing w:after="0" w:line="196" w:lineRule="exact"/>
              <w:rPr>
                <w:sz w:val="20"/>
                <w:szCs w:val="20"/>
                <w:color w:val="auto"/>
              </w:rPr>
            </w:pPr>
            <w:r>
              <w:rPr>
                <w:rFonts w:ascii="Arial" w:cs="Arial" w:eastAsia="Arial" w:hAnsi="Arial"/>
                <w:sz w:val="18"/>
                <w:szCs w:val="18"/>
                <w:b w:val="1"/>
                <w:bCs w:val="1"/>
                <w:color w:val="auto"/>
                <w:w w:val="91"/>
              </w:rPr>
              <w:t>Number of</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center"/>
              <w:ind w:right="131"/>
              <w:spacing w:after="0" w:line="196" w:lineRule="exact"/>
              <w:rPr>
                <w:sz w:val="20"/>
                <w:szCs w:val="20"/>
                <w:color w:val="auto"/>
              </w:rPr>
            </w:pPr>
            <w:r>
              <w:rPr>
                <w:rFonts w:ascii="Arial" w:cs="Arial" w:eastAsia="Arial" w:hAnsi="Arial"/>
                <w:sz w:val="18"/>
                <w:szCs w:val="18"/>
                <w:b w:val="1"/>
                <w:bCs w:val="1"/>
                <w:color w:val="auto"/>
                <w:w w:val="89"/>
              </w:rPr>
              <w:t>Recorded</w:t>
            </w:r>
          </w:p>
        </w:tc>
      </w:tr>
      <w:tr>
        <w:trPr>
          <w:trHeight w:val="239"/>
        </w:trPr>
        <w:tc>
          <w:tcPr>
            <w:tcW w:w="45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Months Ended June 30, 2012</w:t>
            </w:r>
          </w:p>
        </w:tc>
        <w:tc>
          <w:tcPr>
            <w:tcW w:w="120" w:type="dxa"/>
            <w:vAlign w:val="bottom"/>
          </w:tcPr>
          <w:p>
            <w:pPr>
              <w:spacing w:after="0"/>
              <w:rPr>
                <w:sz w:val="20"/>
                <w:szCs w:val="20"/>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Contracts</w:t>
            </w: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Investment</w:t>
            </w: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center"/>
              <w:ind w:right="11"/>
              <w:spacing w:after="0"/>
              <w:rPr>
                <w:sz w:val="20"/>
                <w:szCs w:val="20"/>
                <w:color w:val="auto"/>
              </w:rPr>
            </w:pPr>
            <w:r>
              <w:rPr>
                <w:rFonts w:ascii="Arial" w:cs="Arial" w:eastAsia="Arial" w:hAnsi="Arial"/>
                <w:sz w:val="18"/>
                <w:szCs w:val="18"/>
                <w:b w:val="1"/>
                <w:bCs w:val="1"/>
                <w:color w:val="auto"/>
                <w:w w:val="90"/>
              </w:rPr>
              <w:t>Investment</w:t>
            </w: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right="11"/>
              <w:spacing w:after="0"/>
              <w:rPr>
                <w:sz w:val="20"/>
                <w:szCs w:val="20"/>
                <w:color w:val="auto"/>
              </w:rPr>
            </w:pPr>
            <w:r>
              <w:rPr>
                <w:rFonts w:ascii="Arial" w:cs="Arial" w:eastAsia="Arial" w:hAnsi="Arial"/>
                <w:sz w:val="18"/>
                <w:szCs w:val="18"/>
                <w:b w:val="1"/>
                <w:bCs w:val="1"/>
                <w:color w:val="auto"/>
                <w:w w:val="90"/>
              </w:rPr>
              <w:t>Contracts</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ind w:right="131"/>
              <w:spacing w:after="0"/>
              <w:rPr>
                <w:sz w:val="20"/>
                <w:szCs w:val="20"/>
                <w:color w:val="auto"/>
              </w:rPr>
            </w:pPr>
            <w:r>
              <w:rPr>
                <w:rFonts w:ascii="Arial" w:cs="Arial" w:eastAsia="Arial" w:hAnsi="Arial"/>
                <w:sz w:val="18"/>
                <w:szCs w:val="18"/>
                <w:b w:val="1"/>
                <w:bCs w:val="1"/>
                <w:color w:val="auto"/>
                <w:w w:val="90"/>
              </w:rPr>
              <w:t>Investment</w:t>
            </w:r>
          </w:p>
        </w:tc>
      </w:tr>
      <w:tr>
        <w:trPr>
          <w:trHeight w:val="414"/>
        </w:trPr>
        <w:tc>
          <w:tcPr>
            <w:tcW w:w="4580" w:type="dxa"/>
            <w:vAlign w:val="bottom"/>
          </w:tcPr>
          <w:p>
            <w:pPr>
              <w:spacing w:after="0"/>
              <w:rPr>
                <w:sz w:val="20"/>
                <w:szCs w:val="20"/>
                <w:color w:val="auto"/>
              </w:rPr>
            </w:pPr>
            <w:r>
              <w:rPr>
                <w:rFonts w:ascii="Arial" w:cs="Arial" w:eastAsia="Arial" w:hAnsi="Arial"/>
                <w:sz w:val="18"/>
                <w:szCs w:val="18"/>
                <w:color w:val="auto"/>
              </w:rPr>
              <w:t>Commercial (secured by real estate)</w:t>
            </w:r>
          </w:p>
        </w:tc>
        <w:tc>
          <w:tcPr>
            <w:tcW w:w="1380" w:type="dxa"/>
            <w:vAlign w:val="bottom"/>
            <w:gridSpan w:val="2"/>
          </w:tcPr>
          <w:p>
            <w:pPr>
              <w:jc w:val="right"/>
              <w:ind w:right="31"/>
              <w:spacing w:after="0"/>
              <w:rPr>
                <w:sz w:val="20"/>
                <w:szCs w:val="20"/>
                <w:color w:val="auto"/>
              </w:rPr>
            </w:pPr>
            <w:r>
              <w:rPr>
                <w:rFonts w:ascii="Arial" w:cs="Arial" w:eastAsia="Arial" w:hAnsi="Arial"/>
                <w:sz w:val="18"/>
                <w:szCs w:val="18"/>
                <w:color w:val="auto"/>
              </w:rPr>
              <w:t>10</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7,815</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7,728</w:t>
            </w:r>
          </w:p>
        </w:tc>
        <w:tc>
          <w:tcPr>
            <w:tcW w:w="10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3</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2,307</w:t>
            </w:r>
          </w:p>
        </w:tc>
      </w:tr>
      <w:tr>
        <w:trPr>
          <w:trHeight w:val="214"/>
        </w:trPr>
        <w:tc>
          <w:tcPr>
            <w:tcW w:w="4580" w:type="dxa"/>
            <w:vAlign w:val="bottom"/>
          </w:tcPr>
          <w:p>
            <w:pPr>
              <w:spacing w:after="0"/>
              <w:rPr>
                <w:sz w:val="20"/>
                <w:szCs w:val="20"/>
                <w:color w:val="auto"/>
              </w:rPr>
            </w:pPr>
            <w:r>
              <w:rPr>
                <w:rFonts w:ascii="Arial" w:cs="Arial" w:eastAsia="Arial" w:hAnsi="Arial"/>
                <w:sz w:val="18"/>
                <w:szCs w:val="18"/>
                <w:color w:val="auto"/>
              </w:rPr>
              <w:t>Commercial &amp; industrial</w:t>
            </w:r>
          </w:p>
        </w:tc>
        <w:tc>
          <w:tcPr>
            <w:tcW w:w="1380" w:type="dxa"/>
            <w:vAlign w:val="bottom"/>
            <w:gridSpan w:val="2"/>
          </w:tcPr>
          <w:p>
            <w:pPr>
              <w:jc w:val="right"/>
              <w:ind w:right="31"/>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598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598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5</w:t>
            </w:r>
          </w:p>
        </w:tc>
      </w:tr>
      <w:tr>
        <w:trPr>
          <w:trHeight w:val="235"/>
        </w:trPr>
        <w:tc>
          <w:tcPr>
            <w:tcW w:w="4580" w:type="dxa"/>
            <w:vAlign w:val="bottom"/>
          </w:tcPr>
          <w:p>
            <w:pPr>
              <w:spacing w:after="0"/>
              <w:rPr>
                <w:sz w:val="20"/>
                <w:szCs w:val="20"/>
                <w:color w:val="auto"/>
              </w:rPr>
            </w:pPr>
            <w:r>
              <w:rPr>
                <w:rFonts w:ascii="Arial" w:cs="Arial" w:eastAsia="Arial" w:hAnsi="Arial"/>
                <w:sz w:val="18"/>
                <w:szCs w:val="18"/>
                <w:color w:val="auto"/>
              </w:rPr>
              <w:t>Commercial construction</w:t>
            </w:r>
          </w:p>
        </w:tc>
        <w:tc>
          <w:tcPr>
            <w:tcW w:w="1380" w:type="dxa"/>
            <w:vAlign w:val="bottom"/>
            <w:gridSpan w:val="2"/>
          </w:tcPr>
          <w:p>
            <w:pPr>
              <w:jc w:val="right"/>
              <w:ind w:right="31"/>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7,702</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7,702</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00"/>
        </w:trPr>
        <w:tc>
          <w:tcPr>
            <w:tcW w:w="4580" w:type="dxa"/>
            <w:vAlign w:val="bottom"/>
          </w:tcPr>
          <w:p>
            <w:pPr>
              <w:ind w:left="220"/>
              <w:spacing w:after="0" w:line="200" w:lineRule="exact"/>
              <w:rPr>
                <w:sz w:val="20"/>
                <w:szCs w:val="20"/>
                <w:color w:val="auto"/>
              </w:rPr>
            </w:pPr>
            <w:r>
              <w:rPr>
                <w:rFonts w:ascii="Arial" w:cs="Arial" w:eastAsia="Arial" w:hAnsi="Arial"/>
                <w:sz w:val="18"/>
                <w:szCs w:val="18"/>
                <w:color w:val="auto"/>
              </w:rPr>
              <w:t>Total commercial</w:t>
            </w:r>
          </w:p>
        </w:tc>
        <w:tc>
          <w:tcPr>
            <w:tcW w:w="120" w:type="dxa"/>
            <w:vAlign w:val="bottom"/>
          </w:tcPr>
          <w:p>
            <w:pPr>
              <w:spacing w:after="0"/>
              <w:rPr>
                <w:sz w:val="17"/>
                <w:szCs w:val="17"/>
                <w:color w:val="auto"/>
              </w:rPr>
            </w:pPr>
          </w:p>
        </w:tc>
        <w:tc>
          <w:tcPr>
            <w:tcW w:w="1260" w:type="dxa"/>
            <w:vAlign w:val="bottom"/>
            <w:tcBorders>
              <w:top w:val="single" w:sz="8" w:color="auto"/>
            </w:tcBorders>
          </w:tcPr>
          <w:p>
            <w:pPr>
              <w:jc w:val="right"/>
              <w:ind w:right="31"/>
              <w:spacing w:after="0" w:line="200" w:lineRule="exact"/>
              <w:rPr>
                <w:sz w:val="20"/>
                <w:szCs w:val="20"/>
                <w:color w:val="auto"/>
              </w:rPr>
            </w:pPr>
            <w:r>
              <w:rPr>
                <w:rFonts w:ascii="Arial" w:cs="Arial" w:eastAsia="Arial" w:hAnsi="Arial"/>
                <w:sz w:val="18"/>
                <w:szCs w:val="18"/>
                <w:color w:val="auto"/>
              </w:rPr>
              <w:t>24</w:t>
            </w:r>
          </w:p>
        </w:tc>
        <w:tc>
          <w:tcPr>
            <w:tcW w:w="1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jc w:val="right"/>
              <w:ind w:right="31"/>
              <w:spacing w:after="0" w:line="200" w:lineRule="exact"/>
              <w:rPr>
                <w:sz w:val="20"/>
                <w:szCs w:val="20"/>
                <w:color w:val="auto"/>
              </w:rPr>
            </w:pPr>
            <w:r>
              <w:rPr>
                <w:rFonts w:ascii="Arial" w:cs="Arial" w:eastAsia="Arial" w:hAnsi="Arial"/>
                <w:sz w:val="18"/>
                <w:szCs w:val="18"/>
                <w:color w:val="auto"/>
              </w:rPr>
              <w:t>16,115</w:t>
            </w:r>
          </w:p>
        </w:tc>
        <w:tc>
          <w:tcPr>
            <w:tcW w:w="1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jc w:val="right"/>
              <w:ind w:right="11"/>
              <w:spacing w:after="0" w:line="200" w:lineRule="exact"/>
              <w:rPr>
                <w:sz w:val="20"/>
                <w:szCs w:val="20"/>
                <w:color w:val="auto"/>
              </w:rPr>
            </w:pPr>
            <w:r>
              <w:rPr>
                <w:rFonts w:ascii="Arial" w:cs="Arial" w:eastAsia="Arial" w:hAnsi="Arial"/>
                <w:sz w:val="18"/>
                <w:szCs w:val="18"/>
                <w:color w:val="auto"/>
              </w:rPr>
              <w:t>16,028</w:t>
            </w:r>
          </w:p>
        </w:tc>
        <w:tc>
          <w:tcPr>
            <w:tcW w:w="1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jc w:val="right"/>
              <w:ind w:right="11"/>
              <w:spacing w:after="0" w:line="200" w:lineRule="exact"/>
              <w:rPr>
                <w:sz w:val="20"/>
                <w:szCs w:val="20"/>
                <w:color w:val="auto"/>
              </w:rPr>
            </w:pPr>
            <w:r>
              <w:rPr>
                <w:rFonts w:ascii="Arial" w:cs="Arial" w:eastAsia="Arial" w:hAnsi="Arial"/>
                <w:sz w:val="18"/>
                <w:szCs w:val="18"/>
                <w:color w:val="auto"/>
              </w:rPr>
              <w:t>4</w:t>
            </w: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right"/>
              <w:ind w:right="11"/>
              <w:spacing w:after="0" w:line="200" w:lineRule="exact"/>
              <w:rPr>
                <w:sz w:val="20"/>
                <w:szCs w:val="20"/>
                <w:color w:val="auto"/>
              </w:rPr>
            </w:pPr>
            <w:r>
              <w:rPr>
                <w:rFonts w:ascii="Arial" w:cs="Arial" w:eastAsia="Arial" w:hAnsi="Arial"/>
                <w:sz w:val="18"/>
                <w:szCs w:val="18"/>
                <w:color w:val="auto"/>
              </w:rPr>
              <w:t>2,312</w:t>
            </w:r>
          </w:p>
        </w:tc>
      </w:tr>
      <w:tr>
        <w:trPr>
          <w:trHeight w:val="214"/>
        </w:trPr>
        <w:tc>
          <w:tcPr>
            <w:tcW w:w="4580" w:type="dxa"/>
            <w:vAlign w:val="bottom"/>
          </w:tcPr>
          <w:p>
            <w:pPr>
              <w:spacing w:after="0"/>
              <w:rPr>
                <w:sz w:val="20"/>
                <w:szCs w:val="20"/>
                <w:color w:val="auto"/>
              </w:rPr>
            </w:pPr>
            <w:r>
              <w:rPr>
                <w:rFonts w:ascii="Arial" w:cs="Arial" w:eastAsia="Arial" w:hAnsi="Arial"/>
                <w:sz w:val="18"/>
                <w:szCs w:val="18"/>
                <w:color w:val="auto"/>
              </w:rPr>
              <w:t>Residential mortgage</w:t>
            </w:r>
          </w:p>
        </w:tc>
        <w:tc>
          <w:tcPr>
            <w:tcW w:w="1380" w:type="dxa"/>
            <w:vAlign w:val="bottom"/>
            <w:gridSpan w:val="2"/>
          </w:tcPr>
          <w:p>
            <w:pPr>
              <w:jc w:val="right"/>
              <w:ind w:right="31"/>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5,288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5,112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27</w:t>
            </w:r>
          </w:p>
        </w:tc>
      </w:tr>
      <w:tr>
        <w:trPr>
          <w:trHeight w:val="214"/>
        </w:trPr>
        <w:tc>
          <w:tcPr>
            <w:tcW w:w="4580" w:type="dxa"/>
            <w:vAlign w:val="bottom"/>
          </w:tcPr>
          <w:p>
            <w:pPr>
              <w:spacing w:after="0"/>
              <w:rPr>
                <w:sz w:val="20"/>
                <w:szCs w:val="20"/>
                <w:color w:val="auto"/>
              </w:rPr>
            </w:pPr>
            <w:r>
              <w:rPr>
                <w:rFonts w:ascii="Arial" w:cs="Arial" w:eastAsia="Arial" w:hAnsi="Arial"/>
                <w:sz w:val="18"/>
                <w:szCs w:val="18"/>
                <w:color w:val="auto"/>
              </w:rPr>
              <w:t>Residential construction</w:t>
            </w:r>
          </w:p>
        </w:tc>
        <w:tc>
          <w:tcPr>
            <w:tcW w:w="1380" w:type="dxa"/>
            <w:vAlign w:val="bottom"/>
            <w:gridSpan w:val="2"/>
          </w:tcPr>
          <w:p>
            <w:pPr>
              <w:jc w:val="right"/>
              <w:ind w:right="31"/>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7,638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6,361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121</w:t>
            </w:r>
          </w:p>
        </w:tc>
      </w:tr>
      <w:tr>
        <w:trPr>
          <w:trHeight w:val="235"/>
        </w:trPr>
        <w:tc>
          <w:tcPr>
            <w:tcW w:w="4580" w:type="dxa"/>
            <w:vAlign w:val="bottom"/>
          </w:tcPr>
          <w:p>
            <w:pPr>
              <w:spacing w:after="0"/>
              <w:rPr>
                <w:sz w:val="20"/>
                <w:szCs w:val="20"/>
                <w:color w:val="auto"/>
              </w:rPr>
            </w:pPr>
            <w:r>
              <w:rPr>
                <w:rFonts w:ascii="Arial" w:cs="Arial" w:eastAsia="Arial" w:hAnsi="Arial"/>
                <w:sz w:val="18"/>
                <w:szCs w:val="18"/>
                <w:color w:val="auto"/>
              </w:rPr>
              <w:t>Consumer installment</w:t>
            </w:r>
          </w:p>
        </w:tc>
        <w:tc>
          <w:tcPr>
            <w:tcW w:w="1380" w:type="dxa"/>
            <w:vAlign w:val="bottom"/>
            <w:gridSpan w:val="2"/>
          </w:tcPr>
          <w:p>
            <w:pPr>
              <w:jc w:val="right"/>
              <w:ind w:right="31"/>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210</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210</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6</w:t>
            </w:r>
          </w:p>
        </w:tc>
      </w:tr>
      <w:tr>
        <w:trPr>
          <w:trHeight w:val="214"/>
        </w:trPr>
        <w:tc>
          <w:tcPr>
            <w:tcW w:w="4580" w:type="dxa"/>
            <w:vAlign w:val="bottom"/>
          </w:tcPr>
          <w:p>
            <w:pPr>
              <w:ind w:left="140"/>
              <w:spacing w:after="0"/>
              <w:rPr>
                <w:sz w:val="20"/>
                <w:szCs w:val="20"/>
                <w:color w:val="auto"/>
              </w:rPr>
            </w:pPr>
            <w:r>
              <w:rPr>
                <w:rFonts w:ascii="Arial" w:cs="Arial" w:eastAsia="Arial" w:hAnsi="Arial"/>
                <w:sz w:val="18"/>
                <w:szCs w:val="18"/>
                <w:color w:val="auto"/>
              </w:rPr>
              <w:t>Total loans</w:t>
            </w:r>
          </w:p>
        </w:tc>
        <w:tc>
          <w:tcPr>
            <w:tcW w:w="120" w:type="dxa"/>
            <w:vAlign w:val="bottom"/>
          </w:tcPr>
          <w:p>
            <w:pPr>
              <w:spacing w:after="0"/>
              <w:rPr>
                <w:sz w:val="18"/>
                <w:szCs w:val="18"/>
                <w:color w:val="auto"/>
              </w:rPr>
            </w:pPr>
          </w:p>
        </w:tc>
        <w:tc>
          <w:tcPr>
            <w:tcW w:w="126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72</w:t>
            </w:r>
          </w:p>
        </w:tc>
        <w:tc>
          <w:tcPr>
            <w:tcW w:w="1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29,251</w:t>
            </w:r>
          </w:p>
        </w:tc>
        <w:tc>
          <w:tcPr>
            <w:tcW w:w="1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27,711</w:t>
            </w:r>
          </w:p>
        </w:tc>
        <w:tc>
          <w:tcPr>
            <w:tcW w:w="10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2,466</w:t>
            </w:r>
          </w:p>
        </w:tc>
      </w:tr>
      <w:tr>
        <w:trPr>
          <w:trHeight w:val="20"/>
        </w:trPr>
        <w:tc>
          <w:tcPr>
            <w:tcW w:w="4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r>
      <w:tr>
        <w:trPr>
          <w:trHeight w:val="618"/>
        </w:trPr>
        <w:tc>
          <w:tcPr>
            <w:tcW w:w="4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80" w:type="dxa"/>
            <w:vAlign w:val="bottom"/>
            <w:gridSpan w:val="4"/>
          </w:tcPr>
          <w:p>
            <w:pPr>
              <w:jc w:val="center"/>
              <w:ind w:right="91"/>
              <w:spacing w:after="0"/>
              <w:rPr>
                <w:sz w:val="20"/>
                <w:szCs w:val="20"/>
                <w:color w:val="auto"/>
              </w:rPr>
            </w:pPr>
            <w:r>
              <w:rPr>
                <w:rFonts w:ascii="Arial" w:cs="Arial" w:eastAsia="Arial" w:hAnsi="Arial"/>
                <w:sz w:val="18"/>
                <w:szCs w:val="18"/>
                <w:b w:val="1"/>
                <w:bCs w:val="1"/>
                <w:color w:val="auto"/>
                <w:w w:val="91"/>
              </w:rPr>
              <w:t>Modified Within the Previous</w:t>
            </w:r>
          </w:p>
        </w:tc>
      </w:tr>
      <w:tr>
        <w:trPr>
          <w:trHeight w:val="214"/>
        </w:trPr>
        <w:tc>
          <w:tcPr>
            <w:tcW w:w="4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80" w:type="dxa"/>
            <w:vAlign w:val="bottom"/>
            <w:gridSpan w:val="4"/>
          </w:tcPr>
          <w:p>
            <w:pPr>
              <w:jc w:val="center"/>
              <w:ind w:right="111"/>
              <w:spacing w:after="0"/>
              <w:rPr>
                <w:sz w:val="20"/>
                <w:szCs w:val="20"/>
                <w:color w:val="auto"/>
              </w:rPr>
            </w:pPr>
            <w:r>
              <w:rPr>
                <w:rFonts w:ascii="Arial" w:cs="Arial" w:eastAsia="Arial" w:hAnsi="Arial"/>
                <w:sz w:val="18"/>
                <w:szCs w:val="18"/>
                <w:b w:val="1"/>
                <w:bCs w:val="1"/>
                <w:color w:val="auto"/>
                <w:w w:val="91"/>
              </w:rPr>
              <w:t>Twelve Months that Have</w:t>
            </w:r>
          </w:p>
        </w:tc>
      </w:tr>
      <w:tr>
        <w:trPr>
          <w:trHeight w:val="214"/>
        </w:trPr>
        <w:tc>
          <w:tcPr>
            <w:tcW w:w="4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center"/>
              <w:ind w:right="11"/>
              <w:spacing w:after="0"/>
              <w:rPr>
                <w:sz w:val="20"/>
                <w:szCs w:val="20"/>
                <w:color w:val="auto"/>
              </w:rPr>
            </w:pPr>
            <w:r>
              <w:rPr>
                <w:rFonts w:ascii="Arial" w:cs="Arial" w:eastAsia="Arial" w:hAnsi="Arial"/>
                <w:sz w:val="18"/>
                <w:szCs w:val="18"/>
                <w:b w:val="1"/>
                <w:bCs w:val="1"/>
                <w:color w:val="auto"/>
                <w:w w:val="91"/>
              </w:rPr>
              <w:t>Pre-</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4"/>
              </w:rPr>
              <w:t>Post-</w:t>
            </w:r>
          </w:p>
        </w:tc>
        <w:tc>
          <w:tcPr>
            <w:tcW w:w="2580" w:type="dxa"/>
            <w:vAlign w:val="bottom"/>
            <w:gridSpan w:val="5"/>
          </w:tcPr>
          <w:p>
            <w:pPr>
              <w:jc w:val="center"/>
              <w:ind w:right="11"/>
              <w:spacing w:after="0"/>
              <w:rPr>
                <w:sz w:val="20"/>
                <w:szCs w:val="20"/>
                <w:color w:val="auto"/>
              </w:rPr>
            </w:pPr>
            <w:r>
              <w:rPr>
                <w:rFonts w:ascii="Arial" w:cs="Arial" w:eastAsia="Arial" w:hAnsi="Arial"/>
                <w:sz w:val="18"/>
                <w:szCs w:val="18"/>
                <w:b w:val="1"/>
                <w:bCs w:val="1"/>
                <w:color w:val="auto"/>
                <w:w w:val="89"/>
              </w:rPr>
              <w:t>Subsequently Defaulted During</w:t>
            </w:r>
          </w:p>
        </w:tc>
      </w:tr>
      <w:tr>
        <w:trPr>
          <w:trHeight w:val="214"/>
        </w:trPr>
        <w:tc>
          <w:tcPr>
            <w:tcW w:w="4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Arial" w:cs="Arial" w:eastAsia="Arial" w:hAnsi="Arial"/>
                <w:sz w:val="18"/>
                <w:szCs w:val="18"/>
                <w:b w:val="1"/>
                <w:bCs w:val="1"/>
                <w:color w:val="auto"/>
                <w:w w:val="92"/>
              </w:rPr>
              <w:t>Modification</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2"/>
              </w:rPr>
              <w:t>Modification</w:t>
            </w:r>
          </w:p>
        </w:tc>
        <w:tc>
          <w:tcPr>
            <w:tcW w:w="100" w:type="dxa"/>
            <w:vAlign w:val="bottom"/>
          </w:tcPr>
          <w:p>
            <w:pPr>
              <w:spacing w:after="0"/>
              <w:rPr>
                <w:sz w:val="18"/>
                <w:szCs w:val="18"/>
                <w:color w:val="auto"/>
              </w:rPr>
            </w:pPr>
          </w:p>
        </w:tc>
        <w:tc>
          <w:tcPr>
            <w:tcW w:w="2480" w:type="dxa"/>
            <w:vAlign w:val="bottom"/>
            <w:gridSpan w:val="4"/>
          </w:tcPr>
          <w:p>
            <w:pPr>
              <w:jc w:val="center"/>
              <w:ind w:right="111"/>
              <w:spacing w:after="0"/>
              <w:rPr>
                <w:sz w:val="20"/>
                <w:szCs w:val="20"/>
                <w:color w:val="auto"/>
              </w:rPr>
            </w:pPr>
            <w:r>
              <w:rPr>
                <w:rFonts w:ascii="Arial" w:cs="Arial" w:eastAsia="Arial" w:hAnsi="Arial"/>
                <w:sz w:val="18"/>
                <w:szCs w:val="18"/>
                <w:b w:val="1"/>
                <w:bCs w:val="1"/>
                <w:color w:val="auto"/>
                <w:w w:val="89"/>
              </w:rPr>
              <w:t>the Six Months Ended</w:t>
            </w:r>
          </w:p>
        </w:tc>
      </w:tr>
      <w:tr>
        <w:trPr>
          <w:trHeight w:val="239"/>
        </w:trPr>
        <w:tc>
          <w:tcPr>
            <w:tcW w:w="4580" w:type="dxa"/>
            <w:vAlign w:val="bottom"/>
          </w:tcPr>
          <w:p>
            <w:pPr>
              <w:spacing w:after="0"/>
              <w:rPr>
                <w:sz w:val="20"/>
                <w:szCs w:val="20"/>
                <w:color w:val="auto"/>
              </w:rPr>
            </w:pPr>
            <w:r>
              <w:rPr>
                <w:rFonts w:ascii="Arial" w:cs="Arial" w:eastAsia="Arial" w:hAnsi="Arial"/>
                <w:sz w:val="18"/>
                <w:szCs w:val="18"/>
                <w:b w:val="1"/>
                <w:bCs w:val="1"/>
                <w:color w:val="auto"/>
              </w:rPr>
              <w:t>New Troubled Debt</w:t>
            </w: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Pr>
          <w:p>
            <w:pPr>
              <w:jc w:val="center"/>
              <w:ind w:right="11"/>
              <w:spacing w:after="0"/>
              <w:rPr>
                <w:sz w:val="20"/>
                <w:szCs w:val="20"/>
                <w:color w:val="auto"/>
              </w:rPr>
            </w:pPr>
            <w:r>
              <w:rPr>
                <w:rFonts w:ascii="Arial" w:cs="Arial" w:eastAsia="Arial" w:hAnsi="Arial"/>
                <w:sz w:val="18"/>
                <w:szCs w:val="18"/>
                <w:b w:val="1"/>
                <w:bCs w:val="1"/>
                <w:color w:val="auto"/>
                <w:w w:val="90"/>
              </w:rPr>
              <w:t>Outstanding</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Outstanding</w:t>
            </w:r>
          </w:p>
        </w:tc>
        <w:tc>
          <w:tcPr>
            <w:tcW w:w="100" w:type="dxa"/>
            <w:vAlign w:val="bottom"/>
            <w:tcBorders>
              <w:bottom w:val="single" w:sz="8" w:color="auto"/>
            </w:tcBorders>
          </w:tcPr>
          <w:p>
            <w:pPr>
              <w:spacing w:after="0"/>
              <w:rPr>
                <w:sz w:val="20"/>
                <w:szCs w:val="20"/>
                <w:color w:val="auto"/>
              </w:rPr>
            </w:pPr>
          </w:p>
        </w:tc>
        <w:tc>
          <w:tcPr>
            <w:tcW w:w="2480" w:type="dxa"/>
            <w:vAlign w:val="bottom"/>
            <w:tcBorders>
              <w:bottom w:val="single" w:sz="8" w:color="auto"/>
            </w:tcBorders>
            <w:gridSpan w:val="4"/>
          </w:tcPr>
          <w:p>
            <w:pPr>
              <w:jc w:val="center"/>
              <w:ind w:right="111"/>
              <w:spacing w:after="0"/>
              <w:rPr>
                <w:sz w:val="20"/>
                <w:szCs w:val="20"/>
                <w:color w:val="auto"/>
              </w:rPr>
            </w:pPr>
            <w:r>
              <w:rPr>
                <w:rFonts w:ascii="Arial" w:cs="Arial" w:eastAsia="Arial" w:hAnsi="Arial"/>
                <w:sz w:val="18"/>
                <w:szCs w:val="18"/>
                <w:b w:val="1"/>
                <w:bCs w:val="1"/>
                <w:color w:val="auto"/>
                <w:w w:val="88"/>
              </w:rPr>
              <w:t>June 30, 2012</w:t>
            </w:r>
          </w:p>
        </w:tc>
      </w:tr>
      <w:tr>
        <w:trPr>
          <w:trHeight w:val="196"/>
        </w:trPr>
        <w:tc>
          <w:tcPr>
            <w:tcW w:w="4580" w:type="dxa"/>
            <w:vAlign w:val="bottom"/>
          </w:tcPr>
          <w:p>
            <w:pPr>
              <w:spacing w:after="0" w:line="196" w:lineRule="exact"/>
              <w:rPr>
                <w:sz w:val="20"/>
                <w:szCs w:val="20"/>
                <w:color w:val="auto"/>
              </w:rPr>
            </w:pPr>
            <w:r>
              <w:rPr>
                <w:rFonts w:ascii="Arial" w:cs="Arial" w:eastAsia="Arial" w:hAnsi="Arial"/>
                <w:sz w:val="18"/>
                <w:szCs w:val="18"/>
                <w:b w:val="1"/>
                <w:bCs w:val="1"/>
                <w:color w:val="auto"/>
              </w:rPr>
              <w:t>Restructurings for the Six Months</w:t>
            </w:r>
          </w:p>
        </w:tc>
        <w:tc>
          <w:tcPr>
            <w:tcW w:w="120" w:type="dxa"/>
            <w:vAlign w:val="bottom"/>
          </w:tcPr>
          <w:p>
            <w:pPr>
              <w:spacing w:after="0"/>
              <w:rPr>
                <w:sz w:val="17"/>
                <w:szCs w:val="17"/>
                <w:color w:val="auto"/>
              </w:rPr>
            </w:pPr>
          </w:p>
        </w:tc>
        <w:tc>
          <w:tcPr>
            <w:tcW w:w="1260" w:type="dxa"/>
            <w:vAlign w:val="bottom"/>
          </w:tcPr>
          <w:p>
            <w:pPr>
              <w:jc w:val="center"/>
              <w:spacing w:after="0" w:line="196" w:lineRule="exact"/>
              <w:rPr>
                <w:sz w:val="20"/>
                <w:szCs w:val="20"/>
                <w:color w:val="auto"/>
              </w:rPr>
            </w:pPr>
            <w:r>
              <w:rPr>
                <w:rFonts w:ascii="Arial" w:cs="Arial" w:eastAsia="Arial" w:hAnsi="Arial"/>
                <w:sz w:val="18"/>
                <w:szCs w:val="18"/>
                <w:b w:val="1"/>
                <w:bCs w:val="1"/>
                <w:color w:val="auto"/>
                <w:w w:val="91"/>
              </w:rPr>
              <w:t>Number of</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jc w:val="center"/>
              <w:spacing w:after="0" w:line="196" w:lineRule="exact"/>
              <w:rPr>
                <w:sz w:val="20"/>
                <w:szCs w:val="20"/>
                <w:color w:val="auto"/>
              </w:rPr>
            </w:pPr>
            <w:r>
              <w:rPr>
                <w:rFonts w:ascii="Arial" w:cs="Arial" w:eastAsia="Arial" w:hAnsi="Arial"/>
                <w:sz w:val="18"/>
                <w:szCs w:val="18"/>
                <w:b w:val="1"/>
                <w:bCs w:val="1"/>
                <w:color w:val="auto"/>
                <w:w w:val="89"/>
              </w:rPr>
              <w:t>Recorded</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gridSpan w:val="2"/>
          </w:tcPr>
          <w:p>
            <w:pPr>
              <w:jc w:val="center"/>
              <w:ind w:right="200"/>
              <w:spacing w:after="0" w:line="196" w:lineRule="exact"/>
              <w:rPr>
                <w:sz w:val="20"/>
                <w:szCs w:val="20"/>
                <w:color w:val="auto"/>
              </w:rPr>
            </w:pPr>
            <w:r>
              <w:rPr>
                <w:rFonts w:ascii="Arial" w:cs="Arial" w:eastAsia="Arial" w:hAnsi="Arial"/>
                <w:sz w:val="18"/>
                <w:szCs w:val="18"/>
                <w:b w:val="1"/>
                <w:bCs w:val="1"/>
                <w:color w:val="auto"/>
                <w:w w:val="89"/>
              </w:rPr>
              <w:t>Recorded</w:t>
            </w:r>
          </w:p>
        </w:tc>
        <w:tc>
          <w:tcPr>
            <w:tcW w:w="100" w:type="dxa"/>
            <w:vAlign w:val="bottom"/>
          </w:tcPr>
          <w:p>
            <w:pPr>
              <w:spacing w:after="0"/>
              <w:rPr>
                <w:sz w:val="17"/>
                <w:szCs w:val="17"/>
                <w:color w:val="auto"/>
              </w:rPr>
            </w:pPr>
          </w:p>
        </w:tc>
        <w:tc>
          <w:tcPr>
            <w:tcW w:w="1140" w:type="dxa"/>
            <w:vAlign w:val="bottom"/>
          </w:tcPr>
          <w:p>
            <w:pPr>
              <w:jc w:val="center"/>
              <w:spacing w:after="0" w:line="196" w:lineRule="exact"/>
              <w:rPr>
                <w:sz w:val="20"/>
                <w:szCs w:val="20"/>
                <w:color w:val="auto"/>
              </w:rPr>
            </w:pPr>
            <w:r>
              <w:rPr>
                <w:rFonts w:ascii="Arial" w:cs="Arial" w:eastAsia="Arial" w:hAnsi="Arial"/>
                <w:sz w:val="18"/>
                <w:szCs w:val="18"/>
                <w:b w:val="1"/>
                <w:bCs w:val="1"/>
                <w:color w:val="auto"/>
                <w:w w:val="91"/>
              </w:rPr>
              <w:t>Number of</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center"/>
              <w:ind w:right="131"/>
              <w:spacing w:after="0" w:line="196" w:lineRule="exact"/>
              <w:rPr>
                <w:sz w:val="20"/>
                <w:szCs w:val="20"/>
                <w:color w:val="auto"/>
              </w:rPr>
            </w:pPr>
            <w:r>
              <w:rPr>
                <w:rFonts w:ascii="Arial" w:cs="Arial" w:eastAsia="Arial" w:hAnsi="Arial"/>
                <w:sz w:val="18"/>
                <w:szCs w:val="18"/>
                <w:b w:val="1"/>
                <w:bCs w:val="1"/>
                <w:color w:val="auto"/>
                <w:w w:val="89"/>
              </w:rPr>
              <w:t>Recorded</w:t>
            </w:r>
          </w:p>
        </w:tc>
      </w:tr>
      <w:tr>
        <w:trPr>
          <w:trHeight w:val="239"/>
        </w:trPr>
        <w:tc>
          <w:tcPr>
            <w:tcW w:w="45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Ended June 30, 2012</w:t>
            </w:r>
          </w:p>
        </w:tc>
        <w:tc>
          <w:tcPr>
            <w:tcW w:w="120" w:type="dxa"/>
            <w:vAlign w:val="bottom"/>
          </w:tcPr>
          <w:p>
            <w:pPr>
              <w:spacing w:after="0"/>
              <w:rPr>
                <w:sz w:val="20"/>
                <w:szCs w:val="20"/>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Contracts</w:t>
            </w: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Investment</w:t>
            </w: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center"/>
              <w:ind w:right="11"/>
              <w:spacing w:after="0"/>
              <w:rPr>
                <w:sz w:val="20"/>
                <w:szCs w:val="20"/>
                <w:color w:val="auto"/>
              </w:rPr>
            </w:pPr>
            <w:r>
              <w:rPr>
                <w:rFonts w:ascii="Arial" w:cs="Arial" w:eastAsia="Arial" w:hAnsi="Arial"/>
                <w:sz w:val="18"/>
                <w:szCs w:val="18"/>
                <w:b w:val="1"/>
                <w:bCs w:val="1"/>
                <w:color w:val="auto"/>
                <w:w w:val="90"/>
              </w:rPr>
              <w:t>Investment</w:t>
            </w: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right="11"/>
              <w:spacing w:after="0"/>
              <w:rPr>
                <w:sz w:val="20"/>
                <w:szCs w:val="20"/>
                <w:color w:val="auto"/>
              </w:rPr>
            </w:pPr>
            <w:r>
              <w:rPr>
                <w:rFonts w:ascii="Arial" w:cs="Arial" w:eastAsia="Arial" w:hAnsi="Arial"/>
                <w:sz w:val="18"/>
                <w:szCs w:val="18"/>
                <w:b w:val="1"/>
                <w:bCs w:val="1"/>
                <w:color w:val="auto"/>
                <w:w w:val="90"/>
              </w:rPr>
              <w:t>Contracts</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ind w:right="131"/>
              <w:spacing w:after="0"/>
              <w:rPr>
                <w:sz w:val="20"/>
                <w:szCs w:val="20"/>
                <w:color w:val="auto"/>
              </w:rPr>
            </w:pPr>
            <w:r>
              <w:rPr>
                <w:rFonts w:ascii="Arial" w:cs="Arial" w:eastAsia="Arial" w:hAnsi="Arial"/>
                <w:sz w:val="18"/>
                <w:szCs w:val="18"/>
                <w:b w:val="1"/>
                <w:bCs w:val="1"/>
                <w:color w:val="auto"/>
                <w:w w:val="90"/>
              </w:rPr>
              <w:t>Investment</w:t>
            </w:r>
          </w:p>
        </w:tc>
      </w:tr>
      <w:tr>
        <w:trPr>
          <w:trHeight w:val="414"/>
        </w:trPr>
        <w:tc>
          <w:tcPr>
            <w:tcW w:w="4580" w:type="dxa"/>
            <w:vAlign w:val="bottom"/>
          </w:tcPr>
          <w:p>
            <w:pPr>
              <w:spacing w:after="0"/>
              <w:rPr>
                <w:sz w:val="20"/>
                <w:szCs w:val="20"/>
                <w:color w:val="auto"/>
              </w:rPr>
            </w:pPr>
            <w:r>
              <w:rPr>
                <w:rFonts w:ascii="Arial" w:cs="Arial" w:eastAsia="Arial" w:hAnsi="Arial"/>
                <w:sz w:val="18"/>
                <w:szCs w:val="18"/>
                <w:color w:val="auto"/>
              </w:rPr>
              <w:t>Commercial (secured by real estate)</w:t>
            </w:r>
          </w:p>
        </w:tc>
        <w:tc>
          <w:tcPr>
            <w:tcW w:w="1380" w:type="dxa"/>
            <w:vAlign w:val="bottom"/>
            <w:gridSpan w:val="2"/>
          </w:tcPr>
          <w:p>
            <w:pPr>
              <w:jc w:val="right"/>
              <w:ind w:right="31"/>
              <w:spacing w:after="0"/>
              <w:rPr>
                <w:sz w:val="20"/>
                <w:szCs w:val="20"/>
                <w:color w:val="auto"/>
              </w:rPr>
            </w:pPr>
            <w:r>
              <w:rPr>
                <w:rFonts w:ascii="Arial" w:cs="Arial" w:eastAsia="Arial" w:hAnsi="Arial"/>
                <w:sz w:val="18"/>
                <w:szCs w:val="18"/>
                <w:color w:val="auto"/>
              </w:rPr>
              <w:t>34</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22,914</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21,469</w:t>
            </w:r>
          </w:p>
        </w:tc>
        <w:tc>
          <w:tcPr>
            <w:tcW w:w="10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3</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2,307</w:t>
            </w:r>
          </w:p>
        </w:tc>
      </w:tr>
      <w:tr>
        <w:trPr>
          <w:trHeight w:val="214"/>
        </w:trPr>
        <w:tc>
          <w:tcPr>
            <w:tcW w:w="4580" w:type="dxa"/>
            <w:vAlign w:val="bottom"/>
          </w:tcPr>
          <w:p>
            <w:pPr>
              <w:spacing w:after="0"/>
              <w:rPr>
                <w:sz w:val="20"/>
                <w:szCs w:val="20"/>
                <w:color w:val="auto"/>
              </w:rPr>
            </w:pPr>
            <w:r>
              <w:rPr>
                <w:rFonts w:ascii="Arial" w:cs="Arial" w:eastAsia="Arial" w:hAnsi="Arial"/>
                <w:sz w:val="18"/>
                <w:szCs w:val="18"/>
                <w:color w:val="auto"/>
              </w:rPr>
              <w:t>Commercial &amp; industrial</w:t>
            </w:r>
          </w:p>
        </w:tc>
        <w:tc>
          <w:tcPr>
            <w:tcW w:w="1380" w:type="dxa"/>
            <w:vAlign w:val="bottom"/>
            <w:gridSpan w:val="2"/>
          </w:tcPr>
          <w:p>
            <w:pPr>
              <w:jc w:val="right"/>
              <w:ind w:right="31"/>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3,322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3,322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48</w:t>
            </w:r>
          </w:p>
        </w:tc>
      </w:tr>
      <w:tr>
        <w:trPr>
          <w:trHeight w:val="235"/>
        </w:trPr>
        <w:tc>
          <w:tcPr>
            <w:tcW w:w="4580" w:type="dxa"/>
            <w:vAlign w:val="bottom"/>
          </w:tcPr>
          <w:p>
            <w:pPr>
              <w:spacing w:after="0"/>
              <w:rPr>
                <w:sz w:val="20"/>
                <w:szCs w:val="20"/>
                <w:color w:val="auto"/>
              </w:rPr>
            </w:pPr>
            <w:r>
              <w:rPr>
                <w:rFonts w:ascii="Arial" w:cs="Arial" w:eastAsia="Arial" w:hAnsi="Arial"/>
                <w:sz w:val="18"/>
                <w:szCs w:val="18"/>
                <w:color w:val="auto"/>
              </w:rPr>
              <w:t>Commercial construction</w:t>
            </w:r>
          </w:p>
        </w:tc>
        <w:tc>
          <w:tcPr>
            <w:tcW w:w="1380" w:type="dxa"/>
            <w:vAlign w:val="bottom"/>
            <w:gridSpan w:val="2"/>
          </w:tcPr>
          <w:p>
            <w:pPr>
              <w:jc w:val="right"/>
              <w:ind w:right="31"/>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28,483</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28,483</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4,174</w:t>
            </w:r>
          </w:p>
        </w:tc>
      </w:tr>
      <w:tr>
        <w:trPr>
          <w:trHeight w:val="200"/>
        </w:trPr>
        <w:tc>
          <w:tcPr>
            <w:tcW w:w="4580" w:type="dxa"/>
            <w:vAlign w:val="bottom"/>
          </w:tcPr>
          <w:p>
            <w:pPr>
              <w:ind w:left="220"/>
              <w:spacing w:after="0" w:line="200" w:lineRule="exact"/>
              <w:rPr>
                <w:sz w:val="20"/>
                <w:szCs w:val="20"/>
                <w:color w:val="auto"/>
              </w:rPr>
            </w:pPr>
            <w:r>
              <w:rPr>
                <w:rFonts w:ascii="Arial" w:cs="Arial" w:eastAsia="Arial" w:hAnsi="Arial"/>
                <w:sz w:val="18"/>
                <w:szCs w:val="18"/>
                <w:color w:val="auto"/>
              </w:rPr>
              <w:t>Total commercial</w:t>
            </w:r>
          </w:p>
        </w:tc>
        <w:tc>
          <w:tcPr>
            <w:tcW w:w="120" w:type="dxa"/>
            <w:vAlign w:val="bottom"/>
          </w:tcPr>
          <w:p>
            <w:pPr>
              <w:spacing w:after="0"/>
              <w:rPr>
                <w:sz w:val="17"/>
                <w:szCs w:val="17"/>
                <w:color w:val="auto"/>
              </w:rPr>
            </w:pPr>
          </w:p>
        </w:tc>
        <w:tc>
          <w:tcPr>
            <w:tcW w:w="1260" w:type="dxa"/>
            <w:vAlign w:val="bottom"/>
            <w:tcBorders>
              <w:top w:val="single" w:sz="8" w:color="auto"/>
            </w:tcBorders>
          </w:tcPr>
          <w:p>
            <w:pPr>
              <w:jc w:val="right"/>
              <w:ind w:right="31"/>
              <w:spacing w:after="0" w:line="200" w:lineRule="exact"/>
              <w:rPr>
                <w:sz w:val="20"/>
                <w:szCs w:val="20"/>
                <w:color w:val="auto"/>
              </w:rPr>
            </w:pPr>
            <w:r>
              <w:rPr>
                <w:rFonts w:ascii="Arial" w:cs="Arial" w:eastAsia="Arial" w:hAnsi="Arial"/>
                <w:sz w:val="18"/>
                <w:szCs w:val="18"/>
                <w:color w:val="auto"/>
              </w:rPr>
              <w:t>65</w:t>
            </w:r>
          </w:p>
        </w:tc>
        <w:tc>
          <w:tcPr>
            <w:tcW w:w="1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jc w:val="right"/>
              <w:ind w:right="31"/>
              <w:spacing w:after="0" w:line="200" w:lineRule="exact"/>
              <w:rPr>
                <w:sz w:val="20"/>
                <w:szCs w:val="20"/>
                <w:color w:val="auto"/>
              </w:rPr>
            </w:pPr>
            <w:r>
              <w:rPr>
                <w:rFonts w:ascii="Arial" w:cs="Arial" w:eastAsia="Arial" w:hAnsi="Arial"/>
                <w:sz w:val="18"/>
                <w:szCs w:val="18"/>
                <w:color w:val="auto"/>
              </w:rPr>
              <w:t>54,719</w:t>
            </w:r>
          </w:p>
        </w:tc>
        <w:tc>
          <w:tcPr>
            <w:tcW w:w="1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jc w:val="right"/>
              <w:ind w:right="11"/>
              <w:spacing w:after="0" w:line="200" w:lineRule="exact"/>
              <w:rPr>
                <w:sz w:val="20"/>
                <w:szCs w:val="20"/>
                <w:color w:val="auto"/>
              </w:rPr>
            </w:pPr>
            <w:r>
              <w:rPr>
                <w:rFonts w:ascii="Arial" w:cs="Arial" w:eastAsia="Arial" w:hAnsi="Arial"/>
                <w:sz w:val="18"/>
                <w:szCs w:val="18"/>
                <w:color w:val="auto"/>
              </w:rPr>
              <w:t>53,274</w:t>
            </w:r>
          </w:p>
        </w:tc>
        <w:tc>
          <w:tcPr>
            <w:tcW w:w="1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jc w:val="right"/>
              <w:ind w:right="11"/>
              <w:spacing w:after="0" w:line="200" w:lineRule="exact"/>
              <w:rPr>
                <w:sz w:val="20"/>
                <w:szCs w:val="20"/>
                <w:color w:val="auto"/>
              </w:rPr>
            </w:pPr>
            <w:r>
              <w:rPr>
                <w:rFonts w:ascii="Arial" w:cs="Arial" w:eastAsia="Arial" w:hAnsi="Arial"/>
                <w:sz w:val="18"/>
                <w:szCs w:val="18"/>
                <w:color w:val="auto"/>
              </w:rPr>
              <w:t>7</w:t>
            </w: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right"/>
              <w:ind w:right="11"/>
              <w:spacing w:after="0" w:line="200" w:lineRule="exact"/>
              <w:rPr>
                <w:sz w:val="20"/>
                <w:szCs w:val="20"/>
                <w:color w:val="auto"/>
              </w:rPr>
            </w:pPr>
            <w:r>
              <w:rPr>
                <w:rFonts w:ascii="Arial" w:cs="Arial" w:eastAsia="Arial" w:hAnsi="Arial"/>
                <w:sz w:val="18"/>
                <w:szCs w:val="18"/>
                <w:color w:val="auto"/>
              </w:rPr>
              <w:t>6,529</w:t>
            </w:r>
          </w:p>
        </w:tc>
      </w:tr>
      <w:tr>
        <w:trPr>
          <w:trHeight w:val="214"/>
        </w:trPr>
        <w:tc>
          <w:tcPr>
            <w:tcW w:w="4580" w:type="dxa"/>
            <w:vAlign w:val="bottom"/>
          </w:tcPr>
          <w:p>
            <w:pPr>
              <w:spacing w:after="0"/>
              <w:rPr>
                <w:sz w:val="20"/>
                <w:szCs w:val="20"/>
                <w:color w:val="auto"/>
              </w:rPr>
            </w:pPr>
            <w:r>
              <w:rPr>
                <w:rFonts w:ascii="Arial" w:cs="Arial" w:eastAsia="Arial" w:hAnsi="Arial"/>
                <w:sz w:val="18"/>
                <w:szCs w:val="18"/>
                <w:color w:val="auto"/>
              </w:rPr>
              <w:t>Residential mortgage</w:t>
            </w:r>
          </w:p>
        </w:tc>
        <w:tc>
          <w:tcPr>
            <w:tcW w:w="1380" w:type="dxa"/>
            <w:vAlign w:val="bottom"/>
            <w:gridSpan w:val="2"/>
          </w:tcPr>
          <w:p>
            <w:pPr>
              <w:jc w:val="right"/>
              <w:ind w:right="31"/>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10,567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10,385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400</w:t>
            </w:r>
          </w:p>
        </w:tc>
      </w:tr>
      <w:tr>
        <w:trPr>
          <w:trHeight w:val="214"/>
        </w:trPr>
        <w:tc>
          <w:tcPr>
            <w:tcW w:w="4580" w:type="dxa"/>
            <w:vAlign w:val="bottom"/>
          </w:tcPr>
          <w:p>
            <w:pPr>
              <w:spacing w:after="0"/>
              <w:rPr>
                <w:sz w:val="20"/>
                <w:szCs w:val="20"/>
                <w:color w:val="auto"/>
              </w:rPr>
            </w:pPr>
            <w:r>
              <w:rPr>
                <w:rFonts w:ascii="Arial" w:cs="Arial" w:eastAsia="Arial" w:hAnsi="Arial"/>
                <w:sz w:val="18"/>
                <w:szCs w:val="18"/>
                <w:color w:val="auto"/>
              </w:rPr>
              <w:t>Residential construction</w:t>
            </w:r>
          </w:p>
        </w:tc>
        <w:tc>
          <w:tcPr>
            <w:tcW w:w="1380" w:type="dxa"/>
            <w:vAlign w:val="bottom"/>
            <w:gridSpan w:val="2"/>
          </w:tcPr>
          <w:p>
            <w:pPr>
              <w:jc w:val="right"/>
              <w:ind w:right="31"/>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11,389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9,550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1,597</w:t>
            </w:r>
          </w:p>
        </w:tc>
      </w:tr>
      <w:tr>
        <w:trPr>
          <w:trHeight w:val="235"/>
        </w:trPr>
        <w:tc>
          <w:tcPr>
            <w:tcW w:w="4580" w:type="dxa"/>
            <w:vAlign w:val="bottom"/>
          </w:tcPr>
          <w:p>
            <w:pPr>
              <w:spacing w:after="0"/>
              <w:rPr>
                <w:sz w:val="20"/>
                <w:szCs w:val="20"/>
                <w:color w:val="auto"/>
              </w:rPr>
            </w:pPr>
            <w:r>
              <w:rPr>
                <w:rFonts w:ascii="Arial" w:cs="Arial" w:eastAsia="Arial" w:hAnsi="Arial"/>
                <w:sz w:val="18"/>
                <w:szCs w:val="18"/>
                <w:color w:val="auto"/>
              </w:rPr>
              <w:t>Consumer installment</w:t>
            </w:r>
          </w:p>
        </w:tc>
        <w:tc>
          <w:tcPr>
            <w:tcW w:w="1380" w:type="dxa"/>
            <w:vAlign w:val="bottom"/>
            <w:gridSpan w:val="2"/>
          </w:tcPr>
          <w:p>
            <w:pPr>
              <w:jc w:val="right"/>
              <w:ind w:right="31"/>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270</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265</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6</w:t>
            </w:r>
          </w:p>
        </w:tc>
      </w:tr>
      <w:tr>
        <w:trPr>
          <w:trHeight w:val="214"/>
        </w:trPr>
        <w:tc>
          <w:tcPr>
            <w:tcW w:w="4580" w:type="dxa"/>
            <w:vAlign w:val="bottom"/>
          </w:tcPr>
          <w:p>
            <w:pPr>
              <w:ind w:left="140"/>
              <w:spacing w:after="0"/>
              <w:rPr>
                <w:sz w:val="20"/>
                <w:szCs w:val="20"/>
                <w:color w:val="auto"/>
              </w:rPr>
            </w:pPr>
            <w:r>
              <w:rPr>
                <w:rFonts w:ascii="Arial" w:cs="Arial" w:eastAsia="Arial" w:hAnsi="Arial"/>
                <w:sz w:val="18"/>
                <w:szCs w:val="18"/>
                <w:color w:val="auto"/>
              </w:rPr>
              <w:t>Total loans</w:t>
            </w:r>
          </w:p>
        </w:tc>
        <w:tc>
          <w:tcPr>
            <w:tcW w:w="120" w:type="dxa"/>
            <w:vAlign w:val="bottom"/>
          </w:tcPr>
          <w:p>
            <w:pPr>
              <w:spacing w:after="0"/>
              <w:rPr>
                <w:sz w:val="18"/>
                <w:szCs w:val="18"/>
                <w:color w:val="auto"/>
              </w:rPr>
            </w:pPr>
          </w:p>
        </w:tc>
        <w:tc>
          <w:tcPr>
            <w:tcW w:w="126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158</w:t>
            </w:r>
          </w:p>
        </w:tc>
        <w:tc>
          <w:tcPr>
            <w:tcW w:w="1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76,945</w:t>
            </w:r>
          </w:p>
        </w:tc>
        <w:tc>
          <w:tcPr>
            <w:tcW w:w="1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73,474</w:t>
            </w:r>
          </w:p>
        </w:tc>
        <w:tc>
          <w:tcPr>
            <w:tcW w:w="10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8,532</w:t>
            </w:r>
          </w:p>
        </w:tc>
      </w:tr>
      <w:tr>
        <w:trPr>
          <w:trHeight w:val="20"/>
        </w:trPr>
        <w:tc>
          <w:tcPr>
            <w:tcW w:w="4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421"/>
        </w:trPr>
        <w:tc>
          <w:tcPr>
            <w:tcW w:w="4580" w:type="dxa"/>
            <w:vAlign w:val="bottom"/>
            <w:tcBorders>
              <w:bottom w:val="single" w:sz="8" w:color="DCDCDC"/>
            </w:tcBorders>
          </w:tcPr>
          <w:p>
            <w:pPr>
              <w:spacing w:after="0"/>
              <w:rPr>
                <w:sz w:val="24"/>
                <w:szCs w:val="24"/>
                <w:color w:val="auto"/>
              </w:rPr>
            </w:pPr>
          </w:p>
        </w:tc>
        <w:tc>
          <w:tcPr>
            <w:tcW w:w="1380" w:type="dxa"/>
            <w:vAlign w:val="bottom"/>
            <w:tcBorders>
              <w:bottom w:val="single" w:sz="8" w:color="DCDCDC"/>
            </w:tcBorders>
            <w:gridSpan w:val="2"/>
          </w:tcPr>
          <w:p>
            <w:pPr>
              <w:jc w:val="right"/>
              <w:ind w:right="71"/>
              <w:spacing w:after="0"/>
              <w:rPr>
                <w:sz w:val="20"/>
                <w:szCs w:val="20"/>
                <w:color w:val="auto"/>
              </w:rPr>
            </w:pPr>
            <w:r>
              <w:rPr>
                <w:rFonts w:ascii="Arial" w:cs="Arial" w:eastAsia="Arial" w:hAnsi="Arial"/>
                <w:sz w:val="18"/>
                <w:szCs w:val="18"/>
                <w:color w:val="auto"/>
              </w:rPr>
              <w:t>20</w:t>
            </w:r>
          </w:p>
        </w:tc>
        <w:tc>
          <w:tcPr>
            <w:tcW w:w="120" w:type="dxa"/>
            <w:vAlign w:val="bottom"/>
            <w:tcBorders>
              <w:bottom w:val="single" w:sz="8" w:color="DCDCDC"/>
            </w:tcBorders>
          </w:tcPr>
          <w:p>
            <w:pPr>
              <w:spacing w:after="0"/>
              <w:rPr>
                <w:sz w:val="24"/>
                <w:szCs w:val="24"/>
                <w:color w:val="auto"/>
              </w:rPr>
            </w:pPr>
          </w:p>
        </w:tc>
        <w:tc>
          <w:tcPr>
            <w:tcW w:w="100" w:type="dxa"/>
            <w:vAlign w:val="bottom"/>
            <w:tcBorders>
              <w:bottom w:val="single" w:sz="8" w:color="DCDCDC"/>
            </w:tcBorders>
          </w:tcPr>
          <w:p>
            <w:pPr>
              <w:spacing w:after="0"/>
              <w:rPr>
                <w:sz w:val="24"/>
                <w:szCs w:val="24"/>
                <w:color w:val="auto"/>
              </w:rPr>
            </w:pPr>
          </w:p>
        </w:tc>
        <w:tc>
          <w:tcPr>
            <w:tcW w:w="1180" w:type="dxa"/>
            <w:vAlign w:val="bottom"/>
            <w:tcBorders>
              <w:bottom w:val="single" w:sz="8" w:color="DCDCDC"/>
            </w:tcBorders>
          </w:tcPr>
          <w:p>
            <w:pPr>
              <w:spacing w:after="0"/>
              <w:rPr>
                <w:sz w:val="24"/>
                <w:szCs w:val="24"/>
                <w:color w:val="auto"/>
              </w:rPr>
            </w:pPr>
          </w:p>
        </w:tc>
        <w:tc>
          <w:tcPr>
            <w:tcW w:w="120" w:type="dxa"/>
            <w:vAlign w:val="bottom"/>
            <w:tcBorders>
              <w:bottom w:val="single" w:sz="8" w:color="DCDCDC"/>
            </w:tcBorders>
          </w:tcPr>
          <w:p>
            <w:pPr>
              <w:spacing w:after="0"/>
              <w:rPr>
                <w:sz w:val="24"/>
                <w:szCs w:val="24"/>
                <w:color w:val="auto"/>
              </w:rPr>
            </w:pPr>
          </w:p>
        </w:tc>
        <w:tc>
          <w:tcPr>
            <w:tcW w:w="100" w:type="dxa"/>
            <w:vAlign w:val="bottom"/>
            <w:tcBorders>
              <w:bottom w:val="single" w:sz="8" w:color="DCDCDC"/>
            </w:tcBorders>
          </w:tcPr>
          <w:p>
            <w:pPr>
              <w:spacing w:after="0"/>
              <w:rPr>
                <w:sz w:val="24"/>
                <w:szCs w:val="24"/>
                <w:color w:val="auto"/>
              </w:rPr>
            </w:pPr>
          </w:p>
        </w:tc>
        <w:tc>
          <w:tcPr>
            <w:tcW w:w="1160" w:type="dxa"/>
            <w:vAlign w:val="bottom"/>
            <w:tcBorders>
              <w:bottom w:val="single" w:sz="8" w:color="DCDCDC"/>
            </w:tcBorders>
          </w:tcPr>
          <w:p>
            <w:pPr>
              <w:spacing w:after="0"/>
              <w:rPr>
                <w:sz w:val="24"/>
                <w:szCs w:val="24"/>
                <w:color w:val="auto"/>
              </w:rPr>
            </w:pPr>
          </w:p>
        </w:tc>
        <w:tc>
          <w:tcPr>
            <w:tcW w:w="100" w:type="dxa"/>
            <w:vAlign w:val="bottom"/>
            <w:tcBorders>
              <w:bottom w:val="single" w:sz="8" w:color="DCDCDC"/>
            </w:tcBorders>
          </w:tcPr>
          <w:p>
            <w:pPr>
              <w:spacing w:after="0"/>
              <w:rPr>
                <w:sz w:val="24"/>
                <w:szCs w:val="24"/>
                <w:color w:val="auto"/>
              </w:rPr>
            </w:pPr>
          </w:p>
        </w:tc>
        <w:tc>
          <w:tcPr>
            <w:tcW w:w="100" w:type="dxa"/>
            <w:vAlign w:val="bottom"/>
            <w:tcBorders>
              <w:bottom w:val="single" w:sz="8" w:color="DCDCDC"/>
            </w:tcBorders>
          </w:tcPr>
          <w:p>
            <w:pPr>
              <w:spacing w:after="0"/>
              <w:rPr>
                <w:sz w:val="24"/>
                <w:szCs w:val="24"/>
                <w:color w:val="auto"/>
              </w:rPr>
            </w:pPr>
          </w:p>
        </w:tc>
        <w:tc>
          <w:tcPr>
            <w:tcW w:w="1140" w:type="dxa"/>
            <w:vAlign w:val="bottom"/>
            <w:tcBorders>
              <w:bottom w:val="single" w:sz="8" w:color="DCDCDC"/>
            </w:tcBorders>
          </w:tcPr>
          <w:p>
            <w:pPr>
              <w:spacing w:after="0"/>
              <w:rPr>
                <w:sz w:val="24"/>
                <w:szCs w:val="24"/>
                <w:color w:val="auto"/>
              </w:rPr>
            </w:pPr>
          </w:p>
        </w:tc>
        <w:tc>
          <w:tcPr>
            <w:tcW w:w="100" w:type="dxa"/>
            <w:vAlign w:val="bottom"/>
            <w:tcBorders>
              <w:bottom w:val="single" w:sz="8" w:color="DCDCDC"/>
            </w:tcBorders>
          </w:tcPr>
          <w:p>
            <w:pPr>
              <w:spacing w:after="0"/>
              <w:rPr>
                <w:sz w:val="24"/>
                <w:szCs w:val="24"/>
                <w:color w:val="auto"/>
              </w:rPr>
            </w:pPr>
          </w:p>
        </w:tc>
        <w:tc>
          <w:tcPr>
            <w:tcW w:w="120" w:type="dxa"/>
            <w:vAlign w:val="bottom"/>
            <w:tcBorders>
              <w:bottom w:val="single" w:sz="8" w:color="DCDCDC"/>
            </w:tcBorders>
          </w:tcPr>
          <w:p>
            <w:pPr>
              <w:spacing w:after="0"/>
              <w:rPr>
                <w:sz w:val="24"/>
                <w:szCs w:val="24"/>
                <w:color w:val="auto"/>
              </w:rPr>
            </w:pPr>
          </w:p>
        </w:tc>
        <w:tc>
          <w:tcPr>
            <w:tcW w:w="1120" w:type="dxa"/>
            <w:vAlign w:val="bottom"/>
            <w:tcBorders>
              <w:bottom w:val="single" w:sz="8" w:color="DCDCDC"/>
            </w:tcBorders>
          </w:tcPr>
          <w:p>
            <w:pPr>
              <w:spacing w:after="0"/>
              <w:rPr>
                <w:sz w:val="24"/>
                <w:szCs w:val="24"/>
                <w:color w:val="auto"/>
              </w:rPr>
            </w:pPr>
          </w:p>
        </w:tc>
      </w:tr>
    </w:tbl>
    <w:p>
      <w:pPr>
        <w:sectPr>
          <w:pgSz w:w="11900" w:h="16838" w:orient="portrait"/>
          <w:cols w:equalWidth="0" w:num="1">
            <w:col w:w="11420"/>
          </w:cols>
          <w:pgMar w:left="240" w:top="885" w:right="239" w:bottom="1440" w:gutter="0" w:footer="0" w:header="0"/>
        </w:sectPr>
      </w:pPr>
    </w:p>
    <w:bookmarkStart w:id="24" w:name="page25"/>
    <w:bookmarkEnd w:id="24"/>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6"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Collateral dependent TDRs that subsequently default and are placed on nonaccrual are charged down to the fair value of the collateral consistent with United’s policy for nonaccrual loans. Impairment on TDRs that are not collateral dependent continues to be measured on discounted cash flows regardless of whether the loan has subsequently defaulted.</w:t>
      </w:r>
    </w:p>
    <w:p>
      <w:pPr>
        <w:spacing w:after="0" w:line="211" w:lineRule="exact"/>
        <w:rPr>
          <w:sz w:val="20"/>
          <w:szCs w:val="20"/>
          <w:color w:val="auto"/>
        </w:rPr>
      </w:pPr>
    </w:p>
    <w:p>
      <w:pPr>
        <w:ind w:right="100"/>
        <w:spacing w:after="0" w:line="271" w:lineRule="auto"/>
        <w:rPr>
          <w:sz w:val="20"/>
          <w:szCs w:val="20"/>
          <w:color w:val="auto"/>
        </w:rPr>
      </w:pPr>
      <w:r>
        <w:rPr>
          <w:rFonts w:ascii="Arial" w:cs="Arial" w:eastAsia="Arial" w:hAnsi="Arial"/>
          <w:sz w:val="18"/>
          <w:szCs w:val="18"/>
          <w:color w:val="auto"/>
        </w:rPr>
        <w:t xml:space="preserve">As of June 30, 2013, December 31, 2012 and June 30, 2012, and based on the most recent analysis performed, the risk category of loans by class of loans is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14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400" w:type="dxa"/>
            <w:vAlign w:val="bottom"/>
            <w:tcBorders>
              <w:bottom w:val="single" w:sz="8" w:color="auto"/>
            </w:tcBorders>
            <w:gridSpan w:val="4"/>
          </w:tcPr>
          <w:p>
            <w:pPr>
              <w:jc w:val="right"/>
              <w:ind w:right="731"/>
              <w:spacing w:after="0"/>
              <w:rPr>
                <w:sz w:val="20"/>
                <w:szCs w:val="20"/>
                <w:color w:val="auto"/>
              </w:rPr>
            </w:pPr>
            <w:r>
              <w:rPr>
                <w:rFonts w:ascii="Arial" w:cs="Arial" w:eastAsia="Arial" w:hAnsi="Arial"/>
                <w:sz w:val="18"/>
                <w:szCs w:val="18"/>
                <w:b w:val="1"/>
                <w:bCs w:val="1"/>
                <w:color w:val="auto"/>
              </w:rPr>
              <w:t>Substandard</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right"/>
              <w:ind w:right="151"/>
              <w:spacing w:after="0"/>
              <w:rPr>
                <w:sz w:val="20"/>
                <w:szCs w:val="20"/>
                <w:color w:val="auto"/>
              </w:rPr>
            </w:pPr>
            <w:r>
              <w:rPr>
                <w:rFonts w:ascii="Arial" w:cs="Arial" w:eastAsia="Arial" w:hAnsi="Arial"/>
                <w:sz w:val="18"/>
                <w:szCs w:val="18"/>
                <w:b w:val="1"/>
                <w:bCs w:val="1"/>
                <w:color w:val="auto"/>
                <w:w w:val="92"/>
              </w:rPr>
              <w:t>Doubtful /</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4"/>
        </w:trPr>
        <w:tc>
          <w:tcPr>
            <w:tcW w:w="2680" w:type="dxa"/>
            <w:vAlign w:val="bottom"/>
            <w:gridSpan w:val="3"/>
          </w:tcPr>
          <w:p>
            <w:pPr>
              <w:spacing w:after="0" w:line="174" w:lineRule="exact"/>
              <w:rPr>
                <w:sz w:val="20"/>
                <w:szCs w:val="20"/>
                <w:color w:val="auto"/>
              </w:rPr>
            </w:pPr>
            <w:r>
              <w:rPr>
                <w:rFonts w:ascii="Arial" w:cs="Arial" w:eastAsia="Arial" w:hAnsi="Arial"/>
                <w:sz w:val="18"/>
                <w:szCs w:val="18"/>
                <w:b w:val="1"/>
                <w:bCs w:val="1"/>
                <w:color w:val="auto"/>
              </w:rPr>
              <w:t>As of June 30, 2013</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jc w:val="right"/>
              <w:ind w:right="351"/>
              <w:spacing w:after="0" w:line="174" w:lineRule="exact"/>
              <w:rPr>
                <w:sz w:val="20"/>
                <w:szCs w:val="20"/>
                <w:color w:val="auto"/>
              </w:rPr>
            </w:pPr>
            <w:r>
              <w:rPr>
                <w:rFonts w:ascii="Arial" w:cs="Arial" w:eastAsia="Arial" w:hAnsi="Arial"/>
                <w:sz w:val="18"/>
                <w:szCs w:val="18"/>
                <w:b w:val="1"/>
                <w:bCs w:val="1"/>
                <w:color w:val="auto"/>
              </w:rPr>
              <w:t>Pass</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gridSpan w:val="2"/>
          </w:tcPr>
          <w:p>
            <w:pPr>
              <w:ind w:left="80"/>
              <w:spacing w:after="0" w:line="174" w:lineRule="exact"/>
              <w:rPr>
                <w:sz w:val="20"/>
                <w:szCs w:val="20"/>
                <w:color w:val="auto"/>
              </w:rPr>
            </w:pPr>
            <w:r>
              <w:rPr>
                <w:rFonts w:ascii="Arial" w:cs="Arial" w:eastAsia="Arial" w:hAnsi="Arial"/>
                <w:sz w:val="18"/>
                <w:szCs w:val="18"/>
                <w:b w:val="1"/>
                <w:bCs w:val="1"/>
                <w:color w:val="auto"/>
              </w:rPr>
              <w:t>Watch</w:t>
            </w:r>
          </w:p>
        </w:tc>
        <w:tc>
          <w:tcPr>
            <w:tcW w:w="100" w:type="dxa"/>
            <w:vAlign w:val="bottom"/>
          </w:tcPr>
          <w:p>
            <w:pPr>
              <w:spacing w:after="0"/>
              <w:rPr>
                <w:sz w:val="15"/>
                <w:szCs w:val="15"/>
                <w:color w:val="auto"/>
              </w:rPr>
            </w:pPr>
          </w:p>
        </w:tc>
        <w:tc>
          <w:tcPr>
            <w:tcW w:w="1100" w:type="dxa"/>
            <w:vAlign w:val="bottom"/>
          </w:tcPr>
          <w:p>
            <w:pPr>
              <w:jc w:val="right"/>
              <w:ind w:right="131"/>
              <w:spacing w:after="0" w:line="174" w:lineRule="exact"/>
              <w:rPr>
                <w:sz w:val="20"/>
                <w:szCs w:val="20"/>
                <w:color w:val="auto"/>
              </w:rPr>
            </w:pPr>
            <w:r>
              <w:rPr>
                <w:rFonts w:ascii="Arial" w:cs="Arial" w:eastAsia="Arial" w:hAnsi="Arial"/>
                <w:sz w:val="18"/>
                <w:szCs w:val="18"/>
                <w:b w:val="1"/>
                <w:bCs w:val="1"/>
                <w:color w:val="auto"/>
                <w:w w:val="89"/>
              </w:rPr>
              <w:t>Performing</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jc w:val="right"/>
              <w:ind w:right="131"/>
              <w:spacing w:after="0" w:line="174" w:lineRule="exact"/>
              <w:rPr>
                <w:sz w:val="20"/>
                <w:szCs w:val="20"/>
                <w:color w:val="auto"/>
              </w:rPr>
            </w:pPr>
            <w:r>
              <w:rPr>
                <w:rFonts w:ascii="Arial" w:cs="Arial" w:eastAsia="Arial" w:hAnsi="Arial"/>
                <w:sz w:val="18"/>
                <w:szCs w:val="18"/>
                <w:b w:val="1"/>
                <w:bCs w:val="1"/>
                <w:color w:val="auto"/>
                <w:w w:val="87"/>
              </w:rPr>
              <w:t>Nonaccrual</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jc w:val="right"/>
              <w:ind w:right="371"/>
              <w:spacing w:after="0" w:line="174" w:lineRule="exact"/>
              <w:rPr>
                <w:sz w:val="20"/>
                <w:szCs w:val="20"/>
                <w:color w:val="auto"/>
              </w:rPr>
            </w:pPr>
            <w:r>
              <w:rPr>
                <w:rFonts w:ascii="Arial" w:cs="Arial" w:eastAsia="Arial" w:hAnsi="Arial"/>
                <w:sz w:val="18"/>
                <w:szCs w:val="18"/>
                <w:b w:val="1"/>
                <w:bCs w:val="1"/>
                <w:color w:val="auto"/>
              </w:rPr>
              <w:t>Loss</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jc w:val="right"/>
              <w:ind w:right="131"/>
              <w:spacing w:after="0" w:line="174" w:lineRule="exact"/>
              <w:rPr>
                <w:sz w:val="20"/>
                <w:szCs w:val="20"/>
                <w:color w:val="auto"/>
              </w:rPr>
            </w:pPr>
            <w:r>
              <w:rPr>
                <w:rFonts w:ascii="Arial" w:cs="Arial" w:eastAsia="Arial" w:hAnsi="Arial"/>
                <w:sz w:val="18"/>
                <w:szCs w:val="18"/>
                <w:b w:val="1"/>
                <w:bCs w:val="1"/>
                <w:color w:val="auto"/>
                <w:w w:val="91"/>
              </w:rPr>
              <w:t>Not Rated</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Pr>
          <w:p>
            <w:pPr>
              <w:jc w:val="right"/>
              <w:ind w:right="371"/>
              <w:spacing w:after="0" w:line="174" w:lineRule="exact"/>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7"/>
        </w:trPr>
        <w:tc>
          <w:tcPr>
            <w:tcW w:w="148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14"/>
        </w:trPr>
        <w:tc>
          <w:tcPr>
            <w:tcW w:w="2680" w:type="dxa"/>
            <w:vAlign w:val="bottom"/>
            <w:gridSpan w:val="3"/>
          </w:tcPr>
          <w:p>
            <w:pPr>
              <w:spacing w:after="0"/>
              <w:rPr>
                <w:sz w:val="20"/>
                <w:szCs w:val="20"/>
                <w:color w:val="auto"/>
              </w:rPr>
            </w:pPr>
            <w:r>
              <w:rPr>
                <w:rFonts w:ascii="Arial" w:cs="Arial" w:eastAsia="Arial" w:hAnsi="Arial"/>
                <w:sz w:val="18"/>
                <w:szCs w:val="18"/>
                <w:color w:val="auto"/>
                <w:w w:val="91"/>
              </w:rPr>
              <w:t>Commercial (secured by real estate)</w:t>
            </w:r>
          </w:p>
        </w:tc>
        <w:tc>
          <w:tcPr>
            <w:tcW w:w="200" w:type="dxa"/>
            <w:vAlign w:val="bottom"/>
            <w:gridSpan w:val="2"/>
          </w:tcPr>
          <w:p>
            <w:pPr>
              <w:jc w:val="right"/>
              <w:ind w:right="70"/>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1,595,141</w:t>
            </w:r>
          </w:p>
        </w:tc>
        <w:tc>
          <w:tcPr>
            <w:tcW w:w="28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67,017</w:t>
            </w:r>
          </w:p>
        </w:tc>
        <w:tc>
          <w:tcPr>
            <w:tcW w:w="8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78,750</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7,237</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31"/>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1,748,145</w:t>
            </w:r>
          </w:p>
        </w:tc>
        <w:tc>
          <w:tcPr>
            <w:tcW w:w="0" w:type="dxa"/>
            <w:vAlign w:val="bottom"/>
          </w:tcPr>
          <w:p>
            <w:pPr>
              <w:spacing w:after="0"/>
              <w:rPr>
                <w:sz w:val="1"/>
                <w:szCs w:val="1"/>
                <w:color w:val="auto"/>
              </w:rPr>
            </w:pPr>
          </w:p>
        </w:tc>
      </w:tr>
      <w:tr>
        <w:trPr>
          <w:trHeight w:val="214"/>
        </w:trPr>
        <w:tc>
          <w:tcPr>
            <w:tcW w:w="2680" w:type="dxa"/>
            <w:vAlign w:val="bottom"/>
            <w:gridSpan w:val="3"/>
          </w:tcPr>
          <w:p>
            <w:pPr>
              <w:spacing w:after="0"/>
              <w:rPr>
                <w:sz w:val="20"/>
                <w:szCs w:val="20"/>
                <w:color w:val="auto"/>
              </w:rPr>
            </w:pPr>
            <w:r>
              <w:rPr>
                <w:rFonts w:ascii="Arial" w:cs="Arial" w:eastAsia="Arial" w:hAnsi="Arial"/>
                <w:sz w:val="18"/>
                <w:szCs w:val="18"/>
                <w:color w:val="auto"/>
              </w:rPr>
              <w:t>Commercial &amp; industrial</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418,354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5,716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11,458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548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912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436,988</w:t>
            </w:r>
          </w:p>
        </w:tc>
        <w:tc>
          <w:tcPr>
            <w:tcW w:w="0" w:type="dxa"/>
            <w:vAlign w:val="bottom"/>
          </w:tcPr>
          <w:p>
            <w:pPr>
              <w:spacing w:after="0"/>
              <w:rPr>
                <w:sz w:val="1"/>
                <w:szCs w:val="1"/>
                <w:color w:val="auto"/>
              </w:rPr>
            </w:pPr>
          </w:p>
        </w:tc>
      </w:tr>
      <w:tr>
        <w:trPr>
          <w:trHeight w:val="235"/>
        </w:trPr>
        <w:tc>
          <w:tcPr>
            <w:tcW w:w="2680" w:type="dxa"/>
            <w:vAlign w:val="bottom"/>
            <w:gridSpan w:val="3"/>
          </w:tcPr>
          <w:p>
            <w:pPr>
              <w:spacing w:after="0"/>
              <w:rPr>
                <w:sz w:val="20"/>
                <w:szCs w:val="20"/>
                <w:color w:val="auto"/>
              </w:rPr>
            </w:pPr>
            <w:r>
              <w:rPr>
                <w:rFonts w:ascii="Arial" w:cs="Arial" w:eastAsia="Arial" w:hAnsi="Arial"/>
                <w:sz w:val="18"/>
                <w:szCs w:val="18"/>
                <w:color w:val="auto"/>
              </w:rPr>
              <w:t>Commercial construction</w:t>
            </w:r>
          </w:p>
        </w:tc>
        <w:tc>
          <w:tcPr>
            <w:tcW w:w="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104,185</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12,107</w:t>
            </w: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15,766</w:t>
            </w: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504</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132,562</w:t>
            </w:r>
          </w:p>
        </w:tc>
        <w:tc>
          <w:tcPr>
            <w:tcW w:w="0" w:type="dxa"/>
            <w:vAlign w:val="bottom"/>
          </w:tcPr>
          <w:p>
            <w:pPr>
              <w:spacing w:after="0"/>
              <w:rPr>
                <w:sz w:val="1"/>
                <w:szCs w:val="1"/>
                <w:color w:val="auto"/>
              </w:rPr>
            </w:pPr>
          </w:p>
        </w:tc>
      </w:tr>
      <w:tr>
        <w:trPr>
          <w:trHeight w:val="200"/>
        </w:trPr>
        <w:tc>
          <w:tcPr>
            <w:tcW w:w="2680" w:type="dxa"/>
            <w:vAlign w:val="bottom"/>
            <w:gridSpan w:val="3"/>
          </w:tcPr>
          <w:p>
            <w:pPr>
              <w:ind w:left="220"/>
              <w:spacing w:after="0" w:line="200" w:lineRule="exact"/>
              <w:rPr>
                <w:sz w:val="20"/>
                <w:szCs w:val="20"/>
                <w:color w:val="auto"/>
              </w:rPr>
            </w:pPr>
            <w:r>
              <w:rPr>
                <w:rFonts w:ascii="Arial" w:cs="Arial" w:eastAsia="Arial" w:hAnsi="Arial"/>
                <w:sz w:val="18"/>
                <w:szCs w:val="18"/>
                <w:color w:val="auto"/>
              </w:rPr>
              <w:t>Total commercial</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jc w:val="right"/>
              <w:spacing w:after="0" w:line="200" w:lineRule="exact"/>
              <w:rPr>
                <w:sz w:val="20"/>
                <w:szCs w:val="20"/>
                <w:color w:val="auto"/>
              </w:rPr>
            </w:pPr>
            <w:r>
              <w:rPr>
                <w:rFonts w:ascii="Arial" w:cs="Arial" w:eastAsia="Arial" w:hAnsi="Arial"/>
                <w:sz w:val="18"/>
                <w:szCs w:val="18"/>
                <w:color w:val="auto"/>
              </w:rPr>
              <w:t>2,117,680</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jc w:val="right"/>
              <w:ind w:right="11"/>
              <w:spacing w:after="0" w:line="200" w:lineRule="exact"/>
              <w:rPr>
                <w:sz w:val="20"/>
                <w:szCs w:val="20"/>
                <w:color w:val="auto"/>
              </w:rPr>
            </w:pPr>
            <w:r>
              <w:rPr>
                <w:rFonts w:ascii="Arial" w:cs="Arial" w:eastAsia="Arial" w:hAnsi="Arial"/>
                <w:sz w:val="18"/>
                <w:szCs w:val="18"/>
                <w:color w:val="auto"/>
              </w:rPr>
              <w:t>84,840</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jc w:val="right"/>
              <w:ind w:right="31"/>
              <w:spacing w:after="0" w:line="200" w:lineRule="exact"/>
              <w:rPr>
                <w:sz w:val="20"/>
                <w:szCs w:val="20"/>
                <w:color w:val="auto"/>
              </w:rPr>
            </w:pPr>
            <w:r>
              <w:rPr>
                <w:rFonts w:ascii="Arial" w:cs="Arial" w:eastAsia="Arial" w:hAnsi="Arial"/>
                <w:sz w:val="18"/>
                <w:szCs w:val="18"/>
                <w:color w:val="auto"/>
              </w:rPr>
              <w:t>105,974</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jc w:val="right"/>
              <w:ind w:right="31"/>
              <w:spacing w:after="0" w:line="200" w:lineRule="exact"/>
              <w:rPr>
                <w:sz w:val="20"/>
                <w:szCs w:val="20"/>
                <w:color w:val="auto"/>
              </w:rPr>
            </w:pPr>
            <w:r>
              <w:rPr>
                <w:rFonts w:ascii="Arial" w:cs="Arial" w:eastAsia="Arial" w:hAnsi="Arial"/>
                <w:sz w:val="18"/>
                <w:szCs w:val="18"/>
                <w:color w:val="auto"/>
              </w:rPr>
              <w:t>8,289</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ind w:right="11"/>
              <w:spacing w:after="0" w:line="200"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right"/>
              <w:ind w:right="11"/>
              <w:spacing w:after="0" w:line="200" w:lineRule="exact"/>
              <w:rPr>
                <w:sz w:val="20"/>
                <w:szCs w:val="20"/>
                <w:color w:val="auto"/>
              </w:rPr>
            </w:pPr>
            <w:r>
              <w:rPr>
                <w:rFonts w:ascii="Arial" w:cs="Arial" w:eastAsia="Arial" w:hAnsi="Arial"/>
                <w:sz w:val="18"/>
                <w:szCs w:val="18"/>
                <w:color w:val="auto"/>
              </w:rPr>
              <w:t>912</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jc w:val="right"/>
              <w:ind w:right="11"/>
              <w:spacing w:after="0" w:line="200" w:lineRule="exact"/>
              <w:rPr>
                <w:sz w:val="20"/>
                <w:szCs w:val="20"/>
                <w:color w:val="auto"/>
              </w:rPr>
            </w:pPr>
            <w:r>
              <w:rPr>
                <w:rFonts w:ascii="Arial" w:cs="Arial" w:eastAsia="Arial" w:hAnsi="Arial"/>
                <w:sz w:val="18"/>
                <w:szCs w:val="18"/>
                <w:color w:val="auto"/>
              </w:rPr>
              <w:t>2,317,695</w:t>
            </w:r>
          </w:p>
        </w:tc>
        <w:tc>
          <w:tcPr>
            <w:tcW w:w="0" w:type="dxa"/>
            <w:vAlign w:val="bottom"/>
          </w:tcPr>
          <w:p>
            <w:pPr>
              <w:spacing w:after="0"/>
              <w:rPr>
                <w:sz w:val="1"/>
                <w:szCs w:val="1"/>
                <w:color w:val="auto"/>
              </w:rPr>
            </w:pPr>
          </w:p>
        </w:tc>
      </w:tr>
      <w:tr>
        <w:trPr>
          <w:trHeight w:val="214"/>
        </w:trPr>
        <w:tc>
          <w:tcPr>
            <w:tcW w:w="2680" w:type="dxa"/>
            <w:vAlign w:val="bottom"/>
            <w:gridSpan w:val="3"/>
          </w:tcPr>
          <w:p>
            <w:pPr>
              <w:spacing w:after="0"/>
              <w:rPr>
                <w:sz w:val="20"/>
                <w:szCs w:val="20"/>
                <w:color w:val="auto"/>
              </w:rPr>
            </w:pPr>
            <w:r>
              <w:rPr>
                <w:rFonts w:ascii="Arial" w:cs="Arial" w:eastAsia="Arial" w:hAnsi="Arial"/>
                <w:sz w:val="18"/>
                <w:szCs w:val="18"/>
                <w:color w:val="auto"/>
              </w:rPr>
              <w:t>Residential mortgage</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1,185,658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27,341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51,222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14,338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1,278,559</w:t>
            </w:r>
          </w:p>
        </w:tc>
        <w:tc>
          <w:tcPr>
            <w:tcW w:w="0" w:type="dxa"/>
            <w:vAlign w:val="bottom"/>
          </w:tcPr>
          <w:p>
            <w:pPr>
              <w:spacing w:after="0"/>
              <w:rPr>
                <w:sz w:val="1"/>
                <w:szCs w:val="1"/>
                <w:color w:val="auto"/>
              </w:rPr>
            </w:pPr>
          </w:p>
        </w:tc>
      </w:tr>
      <w:tr>
        <w:trPr>
          <w:trHeight w:val="214"/>
        </w:trPr>
        <w:tc>
          <w:tcPr>
            <w:tcW w:w="2680" w:type="dxa"/>
            <w:vAlign w:val="bottom"/>
            <w:gridSpan w:val="3"/>
          </w:tcPr>
          <w:p>
            <w:pPr>
              <w:spacing w:after="0"/>
              <w:rPr>
                <w:sz w:val="20"/>
                <w:szCs w:val="20"/>
                <w:color w:val="auto"/>
              </w:rPr>
            </w:pPr>
            <w:r>
              <w:rPr>
                <w:rFonts w:ascii="Arial" w:cs="Arial" w:eastAsia="Arial" w:hAnsi="Arial"/>
                <w:sz w:val="18"/>
                <w:szCs w:val="18"/>
                <w:color w:val="auto"/>
              </w:rPr>
              <w:t>Residential construction</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292,116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18,096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16,631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4,838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331,681</w:t>
            </w:r>
          </w:p>
        </w:tc>
        <w:tc>
          <w:tcPr>
            <w:tcW w:w="0" w:type="dxa"/>
            <w:vAlign w:val="bottom"/>
          </w:tcPr>
          <w:p>
            <w:pPr>
              <w:spacing w:after="0"/>
              <w:rPr>
                <w:sz w:val="1"/>
                <w:szCs w:val="1"/>
                <w:color w:val="auto"/>
              </w:rPr>
            </w:pPr>
          </w:p>
        </w:tc>
      </w:tr>
      <w:tr>
        <w:trPr>
          <w:trHeight w:val="235"/>
        </w:trPr>
        <w:tc>
          <w:tcPr>
            <w:tcW w:w="2680" w:type="dxa"/>
            <w:vAlign w:val="bottom"/>
            <w:gridSpan w:val="3"/>
          </w:tcPr>
          <w:p>
            <w:pPr>
              <w:spacing w:after="0"/>
              <w:rPr>
                <w:sz w:val="20"/>
                <w:szCs w:val="20"/>
                <w:color w:val="auto"/>
              </w:rPr>
            </w:pPr>
            <w:r>
              <w:rPr>
                <w:rFonts w:ascii="Arial" w:cs="Arial" w:eastAsia="Arial" w:hAnsi="Arial"/>
                <w:sz w:val="18"/>
                <w:szCs w:val="18"/>
                <w:color w:val="auto"/>
              </w:rPr>
              <w:t>Consumer installment</w:t>
            </w:r>
          </w:p>
        </w:tc>
        <w:tc>
          <w:tcPr>
            <w:tcW w:w="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257,563</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966</w:t>
            </w: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2,505</w:t>
            </w: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399</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261,433</w:t>
            </w:r>
          </w:p>
        </w:tc>
        <w:tc>
          <w:tcPr>
            <w:tcW w:w="0" w:type="dxa"/>
            <w:vAlign w:val="bottom"/>
          </w:tcPr>
          <w:p>
            <w:pPr>
              <w:spacing w:after="0"/>
              <w:rPr>
                <w:sz w:val="1"/>
                <w:szCs w:val="1"/>
                <w:color w:val="auto"/>
              </w:rPr>
            </w:pPr>
          </w:p>
        </w:tc>
      </w:tr>
      <w:tr>
        <w:trPr>
          <w:trHeight w:val="214"/>
        </w:trPr>
        <w:tc>
          <w:tcPr>
            <w:tcW w:w="2680" w:type="dxa"/>
            <w:vAlign w:val="bottom"/>
            <w:gridSpan w:val="3"/>
          </w:tcPr>
          <w:p>
            <w:pPr>
              <w:ind w:left="140"/>
              <w:spacing w:after="0"/>
              <w:rPr>
                <w:sz w:val="20"/>
                <w:szCs w:val="20"/>
                <w:color w:val="auto"/>
              </w:rPr>
            </w:pPr>
            <w:r>
              <w:rPr>
                <w:rFonts w:ascii="Arial" w:cs="Arial" w:eastAsia="Arial" w:hAnsi="Arial"/>
                <w:sz w:val="18"/>
                <w:szCs w:val="18"/>
                <w:color w:val="auto"/>
              </w:rPr>
              <w:t>Total loans</w:t>
            </w:r>
          </w:p>
        </w:tc>
        <w:tc>
          <w:tcPr>
            <w:tcW w:w="20" w:type="dxa"/>
            <w:vAlign w:val="bottom"/>
          </w:tcPr>
          <w:p>
            <w:pPr>
              <w:spacing w:after="0"/>
              <w:rPr>
                <w:sz w:val="18"/>
                <w:szCs w:val="18"/>
                <w:color w:val="auto"/>
              </w:rPr>
            </w:pPr>
          </w:p>
        </w:tc>
        <w:tc>
          <w:tcPr>
            <w:tcW w:w="180" w:type="dxa"/>
            <w:vAlign w:val="bottom"/>
            <w:tcBorders>
              <w:bottom w:val="single" w:sz="8" w:color="auto"/>
            </w:tcBorders>
          </w:tcPr>
          <w:p>
            <w:pPr>
              <w:jc w:val="right"/>
              <w:ind w:right="70"/>
              <w:spacing w:after="0"/>
              <w:rPr>
                <w:sz w:val="20"/>
                <w:szCs w:val="20"/>
                <w:color w:val="auto"/>
              </w:rPr>
            </w:pPr>
            <w:r>
              <w:rPr>
                <w:rFonts w:ascii="Arial" w:cs="Arial" w:eastAsia="Arial" w:hAnsi="Arial"/>
                <w:sz w:val="10"/>
                <w:szCs w:val="10"/>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3,853,017</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131,243</w:t>
            </w:r>
          </w:p>
        </w:tc>
        <w:tc>
          <w:tcPr>
            <w:tcW w:w="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176,332</w:t>
            </w:r>
          </w:p>
        </w:tc>
        <w:tc>
          <w:tcPr>
            <w:tcW w:w="1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27,864</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912</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4,189,368</w:t>
            </w:r>
          </w:p>
        </w:tc>
        <w:tc>
          <w:tcPr>
            <w:tcW w:w="0" w:type="dxa"/>
            <w:vAlign w:val="bottom"/>
          </w:tcPr>
          <w:p>
            <w:pPr>
              <w:spacing w:after="0"/>
              <w:rPr>
                <w:sz w:val="1"/>
                <w:szCs w:val="1"/>
                <w:color w:val="auto"/>
              </w:rPr>
            </w:pPr>
          </w:p>
        </w:tc>
      </w:tr>
      <w:tr>
        <w:trPr>
          <w:trHeight w:val="20"/>
        </w:trPr>
        <w:tc>
          <w:tcPr>
            <w:tcW w:w="268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As of December 31, 2012</w:t>
            </w: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82"/>
        </w:trPr>
        <w:tc>
          <w:tcPr>
            <w:tcW w:w="2680" w:type="dxa"/>
            <w:vAlign w:val="bottom"/>
            <w:gridSpan w:val="3"/>
            <w:vMerge w:val="continue"/>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4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5"/>
        </w:trPr>
        <w:tc>
          <w:tcPr>
            <w:tcW w:w="2680" w:type="dxa"/>
            <w:vAlign w:val="bottom"/>
            <w:gridSpan w:val="3"/>
          </w:tcPr>
          <w:p>
            <w:pPr>
              <w:spacing w:after="0"/>
              <w:rPr>
                <w:sz w:val="20"/>
                <w:szCs w:val="20"/>
                <w:color w:val="auto"/>
              </w:rPr>
            </w:pPr>
            <w:r>
              <w:rPr>
                <w:rFonts w:ascii="Arial" w:cs="Arial" w:eastAsia="Arial" w:hAnsi="Arial"/>
                <w:sz w:val="18"/>
                <w:szCs w:val="18"/>
                <w:color w:val="auto"/>
                <w:w w:val="91"/>
              </w:rPr>
              <w:t>Commercial (secured by real estate)</w:t>
            </w:r>
          </w:p>
        </w:tc>
        <w:tc>
          <w:tcPr>
            <w:tcW w:w="200" w:type="dxa"/>
            <w:vAlign w:val="bottom"/>
            <w:gridSpan w:val="2"/>
          </w:tcPr>
          <w:p>
            <w:pPr>
              <w:jc w:val="right"/>
              <w:ind w:right="70"/>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1,592,677</w:t>
            </w:r>
          </w:p>
        </w:tc>
        <w:tc>
          <w:tcPr>
            <w:tcW w:w="28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80,997</w:t>
            </w:r>
          </w:p>
        </w:tc>
        <w:tc>
          <w:tcPr>
            <w:tcW w:w="8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117,543</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22,148</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31"/>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1,813,365</w:t>
            </w:r>
          </w:p>
        </w:tc>
        <w:tc>
          <w:tcPr>
            <w:tcW w:w="0" w:type="dxa"/>
            <w:vAlign w:val="bottom"/>
          </w:tcPr>
          <w:p>
            <w:pPr>
              <w:spacing w:after="0"/>
              <w:rPr>
                <w:sz w:val="1"/>
                <w:szCs w:val="1"/>
                <w:color w:val="auto"/>
              </w:rPr>
            </w:pPr>
          </w:p>
        </w:tc>
      </w:tr>
      <w:tr>
        <w:trPr>
          <w:trHeight w:val="214"/>
        </w:trPr>
        <w:tc>
          <w:tcPr>
            <w:tcW w:w="2680" w:type="dxa"/>
            <w:vAlign w:val="bottom"/>
            <w:gridSpan w:val="3"/>
          </w:tcPr>
          <w:p>
            <w:pPr>
              <w:spacing w:after="0"/>
              <w:rPr>
                <w:sz w:val="20"/>
                <w:szCs w:val="20"/>
                <w:color w:val="auto"/>
              </w:rPr>
            </w:pPr>
            <w:r>
              <w:rPr>
                <w:rFonts w:ascii="Arial" w:cs="Arial" w:eastAsia="Arial" w:hAnsi="Arial"/>
                <w:sz w:val="18"/>
                <w:szCs w:val="18"/>
                <w:color w:val="auto"/>
              </w:rPr>
              <w:t>Commercial &amp; industrial</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401,606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5,404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18,477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31,817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942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458,246</w:t>
            </w:r>
          </w:p>
        </w:tc>
        <w:tc>
          <w:tcPr>
            <w:tcW w:w="0" w:type="dxa"/>
            <w:vAlign w:val="bottom"/>
          </w:tcPr>
          <w:p>
            <w:pPr>
              <w:spacing w:after="0"/>
              <w:rPr>
                <w:sz w:val="1"/>
                <w:szCs w:val="1"/>
                <w:color w:val="auto"/>
              </w:rPr>
            </w:pPr>
          </w:p>
        </w:tc>
      </w:tr>
      <w:tr>
        <w:trPr>
          <w:trHeight w:val="235"/>
        </w:trPr>
        <w:tc>
          <w:tcPr>
            <w:tcW w:w="2680" w:type="dxa"/>
            <w:vAlign w:val="bottom"/>
            <w:gridSpan w:val="3"/>
          </w:tcPr>
          <w:p>
            <w:pPr>
              <w:spacing w:after="0"/>
              <w:rPr>
                <w:sz w:val="20"/>
                <w:szCs w:val="20"/>
                <w:color w:val="auto"/>
              </w:rPr>
            </w:pPr>
            <w:r>
              <w:rPr>
                <w:rFonts w:ascii="Arial" w:cs="Arial" w:eastAsia="Arial" w:hAnsi="Arial"/>
                <w:sz w:val="18"/>
                <w:szCs w:val="18"/>
                <w:color w:val="auto"/>
              </w:rPr>
              <w:t>Commercial construction</w:t>
            </w:r>
          </w:p>
        </w:tc>
        <w:tc>
          <w:tcPr>
            <w:tcW w:w="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104,296</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7,345</w:t>
            </w: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19,285</w:t>
            </w: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23,843</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154,769</w:t>
            </w:r>
          </w:p>
        </w:tc>
        <w:tc>
          <w:tcPr>
            <w:tcW w:w="0" w:type="dxa"/>
            <w:vAlign w:val="bottom"/>
          </w:tcPr>
          <w:p>
            <w:pPr>
              <w:spacing w:after="0"/>
              <w:rPr>
                <w:sz w:val="1"/>
                <w:szCs w:val="1"/>
                <w:color w:val="auto"/>
              </w:rPr>
            </w:pPr>
          </w:p>
        </w:tc>
      </w:tr>
      <w:tr>
        <w:trPr>
          <w:trHeight w:val="200"/>
        </w:trPr>
        <w:tc>
          <w:tcPr>
            <w:tcW w:w="2680" w:type="dxa"/>
            <w:vAlign w:val="bottom"/>
            <w:gridSpan w:val="3"/>
          </w:tcPr>
          <w:p>
            <w:pPr>
              <w:ind w:left="220"/>
              <w:spacing w:after="0" w:line="200" w:lineRule="exact"/>
              <w:rPr>
                <w:sz w:val="20"/>
                <w:szCs w:val="20"/>
                <w:color w:val="auto"/>
              </w:rPr>
            </w:pPr>
            <w:r>
              <w:rPr>
                <w:rFonts w:ascii="Arial" w:cs="Arial" w:eastAsia="Arial" w:hAnsi="Arial"/>
                <w:sz w:val="18"/>
                <w:szCs w:val="18"/>
                <w:color w:val="auto"/>
              </w:rPr>
              <w:t>Total commercial</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jc w:val="right"/>
              <w:spacing w:after="0" w:line="200" w:lineRule="exact"/>
              <w:rPr>
                <w:sz w:val="20"/>
                <w:szCs w:val="20"/>
                <w:color w:val="auto"/>
              </w:rPr>
            </w:pPr>
            <w:r>
              <w:rPr>
                <w:rFonts w:ascii="Arial" w:cs="Arial" w:eastAsia="Arial" w:hAnsi="Arial"/>
                <w:sz w:val="18"/>
                <w:szCs w:val="18"/>
                <w:color w:val="auto"/>
              </w:rPr>
              <w:t>2,098,579</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jc w:val="right"/>
              <w:ind w:right="11"/>
              <w:spacing w:after="0" w:line="200" w:lineRule="exact"/>
              <w:rPr>
                <w:sz w:val="20"/>
                <w:szCs w:val="20"/>
                <w:color w:val="auto"/>
              </w:rPr>
            </w:pPr>
            <w:r>
              <w:rPr>
                <w:rFonts w:ascii="Arial" w:cs="Arial" w:eastAsia="Arial" w:hAnsi="Arial"/>
                <w:sz w:val="18"/>
                <w:szCs w:val="18"/>
                <w:color w:val="auto"/>
              </w:rPr>
              <w:t>93,746</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jc w:val="right"/>
              <w:ind w:right="31"/>
              <w:spacing w:after="0" w:line="200" w:lineRule="exact"/>
              <w:rPr>
                <w:sz w:val="20"/>
                <w:szCs w:val="20"/>
                <w:color w:val="auto"/>
              </w:rPr>
            </w:pPr>
            <w:r>
              <w:rPr>
                <w:rFonts w:ascii="Arial" w:cs="Arial" w:eastAsia="Arial" w:hAnsi="Arial"/>
                <w:sz w:val="18"/>
                <w:szCs w:val="18"/>
                <w:color w:val="auto"/>
              </w:rPr>
              <w:t>155,305</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jc w:val="right"/>
              <w:ind w:right="31"/>
              <w:spacing w:after="0" w:line="200" w:lineRule="exact"/>
              <w:rPr>
                <w:sz w:val="20"/>
                <w:szCs w:val="20"/>
                <w:color w:val="auto"/>
              </w:rPr>
            </w:pPr>
            <w:r>
              <w:rPr>
                <w:rFonts w:ascii="Arial" w:cs="Arial" w:eastAsia="Arial" w:hAnsi="Arial"/>
                <w:sz w:val="18"/>
                <w:szCs w:val="18"/>
                <w:color w:val="auto"/>
              </w:rPr>
              <w:t>77,808</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ind w:right="11"/>
              <w:spacing w:after="0" w:line="200"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right"/>
              <w:ind w:right="11"/>
              <w:spacing w:after="0" w:line="200" w:lineRule="exact"/>
              <w:rPr>
                <w:sz w:val="20"/>
                <w:szCs w:val="20"/>
                <w:color w:val="auto"/>
              </w:rPr>
            </w:pPr>
            <w:r>
              <w:rPr>
                <w:rFonts w:ascii="Arial" w:cs="Arial" w:eastAsia="Arial" w:hAnsi="Arial"/>
                <w:sz w:val="18"/>
                <w:szCs w:val="18"/>
                <w:color w:val="auto"/>
              </w:rPr>
              <w:t>942</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jc w:val="right"/>
              <w:ind w:right="11"/>
              <w:spacing w:after="0" w:line="200" w:lineRule="exact"/>
              <w:rPr>
                <w:sz w:val="20"/>
                <w:szCs w:val="20"/>
                <w:color w:val="auto"/>
              </w:rPr>
            </w:pPr>
            <w:r>
              <w:rPr>
                <w:rFonts w:ascii="Arial" w:cs="Arial" w:eastAsia="Arial" w:hAnsi="Arial"/>
                <w:sz w:val="18"/>
                <w:szCs w:val="18"/>
                <w:color w:val="auto"/>
              </w:rPr>
              <w:t>2,426,380</w:t>
            </w:r>
          </w:p>
        </w:tc>
        <w:tc>
          <w:tcPr>
            <w:tcW w:w="0" w:type="dxa"/>
            <w:vAlign w:val="bottom"/>
          </w:tcPr>
          <w:p>
            <w:pPr>
              <w:spacing w:after="0"/>
              <w:rPr>
                <w:sz w:val="1"/>
                <w:szCs w:val="1"/>
                <w:color w:val="auto"/>
              </w:rPr>
            </w:pPr>
          </w:p>
        </w:tc>
      </w:tr>
      <w:tr>
        <w:trPr>
          <w:trHeight w:val="214"/>
        </w:trPr>
        <w:tc>
          <w:tcPr>
            <w:tcW w:w="2680" w:type="dxa"/>
            <w:vAlign w:val="bottom"/>
            <w:gridSpan w:val="3"/>
          </w:tcPr>
          <w:p>
            <w:pPr>
              <w:spacing w:after="0"/>
              <w:rPr>
                <w:sz w:val="20"/>
                <w:szCs w:val="20"/>
                <w:color w:val="auto"/>
              </w:rPr>
            </w:pPr>
            <w:r>
              <w:rPr>
                <w:rFonts w:ascii="Arial" w:cs="Arial" w:eastAsia="Arial" w:hAnsi="Arial"/>
                <w:sz w:val="18"/>
                <w:szCs w:val="18"/>
                <w:color w:val="auto"/>
              </w:rPr>
              <w:t>Residential mortgage</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1,102,746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33,689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65,179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12,589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1,214,203</w:t>
            </w:r>
          </w:p>
        </w:tc>
        <w:tc>
          <w:tcPr>
            <w:tcW w:w="0" w:type="dxa"/>
            <w:vAlign w:val="bottom"/>
          </w:tcPr>
          <w:p>
            <w:pPr>
              <w:spacing w:after="0"/>
              <w:rPr>
                <w:sz w:val="1"/>
                <w:szCs w:val="1"/>
                <w:color w:val="auto"/>
              </w:rPr>
            </w:pPr>
          </w:p>
        </w:tc>
      </w:tr>
      <w:tr>
        <w:trPr>
          <w:trHeight w:val="214"/>
        </w:trPr>
        <w:tc>
          <w:tcPr>
            <w:tcW w:w="2680" w:type="dxa"/>
            <w:vAlign w:val="bottom"/>
            <w:gridSpan w:val="3"/>
          </w:tcPr>
          <w:p>
            <w:pPr>
              <w:spacing w:after="0"/>
              <w:rPr>
                <w:sz w:val="20"/>
                <w:szCs w:val="20"/>
                <w:color w:val="auto"/>
              </w:rPr>
            </w:pPr>
            <w:r>
              <w:rPr>
                <w:rFonts w:ascii="Arial" w:cs="Arial" w:eastAsia="Arial" w:hAnsi="Arial"/>
                <w:sz w:val="18"/>
                <w:szCs w:val="18"/>
                <w:color w:val="auto"/>
              </w:rPr>
              <w:t>Residential construction</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292,264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32,907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37,804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18,702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381,677</w:t>
            </w:r>
          </w:p>
        </w:tc>
        <w:tc>
          <w:tcPr>
            <w:tcW w:w="0" w:type="dxa"/>
            <w:vAlign w:val="bottom"/>
          </w:tcPr>
          <w:p>
            <w:pPr>
              <w:spacing w:after="0"/>
              <w:rPr>
                <w:sz w:val="1"/>
                <w:szCs w:val="1"/>
                <w:color w:val="auto"/>
              </w:rPr>
            </w:pPr>
          </w:p>
        </w:tc>
      </w:tr>
      <w:tr>
        <w:trPr>
          <w:trHeight w:val="235"/>
        </w:trPr>
        <w:tc>
          <w:tcPr>
            <w:tcW w:w="2680" w:type="dxa"/>
            <w:vAlign w:val="bottom"/>
            <w:gridSpan w:val="3"/>
          </w:tcPr>
          <w:p>
            <w:pPr>
              <w:spacing w:after="0"/>
              <w:rPr>
                <w:sz w:val="20"/>
                <w:szCs w:val="20"/>
                <w:color w:val="auto"/>
              </w:rPr>
            </w:pPr>
            <w:r>
              <w:rPr>
                <w:rFonts w:ascii="Arial" w:cs="Arial" w:eastAsia="Arial" w:hAnsi="Arial"/>
                <w:sz w:val="18"/>
                <w:szCs w:val="18"/>
                <w:color w:val="auto"/>
              </w:rPr>
              <w:t>Consumer installment</w:t>
            </w:r>
          </w:p>
        </w:tc>
        <w:tc>
          <w:tcPr>
            <w:tcW w:w="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147,214</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1,086</w:t>
            </w: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3,653</w:t>
            </w: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795</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152,748</w:t>
            </w:r>
          </w:p>
        </w:tc>
        <w:tc>
          <w:tcPr>
            <w:tcW w:w="0" w:type="dxa"/>
            <w:vAlign w:val="bottom"/>
          </w:tcPr>
          <w:p>
            <w:pPr>
              <w:spacing w:after="0"/>
              <w:rPr>
                <w:sz w:val="1"/>
                <w:szCs w:val="1"/>
                <w:color w:val="auto"/>
              </w:rPr>
            </w:pPr>
          </w:p>
        </w:tc>
      </w:tr>
      <w:tr>
        <w:trPr>
          <w:trHeight w:val="214"/>
        </w:trPr>
        <w:tc>
          <w:tcPr>
            <w:tcW w:w="2680" w:type="dxa"/>
            <w:vAlign w:val="bottom"/>
            <w:gridSpan w:val="3"/>
          </w:tcPr>
          <w:p>
            <w:pPr>
              <w:ind w:left="140"/>
              <w:spacing w:after="0"/>
              <w:rPr>
                <w:sz w:val="20"/>
                <w:szCs w:val="20"/>
                <w:color w:val="auto"/>
              </w:rPr>
            </w:pPr>
            <w:r>
              <w:rPr>
                <w:rFonts w:ascii="Arial" w:cs="Arial" w:eastAsia="Arial" w:hAnsi="Arial"/>
                <w:sz w:val="18"/>
                <w:szCs w:val="18"/>
                <w:color w:val="auto"/>
              </w:rPr>
              <w:t>Total loans</w:t>
            </w:r>
          </w:p>
        </w:tc>
        <w:tc>
          <w:tcPr>
            <w:tcW w:w="20" w:type="dxa"/>
            <w:vAlign w:val="bottom"/>
          </w:tcPr>
          <w:p>
            <w:pPr>
              <w:spacing w:after="0"/>
              <w:rPr>
                <w:sz w:val="18"/>
                <w:szCs w:val="18"/>
                <w:color w:val="auto"/>
              </w:rPr>
            </w:pPr>
          </w:p>
        </w:tc>
        <w:tc>
          <w:tcPr>
            <w:tcW w:w="180" w:type="dxa"/>
            <w:vAlign w:val="bottom"/>
            <w:tcBorders>
              <w:bottom w:val="single" w:sz="8" w:color="auto"/>
            </w:tcBorders>
          </w:tcPr>
          <w:p>
            <w:pPr>
              <w:jc w:val="right"/>
              <w:ind w:right="70"/>
              <w:spacing w:after="0"/>
              <w:rPr>
                <w:sz w:val="20"/>
                <w:szCs w:val="20"/>
                <w:color w:val="auto"/>
              </w:rPr>
            </w:pPr>
            <w:r>
              <w:rPr>
                <w:rFonts w:ascii="Arial" w:cs="Arial" w:eastAsia="Arial" w:hAnsi="Arial"/>
                <w:sz w:val="10"/>
                <w:szCs w:val="10"/>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3,640,803</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161,428</w:t>
            </w:r>
          </w:p>
        </w:tc>
        <w:tc>
          <w:tcPr>
            <w:tcW w:w="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261,941</w:t>
            </w:r>
          </w:p>
        </w:tc>
        <w:tc>
          <w:tcPr>
            <w:tcW w:w="1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109,894</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942</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4,175,008</w:t>
            </w:r>
          </w:p>
        </w:tc>
        <w:tc>
          <w:tcPr>
            <w:tcW w:w="0" w:type="dxa"/>
            <w:vAlign w:val="bottom"/>
          </w:tcPr>
          <w:p>
            <w:pPr>
              <w:spacing w:after="0"/>
              <w:rPr>
                <w:sz w:val="1"/>
                <w:szCs w:val="1"/>
                <w:color w:val="auto"/>
              </w:rPr>
            </w:pPr>
          </w:p>
        </w:tc>
      </w:tr>
      <w:tr>
        <w:trPr>
          <w:trHeight w:val="20"/>
        </w:trPr>
        <w:tc>
          <w:tcPr>
            <w:tcW w:w="268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As of June 30, 2012</w:t>
            </w: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82"/>
        </w:trPr>
        <w:tc>
          <w:tcPr>
            <w:tcW w:w="2680" w:type="dxa"/>
            <w:vAlign w:val="bottom"/>
            <w:gridSpan w:val="3"/>
            <w:vMerge w:val="continue"/>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480" w:type="dxa"/>
            <w:vAlign w:val="bottom"/>
            <w:shd w:val="clear" w:color="auto" w:fill="000000"/>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5"/>
        </w:trPr>
        <w:tc>
          <w:tcPr>
            <w:tcW w:w="2680" w:type="dxa"/>
            <w:vAlign w:val="bottom"/>
            <w:gridSpan w:val="3"/>
          </w:tcPr>
          <w:p>
            <w:pPr>
              <w:spacing w:after="0"/>
              <w:rPr>
                <w:sz w:val="20"/>
                <w:szCs w:val="20"/>
                <w:color w:val="auto"/>
              </w:rPr>
            </w:pPr>
            <w:r>
              <w:rPr>
                <w:rFonts w:ascii="Arial" w:cs="Arial" w:eastAsia="Arial" w:hAnsi="Arial"/>
                <w:sz w:val="18"/>
                <w:szCs w:val="18"/>
                <w:color w:val="auto"/>
                <w:w w:val="91"/>
              </w:rPr>
              <w:t>Commercial (secured by real estate)</w:t>
            </w:r>
          </w:p>
        </w:tc>
        <w:tc>
          <w:tcPr>
            <w:tcW w:w="200" w:type="dxa"/>
            <w:vAlign w:val="bottom"/>
            <w:gridSpan w:val="2"/>
          </w:tcPr>
          <w:p>
            <w:pPr>
              <w:jc w:val="right"/>
              <w:ind w:right="70"/>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1,596,876</w:t>
            </w:r>
          </w:p>
        </w:tc>
        <w:tc>
          <w:tcPr>
            <w:tcW w:w="28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72,067</w:t>
            </w:r>
          </w:p>
        </w:tc>
        <w:tc>
          <w:tcPr>
            <w:tcW w:w="8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148,419</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19,115</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31"/>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1,836,477</w:t>
            </w:r>
          </w:p>
        </w:tc>
        <w:tc>
          <w:tcPr>
            <w:tcW w:w="0" w:type="dxa"/>
            <w:vAlign w:val="bottom"/>
          </w:tcPr>
          <w:p>
            <w:pPr>
              <w:spacing w:after="0"/>
              <w:rPr>
                <w:sz w:val="1"/>
                <w:szCs w:val="1"/>
                <w:color w:val="auto"/>
              </w:rPr>
            </w:pPr>
          </w:p>
        </w:tc>
      </w:tr>
      <w:tr>
        <w:trPr>
          <w:trHeight w:val="214"/>
        </w:trPr>
        <w:tc>
          <w:tcPr>
            <w:tcW w:w="2680" w:type="dxa"/>
            <w:vAlign w:val="bottom"/>
            <w:gridSpan w:val="3"/>
          </w:tcPr>
          <w:p>
            <w:pPr>
              <w:spacing w:after="0"/>
              <w:rPr>
                <w:sz w:val="20"/>
                <w:szCs w:val="20"/>
                <w:color w:val="auto"/>
              </w:rPr>
            </w:pPr>
            <w:r>
              <w:rPr>
                <w:rFonts w:ascii="Arial" w:cs="Arial" w:eastAsia="Arial" w:hAnsi="Arial"/>
                <w:sz w:val="18"/>
                <w:szCs w:val="18"/>
                <w:color w:val="auto"/>
              </w:rPr>
              <w:t>Commercial &amp; industrial</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393,894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4,652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15,916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34,982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778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450,222</w:t>
            </w:r>
          </w:p>
        </w:tc>
        <w:tc>
          <w:tcPr>
            <w:tcW w:w="0" w:type="dxa"/>
            <w:vAlign w:val="bottom"/>
          </w:tcPr>
          <w:p>
            <w:pPr>
              <w:spacing w:after="0"/>
              <w:rPr>
                <w:sz w:val="1"/>
                <w:szCs w:val="1"/>
                <w:color w:val="auto"/>
              </w:rPr>
            </w:pPr>
          </w:p>
        </w:tc>
      </w:tr>
      <w:tr>
        <w:trPr>
          <w:trHeight w:val="235"/>
        </w:trPr>
        <w:tc>
          <w:tcPr>
            <w:tcW w:w="2680" w:type="dxa"/>
            <w:vAlign w:val="bottom"/>
            <w:gridSpan w:val="3"/>
          </w:tcPr>
          <w:p>
            <w:pPr>
              <w:spacing w:after="0"/>
              <w:rPr>
                <w:sz w:val="20"/>
                <w:szCs w:val="20"/>
                <w:color w:val="auto"/>
              </w:rPr>
            </w:pPr>
            <w:r>
              <w:rPr>
                <w:rFonts w:ascii="Arial" w:cs="Arial" w:eastAsia="Arial" w:hAnsi="Arial"/>
                <w:sz w:val="18"/>
                <w:szCs w:val="18"/>
                <w:color w:val="auto"/>
              </w:rPr>
              <w:t>Commercial construction</w:t>
            </w:r>
          </w:p>
        </w:tc>
        <w:tc>
          <w:tcPr>
            <w:tcW w:w="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107,199</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6,088</w:t>
            </w: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37,876</w:t>
            </w: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18,175</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169,338</w:t>
            </w:r>
          </w:p>
        </w:tc>
        <w:tc>
          <w:tcPr>
            <w:tcW w:w="0" w:type="dxa"/>
            <w:vAlign w:val="bottom"/>
          </w:tcPr>
          <w:p>
            <w:pPr>
              <w:spacing w:after="0"/>
              <w:rPr>
                <w:sz w:val="1"/>
                <w:szCs w:val="1"/>
                <w:color w:val="auto"/>
              </w:rPr>
            </w:pPr>
          </w:p>
        </w:tc>
      </w:tr>
      <w:tr>
        <w:trPr>
          <w:trHeight w:val="200"/>
        </w:trPr>
        <w:tc>
          <w:tcPr>
            <w:tcW w:w="2680" w:type="dxa"/>
            <w:vAlign w:val="bottom"/>
            <w:gridSpan w:val="3"/>
          </w:tcPr>
          <w:p>
            <w:pPr>
              <w:ind w:left="220"/>
              <w:spacing w:after="0" w:line="200" w:lineRule="exact"/>
              <w:rPr>
                <w:sz w:val="20"/>
                <w:szCs w:val="20"/>
                <w:color w:val="auto"/>
              </w:rPr>
            </w:pPr>
            <w:r>
              <w:rPr>
                <w:rFonts w:ascii="Arial" w:cs="Arial" w:eastAsia="Arial" w:hAnsi="Arial"/>
                <w:sz w:val="18"/>
                <w:szCs w:val="18"/>
                <w:color w:val="auto"/>
              </w:rPr>
              <w:t>Total commercial</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jc w:val="right"/>
              <w:spacing w:after="0" w:line="200" w:lineRule="exact"/>
              <w:rPr>
                <w:sz w:val="20"/>
                <w:szCs w:val="20"/>
                <w:color w:val="auto"/>
              </w:rPr>
            </w:pPr>
            <w:r>
              <w:rPr>
                <w:rFonts w:ascii="Arial" w:cs="Arial" w:eastAsia="Arial" w:hAnsi="Arial"/>
                <w:sz w:val="18"/>
                <w:szCs w:val="18"/>
                <w:color w:val="auto"/>
              </w:rPr>
              <w:t>2,097,969</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jc w:val="right"/>
              <w:ind w:right="11"/>
              <w:spacing w:after="0" w:line="200" w:lineRule="exact"/>
              <w:rPr>
                <w:sz w:val="20"/>
                <w:szCs w:val="20"/>
                <w:color w:val="auto"/>
              </w:rPr>
            </w:pPr>
            <w:r>
              <w:rPr>
                <w:rFonts w:ascii="Arial" w:cs="Arial" w:eastAsia="Arial" w:hAnsi="Arial"/>
                <w:sz w:val="18"/>
                <w:szCs w:val="18"/>
                <w:color w:val="auto"/>
              </w:rPr>
              <w:t>82,807</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jc w:val="right"/>
              <w:ind w:right="31"/>
              <w:spacing w:after="0" w:line="200" w:lineRule="exact"/>
              <w:rPr>
                <w:sz w:val="20"/>
                <w:szCs w:val="20"/>
                <w:color w:val="auto"/>
              </w:rPr>
            </w:pPr>
            <w:r>
              <w:rPr>
                <w:rFonts w:ascii="Arial" w:cs="Arial" w:eastAsia="Arial" w:hAnsi="Arial"/>
                <w:sz w:val="18"/>
                <w:szCs w:val="18"/>
                <w:color w:val="auto"/>
              </w:rPr>
              <w:t>202,211</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jc w:val="right"/>
              <w:ind w:right="31"/>
              <w:spacing w:after="0" w:line="200" w:lineRule="exact"/>
              <w:rPr>
                <w:sz w:val="20"/>
                <w:szCs w:val="20"/>
                <w:color w:val="auto"/>
              </w:rPr>
            </w:pPr>
            <w:r>
              <w:rPr>
                <w:rFonts w:ascii="Arial" w:cs="Arial" w:eastAsia="Arial" w:hAnsi="Arial"/>
                <w:sz w:val="18"/>
                <w:szCs w:val="18"/>
                <w:color w:val="auto"/>
              </w:rPr>
              <w:t>72,272</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ind w:right="11"/>
              <w:spacing w:after="0" w:line="200"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right"/>
              <w:ind w:right="11"/>
              <w:spacing w:after="0" w:line="200" w:lineRule="exact"/>
              <w:rPr>
                <w:sz w:val="20"/>
                <w:szCs w:val="20"/>
                <w:color w:val="auto"/>
              </w:rPr>
            </w:pPr>
            <w:r>
              <w:rPr>
                <w:rFonts w:ascii="Arial" w:cs="Arial" w:eastAsia="Arial" w:hAnsi="Arial"/>
                <w:sz w:val="18"/>
                <w:szCs w:val="18"/>
                <w:color w:val="auto"/>
              </w:rPr>
              <w:t>778</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jc w:val="right"/>
              <w:ind w:right="11"/>
              <w:spacing w:after="0" w:line="200" w:lineRule="exact"/>
              <w:rPr>
                <w:sz w:val="20"/>
                <w:szCs w:val="20"/>
                <w:color w:val="auto"/>
              </w:rPr>
            </w:pPr>
            <w:r>
              <w:rPr>
                <w:rFonts w:ascii="Arial" w:cs="Arial" w:eastAsia="Arial" w:hAnsi="Arial"/>
                <w:sz w:val="18"/>
                <w:szCs w:val="18"/>
                <w:color w:val="auto"/>
              </w:rPr>
              <w:t>2,456,037</w:t>
            </w:r>
          </w:p>
        </w:tc>
        <w:tc>
          <w:tcPr>
            <w:tcW w:w="0" w:type="dxa"/>
            <w:vAlign w:val="bottom"/>
          </w:tcPr>
          <w:p>
            <w:pPr>
              <w:spacing w:after="0"/>
              <w:rPr>
                <w:sz w:val="1"/>
                <w:szCs w:val="1"/>
                <w:color w:val="auto"/>
              </w:rPr>
            </w:pPr>
          </w:p>
        </w:tc>
      </w:tr>
      <w:tr>
        <w:trPr>
          <w:trHeight w:val="214"/>
        </w:trPr>
        <w:tc>
          <w:tcPr>
            <w:tcW w:w="2680" w:type="dxa"/>
            <w:vAlign w:val="bottom"/>
            <w:gridSpan w:val="3"/>
          </w:tcPr>
          <w:p>
            <w:pPr>
              <w:spacing w:after="0"/>
              <w:rPr>
                <w:sz w:val="20"/>
                <w:szCs w:val="20"/>
                <w:color w:val="auto"/>
              </w:rPr>
            </w:pPr>
            <w:r>
              <w:rPr>
                <w:rFonts w:ascii="Arial" w:cs="Arial" w:eastAsia="Arial" w:hAnsi="Arial"/>
                <w:sz w:val="18"/>
                <w:szCs w:val="18"/>
                <w:color w:val="auto"/>
              </w:rPr>
              <w:t>Residential mortgage</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999,323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39,105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73,277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16,631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1,128,336</w:t>
            </w:r>
          </w:p>
        </w:tc>
        <w:tc>
          <w:tcPr>
            <w:tcW w:w="0" w:type="dxa"/>
            <w:vAlign w:val="bottom"/>
          </w:tcPr>
          <w:p>
            <w:pPr>
              <w:spacing w:after="0"/>
              <w:rPr>
                <w:sz w:val="1"/>
                <w:szCs w:val="1"/>
                <w:color w:val="auto"/>
              </w:rPr>
            </w:pPr>
          </w:p>
        </w:tc>
      </w:tr>
      <w:tr>
        <w:trPr>
          <w:trHeight w:val="214"/>
        </w:trPr>
        <w:tc>
          <w:tcPr>
            <w:tcW w:w="2680" w:type="dxa"/>
            <w:vAlign w:val="bottom"/>
            <w:gridSpan w:val="3"/>
          </w:tcPr>
          <w:p>
            <w:pPr>
              <w:spacing w:after="0"/>
              <w:rPr>
                <w:sz w:val="20"/>
                <w:szCs w:val="20"/>
                <w:color w:val="auto"/>
              </w:rPr>
            </w:pPr>
            <w:r>
              <w:rPr>
                <w:rFonts w:ascii="Arial" w:cs="Arial" w:eastAsia="Arial" w:hAnsi="Arial"/>
                <w:sz w:val="18"/>
                <w:szCs w:val="18"/>
                <w:color w:val="auto"/>
              </w:rPr>
              <w:t>Residential construction</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290,804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47,182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45,450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25,530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408,966</w:t>
            </w:r>
          </w:p>
        </w:tc>
        <w:tc>
          <w:tcPr>
            <w:tcW w:w="0" w:type="dxa"/>
            <w:vAlign w:val="bottom"/>
          </w:tcPr>
          <w:p>
            <w:pPr>
              <w:spacing w:after="0"/>
              <w:rPr>
                <w:sz w:val="1"/>
                <w:szCs w:val="1"/>
                <w:color w:val="auto"/>
              </w:rPr>
            </w:pPr>
          </w:p>
        </w:tc>
      </w:tr>
      <w:tr>
        <w:trPr>
          <w:trHeight w:val="235"/>
        </w:trPr>
        <w:tc>
          <w:tcPr>
            <w:tcW w:w="2680" w:type="dxa"/>
            <w:vAlign w:val="bottom"/>
            <w:gridSpan w:val="3"/>
          </w:tcPr>
          <w:p>
            <w:pPr>
              <w:spacing w:after="0"/>
              <w:rPr>
                <w:sz w:val="20"/>
                <w:szCs w:val="20"/>
                <w:color w:val="auto"/>
              </w:rPr>
            </w:pPr>
            <w:r>
              <w:rPr>
                <w:rFonts w:ascii="Arial" w:cs="Arial" w:eastAsia="Arial" w:hAnsi="Arial"/>
                <w:sz w:val="18"/>
                <w:szCs w:val="18"/>
                <w:color w:val="auto"/>
              </w:rPr>
              <w:t>Consumer installment</w:t>
            </w:r>
          </w:p>
        </w:tc>
        <w:tc>
          <w:tcPr>
            <w:tcW w:w="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121,166</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1,117</w:t>
            </w: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2,706</w:t>
            </w: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907</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125,896</w:t>
            </w:r>
          </w:p>
        </w:tc>
        <w:tc>
          <w:tcPr>
            <w:tcW w:w="0" w:type="dxa"/>
            <w:vAlign w:val="bottom"/>
          </w:tcPr>
          <w:p>
            <w:pPr>
              <w:spacing w:after="0"/>
              <w:rPr>
                <w:sz w:val="1"/>
                <w:szCs w:val="1"/>
                <w:color w:val="auto"/>
              </w:rPr>
            </w:pPr>
          </w:p>
        </w:tc>
      </w:tr>
      <w:tr>
        <w:trPr>
          <w:trHeight w:val="214"/>
        </w:trPr>
        <w:tc>
          <w:tcPr>
            <w:tcW w:w="2680" w:type="dxa"/>
            <w:vAlign w:val="bottom"/>
            <w:gridSpan w:val="3"/>
          </w:tcPr>
          <w:p>
            <w:pPr>
              <w:ind w:left="140"/>
              <w:spacing w:after="0"/>
              <w:rPr>
                <w:sz w:val="20"/>
                <w:szCs w:val="20"/>
                <w:color w:val="auto"/>
              </w:rPr>
            </w:pPr>
            <w:r>
              <w:rPr>
                <w:rFonts w:ascii="Arial" w:cs="Arial" w:eastAsia="Arial" w:hAnsi="Arial"/>
                <w:sz w:val="18"/>
                <w:szCs w:val="18"/>
                <w:color w:val="auto"/>
              </w:rPr>
              <w:t>Total loans</w:t>
            </w: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jc w:val="right"/>
              <w:ind w:right="70"/>
              <w:spacing w:after="0"/>
              <w:rPr>
                <w:sz w:val="20"/>
                <w:szCs w:val="20"/>
                <w:color w:val="auto"/>
              </w:rPr>
            </w:pPr>
            <w:r>
              <w:rPr>
                <w:rFonts w:ascii="Arial" w:cs="Arial" w:eastAsia="Arial" w:hAnsi="Arial"/>
                <w:sz w:val="10"/>
                <w:szCs w:val="10"/>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3,509,262</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170,211</w:t>
            </w:r>
          </w:p>
        </w:tc>
        <w:tc>
          <w:tcPr>
            <w:tcW w:w="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323,644</w:t>
            </w:r>
          </w:p>
        </w:tc>
        <w:tc>
          <w:tcPr>
            <w:tcW w:w="1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115,340</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778</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4,119,235</w:t>
            </w:r>
          </w:p>
        </w:tc>
        <w:tc>
          <w:tcPr>
            <w:tcW w:w="0" w:type="dxa"/>
            <w:vAlign w:val="bottom"/>
          </w:tcPr>
          <w:p>
            <w:pPr>
              <w:spacing w:after="0"/>
              <w:rPr>
                <w:sz w:val="1"/>
                <w:szCs w:val="1"/>
                <w:color w:val="auto"/>
              </w:rPr>
            </w:pPr>
          </w:p>
        </w:tc>
      </w:tr>
      <w:tr>
        <w:trPr>
          <w:trHeight w:val="20"/>
        </w:trPr>
        <w:tc>
          <w:tcPr>
            <w:tcW w:w="14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 Ratings</w:t>
      </w:r>
    </w:p>
    <w:p>
      <w:pPr>
        <w:spacing w:after="0" w:line="25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United categorizes loans into risk categories based on relevant information about the ability of borrowers to service their debt such as: current financial information, historical payment experience, credit documentation, public information, and current industry and economic trends, among other factors. United analyzes loans individually by classifying the loans as to credit risk. This analysis is performed on a continuous basis. United uses the following definitions for its risk ratings:</w:t>
      </w:r>
    </w:p>
    <w:p>
      <w:pPr>
        <w:spacing w:after="0" w:line="21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color w:val="auto"/>
        </w:rPr>
        <w:t xml:space="preserve">Watch. </w:t>
      </w:r>
      <w:r>
        <w:rPr>
          <w:rFonts w:ascii="Arial" w:cs="Arial" w:eastAsia="Arial" w:hAnsi="Arial"/>
          <w:sz w:val="18"/>
          <w:szCs w:val="18"/>
          <w:color w:val="auto"/>
        </w:rPr>
        <w:t>Loans in this category are presently protected from apparent loss; however, weaknesses exist that could cause future impairment, including the</w:t>
      </w:r>
      <w:r>
        <w:rPr>
          <w:rFonts w:ascii="Arial" w:cs="Arial" w:eastAsia="Arial" w:hAnsi="Arial"/>
          <w:sz w:val="18"/>
          <w:szCs w:val="18"/>
          <w:b w:val="1"/>
          <w:bCs w:val="1"/>
          <w:color w:val="auto"/>
        </w:rPr>
        <w:t xml:space="preserve"> </w:t>
      </w:r>
      <w:r>
        <w:rPr>
          <w:rFonts w:ascii="Arial" w:cs="Arial" w:eastAsia="Arial" w:hAnsi="Arial"/>
          <w:sz w:val="18"/>
          <w:szCs w:val="18"/>
          <w:color w:val="auto"/>
        </w:rPr>
        <w:t>deterioration of financial ratios, past due status and questionable management capabilities. These loans require more than the ordinary amount of supervision. Collateral values generally afford adequate coverage, but may not be immediately marketable.</w:t>
      </w:r>
    </w:p>
    <w:p>
      <w:pPr>
        <w:spacing w:after="0" w:line="20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color w:val="auto"/>
        </w:rPr>
        <w:t xml:space="preserve">Substandard. </w:t>
      </w:r>
      <w:r>
        <w:rPr>
          <w:rFonts w:ascii="Arial" w:cs="Arial" w:eastAsia="Arial" w:hAnsi="Arial"/>
          <w:sz w:val="18"/>
          <w:szCs w:val="18"/>
          <w:color w:val="auto"/>
        </w:rPr>
        <w:t>These loans are inadequately protected by the current net worth and paying capacity of the obligor or by the collateral pledged. Specific and</w:t>
      </w:r>
      <w:r>
        <w:rPr>
          <w:rFonts w:ascii="Arial" w:cs="Arial" w:eastAsia="Arial" w:hAnsi="Arial"/>
          <w:sz w:val="18"/>
          <w:szCs w:val="18"/>
          <w:b w:val="1"/>
          <w:bCs w:val="1"/>
          <w:color w:val="auto"/>
        </w:rPr>
        <w:t xml:space="preserve"> </w:t>
      </w:r>
      <w:r>
        <w:rPr>
          <w:rFonts w:ascii="Arial" w:cs="Arial" w:eastAsia="Arial" w:hAnsi="Arial"/>
          <w:sz w:val="18"/>
          <w:szCs w:val="18"/>
          <w:color w:val="auto"/>
        </w:rPr>
        <w:t>well-defined weaknesses exist that may include poor liquidity and deterioration of financial ratios. The loan may be past due and related deposit accounts experiencing overdrafts. There is the distinct possibility that United will sustain some loss if deficiencies are not corrected. If possible, immediate corrective action is taken.</w:t>
      </w:r>
    </w:p>
    <w:p>
      <w:pPr>
        <w:spacing w:after="0" w:line="212" w:lineRule="exact"/>
        <w:rPr>
          <w:sz w:val="20"/>
          <w:szCs w:val="20"/>
          <w:color w:val="auto"/>
        </w:rPr>
      </w:pPr>
    </w:p>
    <w:p>
      <w:pPr>
        <w:jc w:val="both"/>
        <w:spacing w:after="0" w:line="276" w:lineRule="auto"/>
        <w:rPr>
          <w:sz w:val="20"/>
          <w:szCs w:val="20"/>
          <w:color w:val="auto"/>
        </w:rPr>
      </w:pPr>
      <w:r>
        <w:rPr>
          <w:rFonts w:ascii="Arial" w:cs="Arial" w:eastAsia="Arial" w:hAnsi="Arial"/>
          <w:sz w:val="18"/>
          <w:szCs w:val="18"/>
          <w:b w:val="1"/>
          <w:bCs w:val="1"/>
          <w:color w:val="auto"/>
        </w:rPr>
        <w:t xml:space="preserve">Doubtful. </w:t>
      </w:r>
      <w:r>
        <w:rPr>
          <w:rFonts w:ascii="Arial" w:cs="Arial" w:eastAsia="Arial" w:hAnsi="Arial"/>
          <w:sz w:val="18"/>
          <w:szCs w:val="18"/>
          <w:color w:val="auto"/>
        </w:rPr>
        <w:t>Specific weaknesses characterized as Substandard that are severe enough to make collection in full highly questionable and improbable. There is</w:t>
      </w:r>
      <w:r>
        <w:rPr>
          <w:rFonts w:ascii="Arial" w:cs="Arial" w:eastAsia="Arial" w:hAnsi="Arial"/>
          <w:sz w:val="18"/>
          <w:szCs w:val="18"/>
          <w:b w:val="1"/>
          <w:bCs w:val="1"/>
          <w:color w:val="auto"/>
        </w:rPr>
        <w:t xml:space="preserve"> </w:t>
      </w:r>
      <w:r>
        <w:rPr>
          <w:rFonts w:ascii="Arial" w:cs="Arial" w:eastAsia="Arial" w:hAnsi="Arial"/>
          <w:sz w:val="18"/>
          <w:szCs w:val="18"/>
          <w:color w:val="auto"/>
        </w:rPr>
        <w:t>no reliable secondary source of full repayment.</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Loss. </w:t>
      </w:r>
      <w:r>
        <w:rPr>
          <w:rFonts w:ascii="Arial" w:cs="Arial" w:eastAsia="Arial" w:hAnsi="Arial"/>
          <w:sz w:val="16"/>
          <w:szCs w:val="16"/>
          <w:color w:val="auto"/>
        </w:rPr>
        <w:t>Loans categorized as Loss have the same characteristics as Doubtful; however, probability of loss is certain. Loans classified as Loss are charged-off.</w:t>
      </w:r>
    </w:p>
    <w:p>
      <w:pPr>
        <w:spacing w:after="0" w:line="275"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Loans not meeting the criteria above that are analyzed individually as part of the above described process are considered to be pass rated loans. Loans listed as not rated are generally deposit account overdrafts that have not been assigned a grade.</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13970</wp:posOffset>
            </wp:positionV>
            <wp:extent cx="724789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7890" cy="8255"/>
                    </a:xfrm>
                    <a:prstGeom prst="rect">
                      <a:avLst/>
                    </a:prstGeom>
                    <a:noFill/>
                  </pic:spPr>
                </pic:pic>
              </a:graphicData>
            </a:graphic>
          </wp:anchor>
        </w:drawing>
      </w:r>
    </w:p>
    <w:p>
      <w:pPr>
        <w:sectPr>
          <w:pgSz w:w="11900" w:h="16838" w:orient="portrait"/>
          <w:cols w:equalWidth="0" w:num="1">
            <w:col w:w="11420"/>
          </w:cols>
          <w:pgMar w:left="240" w:top="911" w:right="239" w:bottom="0" w:gutter="0" w:footer="0" w:header="0"/>
        </w:sectPr>
      </w:pPr>
    </w:p>
    <w:bookmarkStart w:id="25" w:name="page26"/>
    <w:bookmarkEnd w:id="25"/>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Foreclosed Property</w:t>
      </w:r>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Major classifications of foreclosed properties at June 30, 2013, December 31, 2012 and June 30, 2012 are summarized as follows </w:t>
      </w:r>
      <w:r>
        <w:rPr>
          <w:rFonts w:ascii="Arial" w:cs="Arial" w:eastAsia="Arial" w:hAnsi="Arial"/>
          <w:sz w:val="17"/>
          <w:szCs w:val="17"/>
          <w:i w:val="1"/>
          <w:iCs w:val="1"/>
          <w:color w:val="auto"/>
        </w:rPr>
        <w:t>(in thousands)</w:t>
      </w:r>
      <w:r>
        <w:rPr>
          <w:rFonts w:ascii="Arial" w:cs="Arial" w:eastAsia="Arial" w:hAnsi="Arial"/>
          <w:sz w:val="17"/>
          <w:szCs w:val="17"/>
          <w:color w:val="auto"/>
        </w:rPr>
        <w:t>.</w:t>
      </w:r>
    </w:p>
    <w:p>
      <w:pPr>
        <w:spacing w:after="0" w:line="229" w:lineRule="exact"/>
        <w:rPr>
          <w:sz w:val="20"/>
          <w:szCs w:val="20"/>
          <w:color w:val="auto"/>
        </w:rPr>
      </w:pPr>
    </w:p>
    <w:tbl>
      <w:tblPr>
        <w:tblLayout w:type="fixed"/>
        <w:tblInd w:w="580" w:type="dxa"/>
        <w:tblCellMar>
          <w:top w:w="0" w:type="dxa"/>
          <w:left w:w="0" w:type="dxa"/>
          <w:bottom w:w="0" w:type="dxa"/>
          <w:right w:w="0" w:type="dxa"/>
        </w:tblCellMar>
      </w:tblPr>
      <w:tr>
        <w:trPr>
          <w:trHeight w:val="214"/>
        </w:trPr>
        <w:tc>
          <w:tcPr>
            <w:tcW w:w="6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ind w:right="311"/>
              <w:spacing w:after="0"/>
              <w:rPr>
                <w:sz w:val="20"/>
                <w:szCs w:val="20"/>
                <w:color w:val="auto"/>
              </w:rPr>
            </w:pPr>
            <w:r>
              <w:rPr>
                <w:rFonts w:ascii="Arial" w:cs="Arial" w:eastAsia="Arial" w:hAnsi="Arial"/>
                <w:sz w:val="18"/>
                <w:szCs w:val="18"/>
                <w:b w:val="1"/>
                <w:bCs w:val="1"/>
                <w:color w:val="auto"/>
                <w:w w:val="94"/>
              </w:rPr>
              <w:t>June 30,</w:t>
            </w:r>
          </w:p>
        </w:tc>
        <w:tc>
          <w:tcPr>
            <w:tcW w:w="80" w:type="dxa"/>
            <w:vAlign w:val="bottom"/>
          </w:tcPr>
          <w:p>
            <w:pPr>
              <w:spacing w:after="0"/>
              <w:rPr>
                <w:sz w:val="18"/>
                <w:szCs w:val="18"/>
                <w:color w:val="auto"/>
              </w:rPr>
            </w:pPr>
          </w:p>
        </w:tc>
        <w:tc>
          <w:tcPr>
            <w:tcW w:w="1300" w:type="dxa"/>
            <w:vAlign w:val="bottom"/>
            <w:gridSpan w:val="2"/>
          </w:tcPr>
          <w:p>
            <w:pPr>
              <w:jc w:val="right"/>
              <w:ind w:right="131"/>
              <w:spacing w:after="0"/>
              <w:rPr>
                <w:sz w:val="20"/>
                <w:szCs w:val="20"/>
                <w:color w:val="auto"/>
              </w:rPr>
            </w:pPr>
            <w:r>
              <w:rPr>
                <w:rFonts w:ascii="Arial" w:cs="Arial" w:eastAsia="Arial" w:hAnsi="Arial"/>
                <w:sz w:val="18"/>
                <w:szCs w:val="18"/>
                <w:b w:val="1"/>
                <w:bCs w:val="1"/>
                <w:color w:val="auto"/>
                <w:w w:val="90"/>
              </w:rPr>
              <w:t>December 31,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right"/>
              <w:ind w:right="331"/>
              <w:spacing w:after="0"/>
              <w:rPr>
                <w:sz w:val="20"/>
                <w:szCs w:val="20"/>
                <w:color w:val="auto"/>
              </w:rPr>
            </w:pPr>
            <w:r>
              <w:rPr>
                <w:rFonts w:ascii="Arial" w:cs="Arial" w:eastAsia="Arial" w:hAnsi="Arial"/>
                <w:sz w:val="18"/>
                <w:szCs w:val="18"/>
                <w:b w:val="1"/>
                <w:bCs w:val="1"/>
                <w:color w:val="auto"/>
                <w:w w:val="97"/>
              </w:rPr>
              <w:t>June 30,</w:t>
            </w:r>
          </w:p>
        </w:tc>
      </w:tr>
      <w:tr>
        <w:trPr>
          <w:trHeight w:val="239"/>
        </w:trPr>
        <w:tc>
          <w:tcPr>
            <w:tcW w:w="62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51"/>
              <w:spacing w:after="0"/>
              <w:rPr>
                <w:sz w:val="20"/>
                <w:szCs w:val="20"/>
                <w:color w:val="auto"/>
              </w:rPr>
            </w:pPr>
            <w:r>
              <w:rPr>
                <w:rFonts w:ascii="Arial" w:cs="Arial" w:eastAsia="Arial" w:hAnsi="Arial"/>
                <w:sz w:val="18"/>
                <w:szCs w:val="18"/>
                <w:b w:val="1"/>
                <w:bCs w:val="1"/>
                <w:color w:val="auto"/>
              </w:rPr>
              <w:t>2013</w:t>
            </w: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71"/>
              <w:spacing w:after="0"/>
              <w:rPr>
                <w:sz w:val="20"/>
                <w:szCs w:val="20"/>
                <w:color w:val="auto"/>
              </w:rPr>
            </w:pPr>
            <w:r>
              <w:rPr>
                <w:rFonts w:ascii="Arial" w:cs="Arial" w:eastAsia="Arial" w:hAnsi="Arial"/>
                <w:sz w:val="18"/>
                <w:szCs w:val="18"/>
                <w:b w:val="1"/>
                <w:bCs w:val="1"/>
                <w:color w:val="auto"/>
              </w:rPr>
              <w:t>2012</w:t>
            </w:r>
          </w:p>
        </w:tc>
        <w:tc>
          <w:tcPr>
            <w:tcW w:w="1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71"/>
              <w:spacing w:after="0"/>
              <w:rPr>
                <w:sz w:val="20"/>
                <w:szCs w:val="20"/>
                <w:color w:val="auto"/>
              </w:rPr>
            </w:pPr>
            <w:r>
              <w:rPr>
                <w:rFonts w:ascii="Arial" w:cs="Arial" w:eastAsia="Arial" w:hAnsi="Arial"/>
                <w:sz w:val="18"/>
                <w:szCs w:val="18"/>
                <w:b w:val="1"/>
                <w:bCs w:val="1"/>
                <w:color w:val="auto"/>
              </w:rPr>
              <w:t>2012</w:t>
            </w:r>
          </w:p>
        </w:tc>
      </w:tr>
      <w:tr>
        <w:trPr>
          <w:trHeight w:val="414"/>
        </w:trPr>
        <w:tc>
          <w:tcPr>
            <w:tcW w:w="6200" w:type="dxa"/>
            <w:vAlign w:val="bottom"/>
          </w:tcPr>
          <w:p>
            <w:pPr>
              <w:spacing w:after="0"/>
              <w:rPr>
                <w:sz w:val="20"/>
                <w:szCs w:val="20"/>
                <w:color w:val="auto"/>
              </w:rPr>
            </w:pPr>
            <w:r>
              <w:rPr>
                <w:rFonts w:ascii="Arial" w:cs="Arial" w:eastAsia="Arial" w:hAnsi="Arial"/>
                <w:sz w:val="18"/>
                <w:szCs w:val="18"/>
                <w:color w:val="auto"/>
              </w:rPr>
              <w:t>Commercial real estate</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ind w:right="71"/>
              <w:spacing w:after="0"/>
              <w:rPr>
                <w:sz w:val="20"/>
                <w:szCs w:val="20"/>
                <w:color w:val="auto"/>
              </w:rPr>
            </w:pPr>
            <w:r>
              <w:rPr>
                <w:rFonts w:ascii="Arial" w:cs="Arial" w:eastAsia="Arial" w:hAnsi="Arial"/>
                <w:sz w:val="18"/>
                <w:szCs w:val="18"/>
                <w:color w:val="auto"/>
              </w:rPr>
              <w:t>847</w:t>
            </w:r>
          </w:p>
        </w:tc>
        <w:tc>
          <w:tcPr>
            <w:tcW w:w="320" w:type="dxa"/>
            <w:vAlign w:val="bottom"/>
            <w:gridSpan w:val="2"/>
          </w:tcPr>
          <w:p>
            <w:pPr>
              <w:jc w:val="right"/>
              <w:ind w:right="51"/>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71"/>
              <w:spacing w:after="0"/>
              <w:rPr>
                <w:sz w:val="20"/>
                <w:szCs w:val="20"/>
                <w:color w:val="auto"/>
              </w:rPr>
            </w:pPr>
            <w:r>
              <w:rPr>
                <w:rFonts w:ascii="Arial" w:cs="Arial" w:eastAsia="Arial" w:hAnsi="Arial"/>
                <w:sz w:val="18"/>
                <w:szCs w:val="18"/>
                <w:color w:val="auto"/>
              </w:rPr>
              <w:t>6,368</w:t>
            </w:r>
          </w:p>
        </w:tc>
        <w:tc>
          <w:tcPr>
            <w:tcW w:w="28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71"/>
              <w:spacing w:after="0"/>
              <w:rPr>
                <w:sz w:val="20"/>
                <w:szCs w:val="20"/>
                <w:color w:val="auto"/>
              </w:rPr>
            </w:pPr>
            <w:r>
              <w:rPr>
                <w:rFonts w:ascii="Arial" w:cs="Arial" w:eastAsia="Arial" w:hAnsi="Arial"/>
                <w:sz w:val="18"/>
                <w:szCs w:val="18"/>
                <w:color w:val="auto"/>
              </w:rPr>
              <w:t>11,639</w:t>
            </w:r>
          </w:p>
        </w:tc>
      </w:tr>
      <w:tr>
        <w:trPr>
          <w:trHeight w:val="235"/>
        </w:trPr>
        <w:tc>
          <w:tcPr>
            <w:tcW w:w="6200" w:type="dxa"/>
            <w:vAlign w:val="bottom"/>
          </w:tcPr>
          <w:p>
            <w:pPr>
              <w:spacing w:after="0"/>
              <w:rPr>
                <w:sz w:val="20"/>
                <w:szCs w:val="20"/>
                <w:color w:val="auto"/>
              </w:rPr>
            </w:pPr>
            <w:r>
              <w:rPr>
                <w:rFonts w:ascii="Arial" w:cs="Arial" w:eastAsia="Arial" w:hAnsi="Arial"/>
                <w:sz w:val="18"/>
                <w:szCs w:val="18"/>
                <w:color w:val="auto"/>
              </w:rPr>
              <w:t>Commercial construction</w:t>
            </w:r>
          </w:p>
        </w:tc>
        <w:tc>
          <w:tcPr>
            <w:tcW w:w="1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376</w:t>
            </w: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2,204</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2,732</w:t>
            </w:r>
          </w:p>
        </w:tc>
      </w:tr>
      <w:tr>
        <w:trPr>
          <w:trHeight w:val="200"/>
        </w:trPr>
        <w:tc>
          <w:tcPr>
            <w:tcW w:w="6200" w:type="dxa"/>
            <w:vAlign w:val="bottom"/>
          </w:tcPr>
          <w:p>
            <w:pPr>
              <w:ind w:left="220"/>
              <w:spacing w:after="0" w:line="200" w:lineRule="exact"/>
              <w:rPr>
                <w:sz w:val="20"/>
                <w:szCs w:val="20"/>
                <w:color w:val="auto"/>
              </w:rPr>
            </w:pPr>
            <w:r>
              <w:rPr>
                <w:rFonts w:ascii="Arial" w:cs="Arial" w:eastAsia="Arial" w:hAnsi="Arial"/>
                <w:sz w:val="18"/>
                <w:szCs w:val="18"/>
                <w:color w:val="auto"/>
              </w:rPr>
              <w:t>Total commercial</w:t>
            </w:r>
          </w:p>
        </w:tc>
        <w:tc>
          <w:tcPr>
            <w:tcW w:w="160" w:type="dxa"/>
            <w:vAlign w:val="bottom"/>
          </w:tcPr>
          <w:p>
            <w:pPr>
              <w:spacing w:after="0"/>
              <w:rPr>
                <w:sz w:val="17"/>
                <w:szCs w:val="17"/>
                <w:color w:val="auto"/>
              </w:rPr>
            </w:pPr>
          </w:p>
        </w:tc>
        <w:tc>
          <w:tcPr>
            <w:tcW w:w="1100" w:type="dxa"/>
            <w:vAlign w:val="bottom"/>
          </w:tcPr>
          <w:p>
            <w:pPr>
              <w:jc w:val="right"/>
              <w:ind w:right="71"/>
              <w:spacing w:after="0" w:line="200" w:lineRule="exact"/>
              <w:rPr>
                <w:sz w:val="20"/>
                <w:szCs w:val="20"/>
                <w:color w:val="auto"/>
              </w:rPr>
            </w:pPr>
            <w:r>
              <w:rPr>
                <w:rFonts w:ascii="Arial" w:cs="Arial" w:eastAsia="Arial" w:hAnsi="Arial"/>
                <w:sz w:val="18"/>
                <w:szCs w:val="18"/>
                <w:color w:val="auto"/>
              </w:rPr>
              <w:t>1,223</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tcPr>
          <w:p>
            <w:pPr>
              <w:jc w:val="right"/>
              <w:ind w:right="71"/>
              <w:spacing w:after="0" w:line="200" w:lineRule="exact"/>
              <w:rPr>
                <w:sz w:val="20"/>
                <w:szCs w:val="20"/>
                <w:color w:val="auto"/>
              </w:rPr>
            </w:pPr>
            <w:r>
              <w:rPr>
                <w:rFonts w:ascii="Arial" w:cs="Arial" w:eastAsia="Arial" w:hAnsi="Arial"/>
                <w:sz w:val="18"/>
                <w:szCs w:val="18"/>
                <w:color w:val="auto"/>
              </w:rPr>
              <w:t>8,572</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jc w:val="right"/>
              <w:ind w:right="71"/>
              <w:spacing w:after="0" w:line="200" w:lineRule="exact"/>
              <w:rPr>
                <w:sz w:val="20"/>
                <w:szCs w:val="20"/>
                <w:color w:val="auto"/>
              </w:rPr>
            </w:pPr>
            <w:r>
              <w:rPr>
                <w:rFonts w:ascii="Arial" w:cs="Arial" w:eastAsia="Arial" w:hAnsi="Arial"/>
                <w:sz w:val="18"/>
                <w:szCs w:val="18"/>
                <w:color w:val="auto"/>
              </w:rPr>
              <w:t>14,371</w:t>
            </w:r>
          </w:p>
        </w:tc>
      </w:tr>
      <w:tr>
        <w:trPr>
          <w:trHeight w:val="214"/>
        </w:trPr>
        <w:tc>
          <w:tcPr>
            <w:tcW w:w="6200" w:type="dxa"/>
            <w:vAlign w:val="bottom"/>
          </w:tcPr>
          <w:p>
            <w:pPr>
              <w:spacing w:after="0"/>
              <w:rPr>
                <w:sz w:val="20"/>
                <w:szCs w:val="20"/>
                <w:color w:val="auto"/>
              </w:rPr>
            </w:pPr>
            <w:r>
              <w:rPr>
                <w:rFonts w:ascii="Arial" w:cs="Arial" w:eastAsia="Arial" w:hAnsi="Arial"/>
                <w:sz w:val="18"/>
                <w:szCs w:val="18"/>
                <w:color w:val="auto"/>
              </w:rPr>
              <w:t>Residential mortgage</w:t>
            </w:r>
          </w:p>
        </w:tc>
        <w:tc>
          <w:tcPr>
            <w:tcW w:w="160" w:type="dxa"/>
            <w:vAlign w:val="bottom"/>
          </w:tcPr>
          <w:p>
            <w:pPr>
              <w:spacing w:after="0"/>
              <w:rPr>
                <w:sz w:val="18"/>
                <w:szCs w:val="18"/>
                <w:color w:val="auto"/>
              </w:rPr>
            </w:pPr>
          </w:p>
        </w:tc>
        <w:tc>
          <w:tcPr>
            <w:tcW w:w="1100" w:type="dxa"/>
            <w:vAlign w:val="bottom"/>
          </w:tcPr>
          <w:p>
            <w:pPr>
              <w:jc w:val="right"/>
              <w:ind w:right="71"/>
              <w:spacing w:after="0"/>
              <w:rPr>
                <w:sz w:val="20"/>
                <w:szCs w:val="20"/>
                <w:color w:val="auto"/>
              </w:rPr>
            </w:pPr>
            <w:r>
              <w:rPr>
                <w:rFonts w:ascii="Arial" w:cs="Arial" w:eastAsia="Arial" w:hAnsi="Arial"/>
                <w:sz w:val="18"/>
                <w:szCs w:val="18"/>
                <w:color w:val="auto"/>
              </w:rPr>
              <w:t>1,931</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jc w:val="right"/>
              <w:ind w:right="71"/>
              <w:spacing w:after="0"/>
              <w:rPr>
                <w:sz w:val="20"/>
                <w:szCs w:val="20"/>
                <w:color w:val="auto"/>
              </w:rPr>
            </w:pPr>
            <w:r>
              <w:rPr>
                <w:rFonts w:ascii="Arial" w:cs="Arial" w:eastAsia="Arial" w:hAnsi="Arial"/>
                <w:sz w:val="18"/>
                <w:szCs w:val="18"/>
                <w:color w:val="auto"/>
              </w:rPr>
              <w:t>5,192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right"/>
              <w:ind w:right="71"/>
              <w:spacing w:after="0"/>
              <w:rPr>
                <w:sz w:val="20"/>
                <w:szCs w:val="20"/>
                <w:color w:val="auto"/>
              </w:rPr>
            </w:pPr>
            <w:r>
              <w:rPr>
                <w:rFonts w:ascii="Arial" w:cs="Arial" w:eastAsia="Arial" w:hAnsi="Arial"/>
                <w:sz w:val="18"/>
                <w:szCs w:val="18"/>
                <w:color w:val="auto"/>
              </w:rPr>
              <w:t>5,868</w:t>
            </w:r>
          </w:p>
        </w:tc>
      </w:tr>
      <w:tr>
        <w:trPr>
          <w:trHeight w:val="235"/>
        </w:trPr>
        <w:tc>
          <w:tcPr>
            <w:tcW w:w="6200" w:type="dxa"/>
            <w:vAlign w:val="bottom"/>
          </w:tcPr>
          <w:p>
            <w:pPr>
              <w:spacing w:after="0"/>
              <w:rPr>
                <w:sz w:val="20"/>
                <w:szCs w:val="20"/>
                <w:color w:val="auto"/>
              </w:rPr>
            </w:pPr>
            <w:r>
              <w:rPr>
                <w:rFonts w:ascii="Arial" w:cs="Arial" w:eastAsia="Arial" w:hAnsi="Arial"/>
                <w:sz w:val="18"/>
                <w:szCs w:val="18"/>
                <w:color w:val="auto"/>
              </w:rPr>
              <w:t>Residential construction</w:t>
            </w:r>
          </w:p>
        </w:tc>
        <w:tc>
          <w:tcPr>
            <w:tcW w:w="1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4,384</w:t>
            </w: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11,454</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22,054</w:t>
            </w:r>
          </w:p>
        </w:tc>
      </w:tr>
      <w:tr>
        <w:trPr>
          <w:trHeight w:val="200"/>
        </w:trPr>
        <w:tc>
          <w:tcPr>
            <w:tcW w:w="6200" w:type="dxa"/>
            <w:vAlign w:val="bottom"/>
          </w:tcPr>
          <w:p>
            <w:pPr>
              <w:ind w:left="140"/>
              <w:spacing w:after="0" w:line="200" w:lineRule="exact"/>
              <w:rPr>
                <w:sz w:val="20"/>
                <w:szCs w:val="20"/>
                <w:color w:val="auto"/>
              </w:rPr>
            </w:pPr>
            <w:r>
              <w:rPr>
                <w:rFonts w:ascii="Arial" w:cs="Arial" w:eastAsia="Arial" w:hAnsi="Arial"/>
                <w:sz w:val="18"/>
                <w:szCs w:val="18"/>
                <w:color w:val="auto"/>
              </w:rPr>
              <w:t>Total foreclosed property</w:t>
            </w:r>
          </w:p>
        </w:tc>
        <w:tc>
          <w:tcPr>
            <w:tcW w:w="160" w:type="dxa"/>
            <w:vAlign w:val="bottom"/>
          </w:tcPr>
          <w:p>
            <w:pPr>
              <w:spacing w:after="0"/>
              <w:rPr>
                <w:sz w:val="17"/>
                <w:szCs w:val="17"/>
                <w:color w:val="auto"/>
              </w:rPr>
            </w:pPr>
          </w:p>
        </w:tc>
        <w:tc>
          <w:tcPr>
            <w:tcW w:w="1100" w:type="dxa"/>
            <w:vAlign w:val="bottom"/>
          </w:tcPr>
          <w:p>
            <w:pPr>
              <w:jc w:val="right"/>
              <w:ind w:right="71"/>
              <w:spacing w:after="0" w:line="200" w:lineRule="exact"/>
              <w:rPr>
                <w:sz w:val="20"/>
                <w:szCs w:val="20"/>
                <w:color w:val="auto"/>
              </w:rPr>
            </w:pPr>
            <w:r>
              <w:rPr>
                <w:rFonts w:ascii="Arial" w:cs="Arial" w:eastAsia="Arial" w:hAnsi="Arial"/>
                <w:sz w:val="18"/>
                <w:szCs w:val="18"/>
                <w:color w:val="auto"/>
              </w:rPr>
              <w:t>7,538</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tcPr>
          <w:p>
            <w:pPr>
              <w:jc w:val="right"/>
              <w:ind w:right="71"/>
              <w:spacing w:after="0" w:line="200" w:lineRule="exact"/>
              <w:rPr>
                <w:sz w:val="20"/>
                <w:szCs w:val="20"/>
                <w:color w:val="auto"/>
              </w:rPr>
            </w:pPr>
            <w:r>
              <w:rPr>
                <w:rFonts w:ascii="Arial" w:cs="Arial" w:eastAsia="Arial" w:hAnsi="Arial"/>
                <w:sz w:val="18"/>
                <w:szCs w:val="18"/>
                <w:color w:val="auto"/>
              </w:rPr>
              <w:t>25,218</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jc w:val="right"/>
              <w:ind w:right="71"/>
              <w:spacing w:after="0" w:line="200" w:lineRule="exact"/>
              <w:rPr>
                <w:sz w:val="20"/>
                <w:szCs w:val="20"/>
                <w:color w:val="auto"/>
              </w:rPr>
            </w:pPr>
            <w:r>
              <w:rPr>
                <w:rFonts w:ascii="Arial" w:cs="Arial" w:eastAsia="Arial" w:hAnsi="Arial"/>
                <w:sz w:val="18"/>
                <w:szCs w:val="18"/>
                <w:color w:val="auto"/>
              </w:rPr>
              <w:t>42,293</w:t>
            </w:r>
          </w:p>
        </w:tc>
      </w:tr>
      <w:tr>
        <w:trPr>
          <w:trHeight w:val="235"/>
        </w:trPr>
        <w:tc>
          <w:tcPr>
            <w:tcW w:w="6200" w:type="dxa"/>
            <w:vAlign w:val="bottom"/>
          </w:tcPr>
          <w:p>
            <w:pPr>
              <w:spacing w:after="0"/>
              <w:rPr>
                <w:sz w:val="20"/>
                <w:szCs w:val="20"/>
                <w:color w:val="auto"/>
              </w:rPr>
            </w:pPr>
            <w:r>
              <w:rPr>
                <w:rFonts w:ascii="Arial" w:cs="Arial" w:eastAsia="Arial" w:hAnsi="Arial"/>
                <w:sz w:val="18"/>
                <w:szCs w:val="18"/>
                <w:color w:val="auto"/>
              </w:rPr>
              <w:t>Less valuation allowance</w:t>
            </w:r>
          </w:p>
        </w:tc>
        <w:tc>
          <w:tcPr>
            <w:tcW w:w="1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(3,602)</w:t>
            </w: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(6,954)</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(11,872)</w:t>
            </w:r>
          </w:p>
        </w:tc>
      </w:tr>
      <w:tr>
        <w:trPr>
          <w:trHeight w:val="214"/>
        </w:trPr>
        <w:tc>
          <w:tcPr>
            <w:tcW w:w="6200" w:type="dxa"/>
            <w:vAlign w:val="bottom"/>
          </w:tcPr>
          <w:p>
            <w:pPr>
              <w:ind w:left="140"/>
              <w:spacing w:after="0"/>
              <w:rPr>
                <w:sz w:val="20"/>
                <w:szCs w:val="20"/>
                <w:color w:val="auto"/>
              </w:rPr>
            </w:pPr>
            <w:r>
              <w:rPr>
                <w:rFonts w:ascii="Arial" w:cs="Arial" w:eastAsia="Arial" w:hAnsi="Arial"/>
                <w:sz w:val="18"/>
                <w:szCs w:val="18"/>
                <w:color w:val="auto"/>
              </w:rPr>
              <w:t>Foreclosed property, net</w:t>
            </w: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3,936</w:t>
            </w:r>
          </w:p>
        </w:tc>
        <w:tc>
          <w:tcPr>
            <w:tcW w:w="80" w:type="dxa"/>
            <w:vAlign w:val="bottom"/>
          </w:tcPr>
          <w:p>
            <w:pPr>
              <w:spacing w:after="0"/>
              <w:rPr>
                <w:sz w:val="18"/>
                <w:szCs w:val="18"/>
                <w:color w:val="auto"/>
              </w:rPr>
            </w:pPr>
          </w:p>
        </w:tc>
        <w:tc>
          <w:tcPr>
            <w:tcW w:w="24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18,264</w:t>
            </w:r>
          </w:p>
        </w:tc>
        <w:tc>
          <w:tcPr>
            <w:tcW w:w="120" w:type="dxa"/>
            <w:vAlign w:val="bottom"/>
          </w:tcPr>
          <w:p>
            <w:pPr>
              <w:spacing w:after="0"/>
              <w:rPr>
                <w:sz w:val="18"/>
                <w:szCs w:val="18"/>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30,421</w:t>
            </w:r>
          </w:p>
        </w:tc>
      </w:tr>
      <w:tr>
        <w:trPr>
          <w:trHeight w:val="20"/>
        </w:trPr>
        <w:tc>
          <w:tcPr>
            <w:tcW w:w="6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420"/>
        </w:trPr>
        <w:tc>
          <w:tcPr>
            <w:tcW w:w="6200" w:type="dxa"/>
            <w:vAlign w:val="bottom"/>
          </w:tcPr>
          <w:p>
            <w:pPr>
              <w:spacing w:after="0"/>
              <w:rPr>
                <w:sz w:val="20"/>
                <w:szCs w:val="20"/>
                <w:color w:val="auto"/>
              </w:rPr>
            </w:pPr>
            <w:r>
              <w:rPr>
                <w:rFonts w:ascii="Arial" w:cs="Arial" w:eastAsia="Arial" w:hAnsi="Arial"/>
                <w:sz w:val="18"/>
                <w:szCs w:val="18"/>
                <w:color w:val="auto"/>
              </w:rPr>
              <w:t>Balance as a percentage of original loan unpaid principal</w:t>
            </w:r>
          </w:p>
        </w:tc>
        <w:tc>
          <w:tcPr>
            <w:tcW w:w="1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31.6%</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39.7%</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39.3%</w:t>
            </w:r>
          </w:p>
        </w:tc>
      </w:tr>
    </w:tbl>
    <w:p>
      <w:pPr>
        <w:spacing w:after="0" w:line="202" w:lineRule="exact"/>
        <w:rPr>
          <w:sz w:val="20"/>
          <w:szCs w:val="20"/>
          <w:color w:val="auto"/>
        </w:rPr>
      </w:pPr>
    </w:p>
    <w:p>
      <w:pPr>
        <w:spacing w:after="0" w:line="335" w:lineRule="auto"/>
        <w:rPr>
          <w:sz w:val="20"/>
          <w:szCs w:val="20"/>
          <w:color w:val="auto"/>
        </w:rPr>
      </w:pPr>
      <w:r>
        <w:rPr>
          <w:rFonts w:ascii="Arial" w:cs="Arial" w:eastAsia="Arial" w:hAnsi="Arial"/>
          <w:sz w:val="16"/>
          <w:szCs w:val="16"/>
          <w:color w:val="auto"/>
        </w:rPr>
        <w:t>In the second quarter of 2013, United completed the accelerated sales of classified assets including performing and nonperforming classified loans and foreclosed properties. The classified asset sales resulted in a much lower balance of foreclosed property costs at June 30, 2013 and elevated losses from sales.</w:t>
      </w:r>
    </w:p>
    <w:p>
      <w:pPr>
        <w:spacing w:after="0" w:line="156"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 xml:space="preserve">Activity in the valuation allowance for foreclosed property for the three and six months ended June 30, 2013 and 2012 is presented in the following table </w:t>
      </w:r>
      <w:r>
        <w:rPr>
          <w:rFonts w:ascii="Arial" w:cs="Arial" w:eastAsia="Arial" w:hAnsi="Arial"/>
          <w:sz w:val="18"/>
          <w:szCs w:val="18"/>
          <w:i w:val="1"/>
          <w:iCs w:val="1"/>
          <w:color w:val="auto"/>
        </w:rPr>
        <w:t>(in</w:t>
      </w:r>
      <w:r>
        <w:rPr>
          <w:rFonts w:ascii="Arial" w:cs="Arial" w:eastAsia="Arial" w:hAnsi="Arial"/>
          <w:sz w:val="18"/>
          <w:szCs w:val="18"/>
          <w:color w:val="auto"/>
        </w:rPr>
        <w:t xml:space="preserve"> </w:t>
      </w:r>
      <w:r>
        <w:rPr>
          <w:rFonts w:ascii="Arial" w:cs="Arial" w:eastAsia="Arial" w:hAnsi="Arial"/>
          <w:sz w:val="18"/>
          <w:szCs w:val="18"/>
          <w:i w:val="1"/>
          <w:iCs w:val="1"/>
          <w:color w:val="auto"/>
        </w:rPr>
        <w:t>thousands)</w:t>
      </w:r>
      <w:r>
        <w:rPr>
          <w:rFonts w:ascii="Arial" w:cs="Arial" w:eastAsia="Arial" w:hAnsi="Arial"/>
          <w:sz w:val="18"/>
          <w:szCs w:val="18"/>
          <w:color w:val="auto"/>
        </w:rPr>
        <w:t>.</w:t>
      </w:r>
    </w:p>
    <w:p>
      <w:pPr>
        <w:spacing w:after="0" w:line="172" w:lineRule="exact"/>
        <w:rPr>
          <w:sz w:val="20"/>
          <w:szCs w:val="20"/>
          <w:color w:val="auto"/>
        </w:rPr>
      </w:pPr>
    </w:p>
    <w:tbl>
      <w:tblPr>
        <w:tblLayout w:type="fixed"/>
        <w:tblInd w:w="300" w:type="dxa"/>
        <w:tblCellMar>
          <w:top w:w="0" w:type="dxa"/>
          <w:left w:w="0" w:type="dxa"/>
          <w:bottom w:w="0" w:type="dxa"/>
          <w:right w:w="0" w:type="dxa"/>
        </w:tblCellMar>
      </w:tblPr>
      <w:tr>
        <w:trPr>
          <w:trHeight w:val="214"/>
        </w:trPr>
        <w:tc>
          <w:tcPr>
            <w:tcW w:w="5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60" w:type="dxa"/>
            <w:vAlign w:val="bottom"/>
            <w:gridSpan w:val="4"/>
          </w:tcPr>
          <w:p>
            <w:pPr>
              <w:jc w:val="right"/>
              <w:ind w:right="451"/>
              <w:spacing w:after="0"/>
              <w:rPr>
                <w:sz w:val="20"/>
                <w:szCs w:val="20"/>
                <w:color w:val="auto"/>
              </w:rPr>
            </w:pPr>
            <w:r>
              <w:rPr>
                <w:rFonts w:ascii="Arial" w:cs="Arial" w:eastAsia="Arial" w:hAnsi="Arial"/>
                <w:sz w:val="18"/>
                <w:szCs w:val="18"/>
                <w:b w:val="1"/>
                <w:bCs w:val="1"/>
                <w:color w:val="auto"/>
              </w:rPr>
              <w:t>Three Months Ended</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20" w:type="dxa"/>
            <w:vAlign w:val="bottom"/>
            <w:gridSpan w:val="4"/>
          </w:tcPr>
          <w:p>
            <w:pPr>
              <w:jc w:val="right"/>
              <w:ind w:right="591"/>
              <w:spacing w:after="0"/>
              <w:rPr>
                <w:sz w:val="20"/>
                <w:szCs w:val="20"/>
                <w:color w:val="auto"/>
              </w:rPr>
            </w:pPr>
            <w:r>
              <w:rPr>
                <w:rFonts w:ascii="Arial" w:cs="Arial" w:eastAsia="Arial" w:hAnsi="Arial"/>
                <w:sz w:val="18"/>
                <w:szCs w:val="18"/>
                <w:b w:val="1"/>
                <w:bCs w:val="1"/>
                <w:color w:val="auto"/>
              </w:rPr>
              <w:t>Six Months Ended</w:t>
            </w:r>
          </w:p>
        </w:tc>
      </w:tr>
      <w:tr>
        <w:trPr>
          <w:trHeight w:val="239"/>
        </w:trPr>
        <w:tc>
          <w:tcPr>
            <w:tcW w:w="5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3"/>
          </w:tcPr>
          <w:p>
            <w:pPr>
              <w:jc w:val="right"/>
              <w:ind w:right="27"/>
              <w:spacing w:after="0"/>
              <w:rPr>
                <w:sz w:val="20"/>
                <w:szCs w:val="20"/>
                <w:color w:val="auto"/>
              </w:rPr>
            </w:pPr>
            <w:r>
              <w:rPr>
                <w:rFonts w:ascii="Arial" w:cs="Arial" w:eastAsia="Arial" w:hAnsi="Arial"/>
                <w:sz w:val="18"/>
                <w:szCs w:val="18"/>
                <w:b w:val="1"/>
                <w:bCs w:val="1"/>
                <w:color w:val="auto"/>
              </w:rPr>
              <w:t>June 30,</w:t>
            </w:r>
          </w:p>
        </w:tc>
        <w:tc>
          <w:tcPr>
            <w:tcW w:w="9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3"/>
          </w:tcPr>
          <w:p>
            <w:pPr>
              <w:jc w:val="right"/>
              <w:ind w:right="27"/>
              <w:spacing w:after="0"/>
              <w:rPr>
                <w:sz w:val="20"/>
                <w:szCs w:val="20"/>
                <w:color w:val="auto"/>
              </w:rPr>
            </w:pPr>
            <w:r>
              <w:rPr>
                <w:rFonts w:ascii="Arial" w:cs="Arial" w:eastAsia="Arial" w:hAnsi="Arial"/>
                <w:sz w:val="18"/>
                <w:szCs w:val="18"/>
                <w:b w:val="1"/>
                <w:bCs w:val="1"/>
                <w:color w:val="auto"/>
              </w:rPr>
              <w:t>June 30,</w:t>
            </w:r>
          </w:p>
        </w:tc>
        <w:tc>
          <w:tcPr>
            <w:tcW w:w="980" w:type="dxa"/>
            <w:vAlign w:val="bottom"/>
            <w:tcBorders>
              <w:bottom w:val="single" w:sz="8" w:color="auto"/>
            </w:tcBorders>
          </w:tcPr>
          <w:p>
            <w:pPr>
              <w:spacing w:after="0"/>
              <w:rPr>
                <w:sz w:val="20"/>
                <w:szCs w:val="20"/>
                <w:color w:val="auto"/>
              </w:rPr>
            </w:pPr>
          </w:p>
        </w:tc>
      </w:tr>
      <w:tr>
        <w:trPr>
          <w:trHeight w:val="221"/>
        </w:trPr>
        <w:tc>
          <w:tcPr>
            <w:tcW w:w="5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11"/>
              <w:spacing w:after="0"/>
              <w:rPr>
                <w:sz w:val="20"/>
                <w:szCs w:val="20"/>
                <w:color w:val="auto"/>
              </w:rPr>
            </w:pPr>
            <w:r>
              <w:rPr>
                <w:rFonts w:ascii="Arial" w:cs="Arial" w:eastAsia="Arial" w:hAnsi="Arial"/>
                <w:sz w:val="18"/>
                <w:szCs w:val="18"/>
                <w:b w:val="1"/>
                <w:bCs w:val="1"/>
                <w:color w:val="auto"/>
              </w:rPr>
              <w:t>2013</w:t>
            </w:r>
          </w:p>
        </w:tc>
        <w:tc>
          <w:tcPr>
            <w:tcW w:w="1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411"/>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31"/>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51"/>
              <w:spacing w:after="0"/>
              <w:rPr>
                <w:sz w:val="20"/>
                <w:szCs w:val="20"/>
                <w:color w:val="auto"/>
              </w:rPr>
            </w:pPr>
            <w:r>
              <w:rPr>
                <w:rFonts w:ascii="Arial" w:cs="Arial" w:eastAsia="Arial" w:hAnsi="Arial"/>
                <w:sz w:val="18"/>
                <w:szCs w:val="18"/>
                <w:b w:val="1"/>
                <w:bCs w:val="1"/>
                <w:color w:val="auto"/>
              </w:rPr>
              <w:t>2012</w:t>
            </w:r>
          </w:p>
        </w:tc>
      </w:tr>
      <w:tr>
        <w:trPr>
          <w:trHeight w:val="414"/>
        </w:trPr>
        <w:tc>
          <w:tcPr>
            <w:tcW w:w="5480" w:type="dxa"/>
            <w:vAlign w:val="bottom"/>
          </w:tcPr>
          <w:p>
            <w:pPr>
              <w:spacing w:after="0"/>
              <w:rPr>
                <w:sz w:val="20"/>
                <w:szCs w:val="20"/>
                <w:color w:val="auto"/>
              </w:rPr>
            </w:pPr>
            <w:r>
              <w:rPr>
                <w:rFonts w:ascii="Arial" w:cs="Arial" w:eastAsia="Arial" w:hAnsi="Arial"/>
                <w:sz w:val="18"/>
                <w:szCs w:val="18"/>
                <w:color w:val="auto"/>
              </w:rPr>
              <w:t>Balance at beginning of period</w:t>
            </w:r>
          </w:p>
        </w:tc>
        <w:tc>
          <w:tcPr>
            <w:tcW w:w="240" w:type="dxa"/>
            <w:vAlign w:val="bottom"/>
            <w:gridSpan w:val="2"/>
          </w:tcPr>
          <w:p>
            <w:pPr>
              <w:jc w:val="right"/>
              <w:ind w:right="67"/>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4,979</w:t>
            </w:r>
          </w:p>
        </w:tc>
        <w:tc>
          <w:tcPr>
            <w:tcW w:w="420" w:type="dxa"/>
            <w:vAlign w:val="bottom"/>
            <w:gridSpan w:val="2"/>
          </w:tcPr>
          <w:p>
            <w:pPr>
              <w:jc w:val="right"/>
              <w:ind w:right="147"/>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17,746</w:t>
            </w:r>
          </w:p>
        </w:tc>
        <w:tc>
          <w:tcPr>
            <w:tcW w:w="340" w:type="dxa"/>
            <w:vAlign w:val="bottom"/>
            <w:gridSpan w:val="2"/>
          </w:tcPr>
          <w:p>
            <w:pPr>
              <w:jc w:val="right"/>
              <w:ind w:right="87"/>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6,954</w:t>
            </w:r>
          </w:p>
        </w:tc>
        <w:tc>
          <w:tcPr>
            <w:tcW w:w="420" w:type="dxa"/>
            <w:vAlign w:val="bottom"/>
            <w:gridSpan w:val="2"/>
          </w:tcPr>
          <w:p>
            <w:pPr>
              <w:jc w:val="right"/>
              <w:ind w:right="167"/>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18,982</w:t>
            </w:r>
          </w:p>
        </w:tc>
      </w:tr>
      <w:tr>
        <w:trPr>
          <w:trHeight w:val="214"/>
        </w:trPr>
        <w:tc>
          <w:tcPr>
            <w:tcW w:w="5480" w:type="dxa"/>
            <w:vAlign w:val="bottom"/>
          </w:tcPr>
          <w:p>
            <w:pPr>
              <w:spacing w:after="0"/>
              <w:rPr>
                <w:sz w:val="20"/>
                <w:szCs w:val="20"/>
                <w:color w:val="auto"/>
              </w:rPr>
            </w:pPr>
            <w:r>
              <w:rPr>
                <w:rFonts w:ascii="Arial" w:cs="Arial" w:eastAsia="Arial" w:hAnsi="Arial"/>
                <w:sz w:val="18"/>
                <w:szCs w:val="18"/>
                <w:color w:val="auto"/>
              </w:rPr>
              <w:t>Additions charged to expense</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1,369</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1,008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2,410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3,119</w:t>
            </w:r>
          </w:p>
        </w:tc>
      </w:tr>
      <w:tr>
        <w:trPr>
          <w:trHeight w:val="235"/>
        </w:trPr>
        <w:tc>
          <w:tcPr>
            <w:tcW w:w="5480" w:type="dxa"/>
            <w:vAlign w:val="bottom"/>
          </w:tcPr>
          <w:p>
            <w:pPr>
              <w:spacing w:after="0"/>
              <w:rPr>
                <w:sz w:val="20"/>
                <w:szCs w:val="20"/>
                <w:color w:val="auto"/>
              </w:rPr>
            </w:pPr>
            <w:r>
              <w:rPr>
                <w:rFonts w:ascii="Arial" w:cs="Arial" w:eastAsia="Arial" w:hAnsi="Arial"/>
                <w:sz w:val="18"/>
                <w:szCs w:val="18"/>
                <w:color w:val="auto"/>
              </w:rPr>
              <w:t>Disposals</w:t>
            </w:r>
          </w:p>
        </w:tc>
        <w:tc>
          <w:tcPr>
            <w:tcW w:w="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(2,746)</w:t>
            </w:r>
          </w:p>
        </w:tc>
        <w:tc>
          <w:tcPr>
            <w:tcW w:w="1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(6,882)</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(5,762)</w:t>
            </w: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(10,229)</w:t>
            </w:r>
          </w:p>
        </w:tc>
      </w:tr>
      <w:tr>
        <w:trPr>
          <w:trHeight w:val="214"/>
        </w:trPr>
        <w:tc>
          <w:tcPr>
            <w:tcW w:w="5480" w:type="dxa"/>
            <w:vAlign w:val="bottom"/>
          </w:tcPr>
          <w:p>
            <w:pPr>
              <w:ind w:left="220"/>
              <w:spacing w:after="0"/>
              <w:rPr>
                <w:sz w:val="20"/>
                <w:szCs w:val="20"/>
                <w:color w:val="auto"/>
              </w:rPr>
            </w:pPr>
            <w:r>
              <w:rPr>
                <w:rFonts w:ascii="Arial" w:cs="Arial" w:eastAsia="Arial" w:hAnsi="Arial"/>
                <w:sz w:val="18"/>
                <w:szCs w:val="18"/>
                <w:color w:val="auto"/>
              </w:rPr>
              <w:t>Balance at end of period</w:t>
            </w: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3,602</w:t>
            </w:r>
          </w:p>
        </w:tc>
        <w:tc>
          <w:tcPr>
            <w:tcW w:w="120" w:type="dxa"/>
            <w:vAlign w:val="bottom"/>
          </w:tcPr>
          <w:p>
            <w:pPr>
              <w:spacing w:after="0"/>
              <w:rPr>
                <w:sz w:val="18"/>
                <w:szCs w:val="18"/>
                <w:color w:val="auto"/>
              </w:rPr>
            </w:pPr>
          </w:p>
        </w:tc>
        <w:tc>
          <w:tcPr>
            <w:tcW w:w="300" w:type="dxa"/>
            <w:vAlign w:val="bottom"/>
            <w:tcBorders>
              <w:bottom w:val="single" w:sz="8" w:color="auto"/>
            </w:tcBorders>
          </w:tcPr>
          <w:p>
            <w:pPr>
              <w:jc w:val="right"/>
              <w:ind w:right="147"/>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11,872</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3,602</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67"/>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11,872</w:t>
            </w:r>
          </w:p>
        </w:tc>
      </w:tr>
      <w:tr>
        <w:trPr>
          <w:trHeight w:val="20"/>
        </w:trPr>
        <w:tc>
          <w:tcPr>
            <w:tcW w:w="5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27"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Expenses related to foreclosed assets for the three and six months ended June 30, 2013 and 2012 is presented in the following table </w:t>
      </w:r>
      <w:r>
        <w:rPr>
          <w:rFonts w:ascii="Arial" w:cs="Arial" w:eastAsia="Arial" w:hAnsi="Arial"/>
          <w:sz w:val="17"/>
          <w:szCs w:val="17"/>
          <w:i w:val="1"/>
          <w:iCs w:val="1"/>
          <w:color w:val="auto"/>
        </w:rPr>
        <w:t>(in thousands)</w:t>
      </w:r>
      <w:r>
        <w:rPr>
          <w:rFonts w:ascii="Arial" w:cs="Arial" w:eastAsia="Arial" w:hAnsi="Arial"/>
          <w:sz w:val="17"/>
          <w:szCs w:val="17"/>
          <w:color w:val="auto"/>
        </w:rPr>
        <w:t>.</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42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60" w:type="dxa"/>
            <w:vAlign w:val="bottom"/>
            <w:gridSpan w:val="4"/>
          </w:tcPr>
          <w:p>
            <w:pPr>
              <w:jc w:val="right"/>
              <w:ind w:right="451"/>
              <w:spacing w:after="0"/>
              <w:rPr>
                <w:sz w:val="20"/>
                <w:szCs w:val="20"/>
                <w:color w:val="auto"/>
              </w:rPr>
            </w:pPr>
            <w:r>
              <w:rPr>
                <w:rFonts w:ascii="Arial" w:cs="Arial" w:eastAsia="Arial" w:hAnsi="Arial"/>
                <w:sz w:val="18"/>
                <w:szCs w:val="18"/>
                <w:b w:val="1"/>
                <w:bCs w:val="1"/>
                <w:color w:val="auto"/>
              </w:rPr>
              <w:t>Three Months Ended</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20" w:type="dxa"/>
            <w:vAlign w:val="bottom"/>
            <w:gridSpan w:val="4"/>
          </w:tcPr>
          <w:p>
            <w:pPr>
              <w:jc w:val="right"/>
              <w:ind w:right="591"/>
              <w:spacing w:after="0"/>
              <w:rPr>
                <w:sz w:val="20"/>
                <w:szCs w:val="20"/>
                <w:color w:val="auto"/>
              </w:rPr>
            </w:pPr>
            <w:r>
              <w:rPr>
                <w:rFonts w:ascii="Arial" w:cs="Arial" w:eastAsia="Arial" w:hAnsi="Arial"/>
                <w:sz w:val="18"/>
                <w:szCs w:val="18"/>
                <w:b w:val="1"/>
                <w:bCs w:val="1"/>
                <w:color w:val="auto"/>
              </w:rPr>
              <w:t>Six Months Ended</w:t>
            </w:r>
          </w:p>
        </w:tc>
        <w:tc>
          <w:tcPr>
            <w:tcW w:w="280" w:type="dxa"/>
            <w:vAlign w:val="bottom"/>
          </w:tcPr>
          <w:p>
            <w:pPr>
              <w:spacing w:after="0"/>
              <w:rPr>
                <w:sz w:val="18"/>
                <w:szCs w:val="18"/>
                <w:color w:val="auto"/>
              </w:rPr>
            </w:pPr>
          </w:p>
        </w:tc>
      </w:tr>
      <w:tr>
        <w:trPr>
          <w:trHeight w:val="239"/>
        </w:trPr>
        <w:tc>
          <w:tcPr>
            <w:tcW w:w="42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3"/>
          </w:tcPr>
          <w:p>
            <w:pPr>
              <w:jc w:val="right"/>
              <w:ind w:right="27"/>
              <w:spacing w:after="0"/>
              <w:rPr>
                <w:sz w:val="20"/>
                <w:szCs w:val="20"/>
                <w:color w:val="auto"/>
              </w:rPr>
            </w:pPr>
            <w:r>
              <w:rPr>
                <w:rFonts w:ascii="Arial" w:cs="Arial" w:eastAsia="Arial" w:hAnsi="Arial"/>
                <w:sz w:val="18"/>
                <w:szCs w:val="18"/>
                <w:b w:val="1"/>
                <w:bCs w:val="1"/>
                <w:color w:val="auto"/>
              </w:rPr>
              <w:t>June 30,</w:t>
            </w:r>
          </w:p>
        </w:tc>
        <w:tc>
          <w:tcPr>
            <w:tcW w:w="9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3"/>
          </w:tcPr>
          <w:p>
            <w:pPr>
              <w:jc w:val="right"/>
              <w:ind w:right="27"/>
              <w:spacing w:after="0"/>
              <w:rPr>
                <w:sz w:val="20"/>
                <w:szCs w:val="20"/>
                <w:color w:val="auto"/>
              </w:rPr>
            </w:pPr>
            <w:r>
              <w:rPr>
                <w:rFonts w:ascii="Arial" w:cs="Arial" w:eastAsia="Arial" w:hAnsi="Arial"/>
                <w:sz w:val="18"/>
                <w:szCs w:val="18"/>
                <w:b w:val="1"/>
                <w:bCs w:val="1"/>
                <w:color w:val="auto"/>
              </w:rPr>
              <w:t>June 30,</w:t>
            </w:r>
          </w:p>
        </w:tc>
        <w:tc>
          <w:tcPr>
            <w:tcW w:w="98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r>
      <w:tr>
        <w:trPr>
          <w:trHeight w:val="221"/>
        </w:trPr>
        <w:tc>
          <w:tcPr>
            <w:tcW w:w="42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11"/>
              <w:spacing w:after="0"/>
              <w:rPr>
                <w:sz w:val="20"/>
                <w:szCs w:val="20"/>
                <w:color w:val="auto"/>
              </w:rPr>
            </w:pPr>
            <w:r>
              <w:rPr>
                <w:rFonts w:ascii="Arial" w:cs="Arial" w:eastAsia="Arial" w:hAnsi="Arial"/>
                <w:sz w:val="18"/>
                <w:szCs w:val="18"/>
                <w:b w:val="1"/>
                <w:bCs w:val="1"/>
                <w:color w:val="auto"/>
              </w:rPr>
              <w:t>2013</w:t>
            </w:r>
          </w:p>
        </w:tc>
        <w:tc>
          <w:tcPr>
            <w:tcW w:w="1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411"/>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31"/>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51"/>
              <w:spacing w:after="0"/>
              <w:rPr>
                <w:sz w:val="20"/>
                <w:szCs w:val="20"/>
                <w:color w:val="auto"/>
              </w:rPr>
            </w:pPr>
            <w:r>
              <w:rPr>
                <w:rFonts w:ascii="Arial" w:cs="Arial" w:eastAsia="Arial" w:hAnsi="Arial"/>
                <w:sz w:val="18"/>
                <w:szCs w:val="18"/>
                <w:b w:val="1"/>
                <w:bCs w:val="1"/>
                <w:color w:val="auto"/>
              </w:rPr>
              <w:t>2012</w:t>
            </w:r>
          </w:p>
        </w:tc>
        <w:tc>
          <w:tcPr>
            <w:tcW w:w="280" w:type="dxa"/>
            <w:vAlign w:val="bottom"/>
          </w:tcPr>
          <w:p>
            <w:pPr>
              <w:spacing w:after="0"/>
              <w:rPr>
                <w:sz w:val="19"/>
                <w:szCs w:val="19"/>
                <w:color w:val="auto"/>
              </w:rPr>
            </w:pPr>
          </w:p>
        </w:tc>
      </w:tr>
      <w:tr>
        <w:trPr>
          <w:trHeight w:val="414"/>
        </w:trPr>
        <w:tc>
          <w:tcPr>
            <w:tcW w:w="4280" w:type="dxa"/>
            <w:vAlign w:val="bottom"/>
          </w:tcPr>
          <w:p>
            <w:pPr>
              <w:ind w:left="300"/>
              <w:spacing w:after="0"/>
              <w:rPr>
                <w:sz w:val="20"/>
                <w:szCs w:val="20"/>
                <w:color w:val="auto"/>
              </w:rPr>
            </w:pPr>
            <w:r>
              <w:rPr>
                <w:rFonts w:ascii="Arial" w:cs="Arial" w:eastAsia="Arial" w:hAnsi="Arial"/>
                <w:sz w:val="18"/>
                <w:szCs w:val="18"/>
                <w:color w:val="auto"/>
              </w:rPr>
              <w:t>Net loss on sales</w:t>
            </w:r>
          </w:p>
        </w:tc>
        <w:tc>
          <w:tcPr>
            <w:tcW w:w="1740" w:type="dxa"/>
            <w:vAlign w:val="bottom"/>
            <w:gridSpan w:val="3"/>
          </w:tcPr>
          <w:p>
            <w:pPr>
              <w:jc w:val="right"/>
              <w:ind w:right="67"/>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2,945</w:t>
            </w:r>
          </w:p>
        </w:tc>
        <w:tc>
          <w:tcPr>
            <w:tcW w:w="420" w:type="dxa"/>
            <w:vAlign w:val="bottom"/>
            <w:gridSpan w:val="2"/>
          </w:tcPr>
          <w:p>
            <w:pPr>
              <w:jc w:val="right"/>
              <w:ind w:right="147"/>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(269)</w:t>
            </w:r>
          </w:p>
        </w:tc>
        <w:tc>
          <w:tcPr>
            <w:tcW w:w="340" w:type="dxa"/>
            <w:vAlign w:val="bottom"/>
            <w:gridSpan w:val="2"/>
          </w:tcPr>
          <w:p>
            <w:pPr>
              <w:jc w:val="right"/>
              <w:ind w:right="87"/>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3,050</w:t>
            </w:r>
          </w:p>
        </w:tc>
        <w:tc>
          <w:tcPr>
            <w:tcW w:w="420" w:type="dxa"/>
            <w:vAlign w:val="bottom"/>
            <w:gridSpan w:val="2"/>
          </w:tcPr>
          <w:p>
            <w:pPr>
              <w:jc w:val="right"/>
              <w:ind w:right="167"/>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(176)</w:t>
            </w:r>
          </w:p>
        </w:tc>
        <w:tc>
          <w:tcPr>
            <w:tcW w:w="280" w:type="dxa"/>
            <w:vAlign w:val="bottom"/>
          </w:tcPr>
          <w:p>
            <w:pPr>
              <w:spacing w:after="0"/>
              <w:rPr>
                <w:sz w:val="24"/>
                <w:szCs w:val="24"/>
                <w:color w:val="auto"/>
              </w:rPr>
            </w:pPr>
          </w:p>
        </w:tc>
      </w:tr>
      <w:tr>
        <w:trPr>
          <w:trHeight w:val="214"/>
        </w:trPr>
        <w:tc>
          <w:tcPr>
            <w:tcW w:w="4280" w:type="dxa"/>
            <w:vAlign w:val="bottom"/>
          </w:tcPr>
          <w:p>
            <w:pPr>
              <w:ind w:left="300"/>
              <w:spacing w:after="0"/>
              <w:rPr>
                <w:sz w:val="20"/>
                <w:szCs w:val="20"/>
                <w:color w:val="auto"/>
              </w:rPr>
            </w:pPr>
            <w:r>
              <w:rPr>
                <w:rFonts w:ascii="Arial" w:cs="Arial" w:eastAsia="Arial" w:hAnsi="Arial"/>
                <w:sz w:val="18"/>
                <w:szCs w:val="18"/>
                <w:color w:val="auto"/>
              </w:rPr>
              <w:t>Provision for unrealized losses</w:t>
            </w:r>
          </w:p>
        </w:tc>
        <w:tc>
          <w:tcPr>
            <w:tcW w:w="1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1,369</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1,008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2,410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3,119</w:t>
            </w:r>
          </w:p>
        </w:tc>
        <w:tc>
          <w:tcPr>
            <w:tcW w:w="280" w:type="dxa"/>
            <w:vAlign w:val="bottom"/>
          </w:tcPr>
          <w:p>
            <w:pPr>
              <w:spacing w:after="0"/>
              <w:rPr>
                <w:sz w:val="18"/>
                <w:szCs w:val="18"/>
                <w:color w:val="auto"/>
              </w:rPr>
            </w:pPr>
          </w:p>
        </w:tc>
      </w:tr>
      <w:tr>
        <w:trPr>
          <w:trHeight w:val="235"/>
        </w:trPr>
        <w:tc>
          <w:tcPr>
            <w:tcW w:w="4280" w:type="dxa"/>
            <w:vAlign w:val="bottom"/>
          </w:tcPr>
          <w:p>
            <w:pPr>
              <w:ind w:left="300"/>
              <w:spacing w:after="0"/>
              <w:rPr>
                <w:sz w:val="20"/>
                <w:szCs w:val="20"/>
                <w:color w:val="auto"/>
              </w:rPr>
            </w:pPr>
            <w:r>
              <w:rPr>
                <w:rFonts w:ascii="Arial" w:cs="Arial" w:eastAsia="Arial" w:hAnsi="Arial"/>
                <w:sz w:val="18"/>
                <w:szCs w:val="18"/>
                <w:color w:val="auto"/>
              </w:rPr>
              <w:t>Operating expenses</w:t>
            </w:r>
          </w:p>
        </w:tc>
        <w:tc>
          <w:tcPr>
            <w:tcW w:w="1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837</w:t>
            </w:r>
          </w:p>
        </w:tc>
        <w:tc>
          <w:tcPr>
            <w:tcW w:w="1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1,112</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2,024</w:t>
            </w: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2,733</w:t>
            </w:r>
          </w:p>
        </w:tc>
        <w:tc>
          <w:tcPr>
            <w:tcW w:w="280" w:type="dxa"/>
            <w:vAlign w:val="bottom"/>
          </w:tcPr>
          <w:p>
            <w:pPr>
              <w:spacing w:after="0"/>
              <w:rPr>
                <w:sz w:val="20"/>
                <w:szCs w:val="20"/>
                <w:color w:val="auto"/>
              </w:rPr>
            </w:pPr>
          </w:p>
        </w:tc>
      </w:tr>
      <w:tr>
        <w:trPr>
          <w:trHeight w:val="214"/>
        </w:trPr>
        <w:tc>
          <w:tcPr>
            <w:tcW w:w="4280" w:type="dxa"/>
            <w:vAlign w:val="bottom"/>
          </w:tcPr>
          <w:p>
            <w:pPr>
              <w:ind w:left="520"/>
              <w:spacing w:after="0"/>
              <w:rPr>
                <w:sz w:val="20"/>
                <w:szCs w:val="20"/>
                <w:color w:val="auto"/>
              </w:rPr>
            </w:pPr>
            <w:r>
              <w:rPr>
                <w:rFonts w:ascii="Arial" w:cs="Arial" w:eastAsia="Arial" w:hAnsi="Arial"/>
                <w:sz w:val="18"/>
                <w:szCs w:val="18"/>
                <w:color w:val="auto"/>
              </w:rPr>
              <w:t>Total foreclosed property expense</w:t>
            </w:r>
          </w:p>
        </w:tc>
        <w:tc>
          <w:tcPr>
            <w:tcW w:w="15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5,151</w:t>
            </w:r>
          </w:p>
        </w:tc>
        <w:tc>
          <w:tcPr>
            <w:tcW w:w="120" w:type="dxa"/>
            <w:vAlign w:val="bottom"/>
          </w:tcPr>
          <w:p>
            <w:pPr>
              <w:spacing w:after="0"/>
              <w:rPr>
                <w:sz w:val="18"/>
                <w:szCs w:val="18"/>
                <w:color w:val="auto"/>
              </w:rPr>
            </w:pPr>
          </w:p>
        </w:tc>
        <w:tc>
          <w:tcPr>
            <w:tcW w:w="300" w:type="dxa"/>
            <w:vAlign w:val="bottom"/>
            <w:tcBorders>
              <w:bottom w:val="single" w:sz="8" w:color="auto"/>
            </w:tcBorders>
          </w:tcPr>
          <w:p>
            <w:pPr>
              <w:jc w:val="right"/>
              <w:ind w:right="147"/>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1,851</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7,484</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67"/>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5,676</w:t>
            </w:r>
          </w:p>
        </w:tc>
        <w:tc>
          <w:tcPr>
            <w:tcW w:w="280" w:type="dxa"/>
            <w:vAlign w:val="bottom"/>
          </w:tcPr>
          <w:p>
            <w:pPr>
              <w:spacing w:after="0"/>
              <w:rPr>
                <w:sz w:val="18"/>
                <w:szCs w:val="18"/>
                <w:color w:val="auto"/>
              </w:rPr>
            </w:pPr>
          </w:p>
        </w:tc>
      </w:tr>
      <w:tr>
        <w:trPr>
          <w:trHeight w:val="20"/>
        </w:trPr>
        <w:tc>
          <w:tcPr>
            <w:tcW w:w="4280" w:type="dxa"/>
            <w:vAlign w:val="bottom"/>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662"/>
        </w:trPr>
        <w:tc>
          <w:tcPr>
            <w:tcW w:w="4280" w:type="dxa"/>
            <w:vAlign w:val="bottom"/>
            <w:tcBorders>
              <w:bottom w:val="single" w:sz="8" w:color="DCDCDC"/>
            </w:tcBorders>
          </w:tcPr>
          <w:p>
            <w:pPr>
              <w:spacing w:after="0"/>
              <w:rPr>
                <w:sz w:val="24"/>
                <w:szCs w:val="24"/>
                <w:color w:val="auto"/>
              </w:rPr>
            </w:pPr>
          </w:p>
        </w:tc>
        <w:tc>
          <w:tcPr>
            <w:tcW w:w="1740" w:type="dxa"/>
            <w:vAlign w:val="bottom"/>
            <w:tcBorders>
              <w:bottom w:val="single" w:sz="8" w:color="DCDCDC"/>
            </w:tcBorders>
            <w:gridSpan w:val="3"/>
          </w:tcPr>
          <w:p>
            <w:pPr>
              <w:jc w:val="right"/>
              <w:ind w:right="147"/>
              <w:spacing w:after="0"/>
              <w:rPr>
                <w:sz w:val="20"/>
                <w:szCs w:val="20"/>
                <w:color w:val="auto"/>
              </w:rPr>
            </w:pPr>
            <w:r>
              <w:rPr>
                <w:rFonts w:ascii="Arial" w:cs="Arial" w:eastAsia="Arial" w:hAnsi="Arial"/>
                <w:sz w:val="18"/>
                <w:szCs w:val="18"/>
                <w:color w:val="auto"/>
              </w:rPr>
              <w:t>22</w:t>
            </w:r>
          </w:p>
        </w:tc>
        <w:tc>
          <w:tcPr>
            <w:tcW w:w="1000" w:type="dxa"/>
            <w:vAlign w:val="bottom"/>
            <w:tcBorders>
              <w:bottom w:val="single" w:sz="8" w:color="DCDCDC"/>
            </w:tcBorders>
          </w:tcPr>
          <w:p>
            <w:pPr>
              <w:spacing w:after="0"/>
              <w:rPr>
                <w:sz w:val="24"/>
                <w:szCs w:val="24"/>
                <w:color w:val="auto"/>
              </w:rPr>
            </w:pPr>
          </w:p>
        </w:tc>
        <w:tc>
          <w:tcPr>
            <w:tcW w:w="120" w:type="dxa"/>
            <w:vAlign w:val="bottom"/>
            <w:tcBorders>
              <w:bottom w:val="single" w:sz="8" w:color="DCDCDC"/>
            </w:tcBorders>
          </w:tcPr>
          <w:p>
            <w:pPr>
              <w:spacing w:after="0"/>
              <w:rPr>
                <w:sz w:val="24"/>
                <w:szCs w:val="24"/>
                <w:color w:val="auto"/>
              </w:rPr>
            </w:pPr>
          </w:p>
        </w:tc>
        <w:tc>
          <w:tcPr>
            <w:tcW w:w="300" w:type="dxa"/>
            <w:vAlign w:val="bottom"/>
            <w:tcBorders>
              <w:bottom w:val="single" w:sz="8" w:color="DCDCDC"/>
            </w:tcBorders>
          </w:tcPr>
          <w:p>
            <w:pPr>
              <w:spacing w:after="0"/>
              <w:rPr>
                <w:sz w:val="24"/>
                <w:szCs w:val="24"/>
                <w:color w:val="auto"/>
              </w:rPr>
            </w:pPr>
          </w:p>
        </w:tc>
        <w:tc>
          <w:tcPr>
            <w:tcW w:w="940" w:type="dxa"/>
            <w:vAlign w:val="bottom"/>
            <w:tcBorders>
              <w:bottom w:val="single" w:sz="8" w:color="DCDCDC"/>
            </w:tcBorders>
          </w:tcPr>
          <w:p>
            <w:pPr>
              <w:spacing w:after="0"/>
              <w:rPr>
                <w:sz w:val="24"/>
                <w:szCs w:val="24"/>
                <w:color w:val="auto"/>
              </w:rPr>
            </w:pPr>
          </w:p>
        </w:tc>
        <w:tc>
          <w:tcPr>
            <w:tcW w:w="100" w:type="dxa"/>
            <w:vAlign w:val="bottom"/>
            <w:tcBorders>
              <w:bottom w:val="single" w:sz="8" w:color="DCDCDC"/>
            </w:tcBorders>
          </w:tcPr>
          <w:p>
            <w:pPr>
              <w:spacing w:after="0"/>
              <w:rPr>
                <w:sz w:val="24"/>
                <w:szCs w:val="24"/>
                <w:color w:val="auto"/>
              </w:rPr>
            </w:pPr>
          </w:p>
        </w:tc>
        <w:tc>
          <w:tcPr>
            <w:tcW w:w="240" w:type="dxa"/>
            <w:vAlign w:val="bottom"/>
            <w:tcBorders>
              <w:bottom w:val="single" w:sz="8" w:color="DCDCDC"/>
            </w:tcBorders>
          </w:tcPr>
          <w:p>
            <w:pPr>
              <w:spacing w:after="0"/>
              <w:rPr>
                <w:sz w:val="24"/>
                <w:szCs w:val="24"/>
                <w:color w:val="auto"/>
              </w:rPr>
            </w:pPr>
          </w:p>
        </w:tc>
        <w:tc>
          <w:tcPr>
            <w:tcW w:w="1020" w:type="dxa"/>
            <w:vAlign w:val="bottom"/>
            <w:tcBorders>
              <w:bottom w:val="single" w:sz="8" w:color="DCDCDC"/>
            </w:tcBorders>
          </w:tcPr>
          <w:p>
            <w:pPr>
              <w:spacing w:after="0"/>
              <w:rPr>
                <w:sz w:val="24"/>
                <w:szCs w:val="24"/>
                <w:color w:val="auto"/>
              </w:rPr>
            </w:pPr>
          </w:p>
        </w:tc>
        <w:tc>
          <w:tcPr>
            <w:tcW w:w="100" w:type="dxa"/>
            <w:vAlign w:val="bottom"/>
            <w:tcBorders>
              <w:bottom w:val="single" w:sz="8" w:color="DCDCDC"/>
            </w:tcBorders>
          </w:tcPr>
          <w:p>
            <w:pPr>
              <w:spacing w:after="0"/>
              <w:rPr>
                <w:sz w:val="24"/>
                <w:szCs w:val="24"/>
                <w:color w:val="auto"/>
              </w:rPr>
            </w:pPr>
          </w:p>
        </w:tc>
        <w:tc>
          <w:tcPr>
            <w:tcW w:w="320" w:type="dxa"/>
            <w:vAlign w:val="bottom"/>
            <w:tcBorders>
              <w:bottom w:val="single" w:sz="8" w:color="DCDCDC"/>
            </w:tcBorders>
          </w:tcPr>
          <w:p>
            <w:pPr>
              <w:spacing w:after="0"/>
              <w:rPr>
                <w:sz w:val="24"/>
                <w:szCs w:val="24"/>
                <w:color w:val="auto"/>
              </w:rPr>
            </w:pPr>
          </w:p>
        </w:tc>
        <w:tc>
          <w:tcPr>
            <w:tcW w:w="980" w:type="dxa"/>
            <w:vAlign w:val="bottom"/>
            <w:tcBorders>
              <w:bottom w:val="single" w:sz="8" w:color="DCDCDC"/>
            </w:tcBorders>
          </w:tcPr>
          <w:p>
            <w:pPr>
              <w:spacing w:after="0"/>
              <w:rPr>
                <w:sz w:val="24"/>
                <w:szCs w:val="24"/>
                <w:color w:val="auto"/>
              </w:rPr>
            </w:pPr>
          </w:p>
        </w:tc>
        <w:tc>
          <w:tcPr>
            <w:tcW w:w="280" w:type="dxa"/>
            <w:vAlign w:val="bottom"/>
            <w:tcBorders>
              <w:bottom w:val="single" w:sz="8" w:color="DCDCDC"/>
            </w:tcBorders>
          </w:tcPr>
          <w:p>
            <w:pPr>
              <w:spacing w:after="0"/>
              <w:rPr>
                <w:sz w:val="24"/>
                <w:szCs w:val="24"/>
                <w:color w:val="auto"/>
              </w:rPr>
            </w:pPr>
          </w:p>
        </w:tc>
      </w:tr>
    </w:tbl>
    <w:p>
      <w:pPr>
        <w:sectPr>
          <w:pgSz w:w="11900" w:h="16838" w:orient="portrait"/>
          <w:cols w:equalWidth="0" w:num="1">
            <w:col w:w="11420"/>
          </w:cols>
          <w:pgMar w:left="240" w:top="911" w:right="239" w:bottom="1440" w:gutter="0" w:footer="0" w:header="0"/>
        </w:sectPr>
      </w:pPr>
    </w:p>
    <w:bookmarkStart w:id="26" w:name="page27"/>
    <w:bookmarkEnd w:id="26"/>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Reclassifications Out of Accumulated Other Comprehensive Income</w:t>
      </w:r>
    </w:p>
    <w:p>
      <w:pPr>
        <w:spacing w:after="0" w:line="252"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following table presents the details regarding amounts reclassified out of accumulated other comprehensive income for the three and six months ended June 30, 2013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Amounts Reclassified from</w:t>
      </w:r>
    </w:p>
    <w:p>
      <w:pPr>
        <w:spacing w:after="0" w:line="2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Accumulated Other</w:t>
      </w:r>
    </w:p>
    <w:p>
      <w:pPr>
        <w:spacing w:after="0" w:line="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Comprehensive</w:t>
      </w:r>
    </w:p>
    <w:p>
      <w:pPr>
        <w:spacing w:after="0" w:line="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Income</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center"/>
              <w:ind w:right="151"/>
              <w:spacing w:after="0" w:line="204" w:lineRule="exact"/>
              <w:rPr>
                <w:sz w:val="20"/>
                <w:szCs w:val="20"/>
                <w:color w:val="auto"/>
              </w:rPr>
            </w:pPr>
            <w:r>
              <w:rPr>
                <w:rFonts w:ascii="Arial" w:cs="Arial" w:eastAsia="Arial" w:hAnsi="Arial"/>
                <w:sz w:val="18"/>
                <w:szCs w:val="18"/>
                <w:b w:val="1"/>
                <w:bCs w:val="1"/>
                <w:color w:val="auto"/>
                <w:w w:val="90"/>
              </w:rPr>
              <w:t>For the Six</w:t>
            </w:r>
          </w:p>
        </w:tc>
        <w:tc>
          <w:tcPr>
            <w:tcW w:w="220" w:type="dxa"/>
            <w:vAlign w:val="bottom"/>
          </w:tcPr>
          <w:p>
            <w:pPr>
              <w:spacing w:after="0"/>
              <w:rPr>
                <w:sz w:val="17"/>
                <w:szCs w:val="17"/>
                <w:color w:val="auto"/>
              </w:rPr>
            </w:pPr>
          </w:p>
        </w:tc>
        <w:tc>
          <w:tcPr>
            <w:tcW w:w="4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4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71"/>
              <w:spacing w:after="0"/>
              <w:rPr>
                <w:sz w:val="20"/>
                <w:szCs w:val="20"/>
                <w:color w:val="auto"/>
              </w:rPr>
            </w:pPr>
            <w:r>
              <w:rPr>
                <w:rFonts w:ascii="Arial" w:cs="Arial" w:eastAsia="Arial" w:hAnsi="Arial"/>
                <w:sz w:val="18"/>
                <w:szCs w:val="18"/>
                <w:b w:val="1"/>
                <w:bCs w:val="1"/>
                <w:color w:val="auto"/>
                <w:w w:val="95"/>
              </w:rPr>
              <w:t>For the Three</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0"/>
              </w:rPr>
              <w:t>Months</w:t>
            </w:r>
          </w:p>
        </w:tc>
        <w:tc>
          <w:tcPr>
            <w:tcW w:w="4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460" w:type="dxa"/>
            <w:vAlign w:val="bottom"/>
            <w:gridSpan w:val="2"/>
          </w:tcPr>
          <w:p>
            <w:pPr>
              <w:ind w:left="900"/>
              <w:spacing w:after="0"/>
              <w:rPr>
                <w:sz w:val="20"/>
                <w:szCs w:val="20"/>
                <w:color w:val="auto"/>
              </w:rPr>
            </w:pPr>
            <w:r>
              <w:rPr>
                <w:rFonts w:ascii="Arial" w:cs="Arial" w:eastAsia="Arial" w:hAnsi="Arial"/>
                <w:sz w:val="18"/>
                <w:szCs w:val="18"/>
                <w:b w:val="1"/>
                <w:bCs w:val="1"/>
                <w:color w:val="auto"/>
              </w:rPr>
              <w:t>Details about Accumulated Other</w:t>
            </w:r>
          </w:p>
        </w:tc>
        <w:tc>
          <w:tcPr>
            <w:tcW w:w="1280" w:type="dxa"/>
            <w:vAlign w:val="bottom"/>
            <w:gridSpan w:val="2"/>
          </w:tcPr>
          <w:p>
            <w:pPr>
              <w:ind w:left="20"/>
              <w:spacing w:after="0"/>
              <w:rPr>
                <w:sz w:val="20"/>
                <w:szCs w:val="20"/>
                <w:color w:val="auto"/>
              </w:rPr>
            </w:pPr>
            <w:r>
              <w:rPr>
                <w:rFonts w:ascii="Arial" w:cs="Arial" w:eastAsia="Arial" w:hAnsi="Arial"/>
                <w:sz w:val="18"/>
                <w:szCs w:val="18"/>
                <w:b w:val="1"/>
                <w:bCs w:val="1"/>
                <w:color w:val="auto"/>
                <w:w w:val="99"/>
              </w:rPr>
              <w:t>Months Ended</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0"/>
              </w:rPr>
              <w:t>Ended</w:t>
            </w:r>
          </w:p>
        </w:tc>
        <w:tc>
          <w:tcPr>
            <w:tcW w:w="4100" w:type="dxa"/>
            <w:vAlign w:val="bottom"/>
          </w:tcPr>
          <w:p>
            <w:pPr>
              <w:ind w:left="680"/>
              <w:spacing w:after="0"/>
              <w:rPr>
                <w:sz w:val="20"/>
                <w:szCs w:val="20"/>
                <w:color w:val="auto"/>
              </w:rPr>
            </w:pPr>
            <w:r>
              <w:rPr>
                <w:rFonts w:ascii="Arial" w:cs="Arial" w:eastAsia="Arial" w:hAnsi="Arial"/>
                <w:sz w:val="18"/>
                <w:szCs w:val="18"/>
                <w:b w:val="1"/>
                <w:bCs w:val="1"/>
                <w:color w:val="auto"/>
              </w:rPr>
              <w:t>Affected Line Item in the Statement</w:t>
            </w:r>
          </w:p>
        </w:tc>
        <w:tc>
          <w:tcPr>
            <w:tcW w:w="0" w:type="dxa"/>
            <w:vAlign w:val="bottom"/>
          </w:tcPr>
          <w:p>
            <w:pPr>
              <w:spacing w:after="0"/>
              <w:rPr>
                <w:sz w:val="1"/>
                <w:szCs w:val="1"/>
                <w:color w:val="auto"/>
              </w:rPr>
            </w:pPr>
          </w:p>
        </w:tc>
      </w:tr>
      <w:tr>
        <w:trPr>
          <w:trHeight w:val="239"/>
        </w:trPr>
        <w:tc>
          <w:tcPr>
            <w:tcW w:w="4340" w:type="dxa"/>
            <w:vAlign w:val="bottom"/>
            <w:tcBorders>
              <w:bottom w:val="single" w:sz="8" w:color="auto"/>
            </w:tcBorders>
          </w:tcPr>
          <w:p>
            <w:pPr>
              <w:ind w:left="780"/>
              <w:spacing w:after="0"/>
              <w:rPr>
                <w:sz w:val="20"/>
                <w:szCs w:val="20"/>
                <w:color w:val="auto"/>
              </w:rPr>
            </w:pPr>
            <w:r>
              <w:rPr>
                <w:rFonts w:ascii="Arial" w:cs="Arial" w:eastAsia="Arial" w:hAnsi="Arial"/>
                <w:sz w:val="18"/>
                <w:szCs w:val="18"/>
                <w:b w:val="1"/>
                <w:bCs w:val="1"/>
                <w:color w:val="auto"/>
              </w:rPr>
              <w:t>Comprehensive Income Components</w:t>
            </w:r>
          </w:p>
        </w:tc>
        <w:tc>
          <w:tcPr>
            <w:tcW w:w="120" w:type="dxa"/>
            <w:vAlign w:val="bottom"/>
          </w:tcPr>
          <w:p>
            <w:pPr>
              <w:spacing w:after="0"/>
              <w:rPr>
                <w:sz w:val="20"/>
                <w:szCs w:val="20"/>
                <w:color w:val="auto"/>
              </w:rPr>
            </w:pPr>
          </w:p>
        </w:tc>
        <w:tc>
          <w:tcPr>
            <w:tcW w:w="1280" w:type="dxa"/>
            <w:vAlign w:val="bottom"/>
            <w:tcBorders>
              <w:bottom w:val="single" w:sz="8" w:color="auto"/>
            </w:tcBorders>
            <w:gridSpan w:val="2"/>
          </w:tcPr>
          <w:p>
            <w:pPr>
              <w:jc w:val="right"/>
              <w:ind w:right="91"/>
              <w:spacing w:after="0"/>
              <w:rPr>
                <w:sz w:val="20"/>
                <w:szCs w:val="20"/>
                <w:color w:val="auto"/>
              </w:rPr>
            </w:pPr>
            <w:r>
              <w:rPr>
                <w:rFonts w:ascii="Arial" w:cs="Arial" w:eastAsia="Arial" w:hAnsi="Arial"/>
                <w:sz w:val="18"/>
                <w:szCs w:val="18"/>
                <w:b w:val="1"/>
                <w:bCs w:val="1"/>
                <w:color w:val="auto"/>
                <w:w w:val="92"/>
              </w:rPr>
              <w:t>June 30, 2013</w:t>
            </w:r>
          </w:p>
        </w:tc>
        <w:tc>
          <w:tcPr>
            <w:tcW w:w="120" w:type="dxa"/>
            <w:vAlign w:val="bottom"/>
          </w:tcPr>
          <w:p>
            <w:pPr>
              <w:spacing w:after="0"/>
              <w:rPr>
                <w:sz w:val="20"/>
                <w:szCs w:val="20"/>
                <w:color w:val="auto"/>
              </w:rPr>
            </w:pPr>
          </w:p>
        </w:tc>
        <w:tc>
          <w:tcPr>
            <w:tcW w:w="1240" w:type="dxa"/>
            <w:vAlign w:val="bottom"/>
            <w:tcBorders>
              <w:bottom w:val="single" w:sz="8" w:color="auto"/>
            </w:tcBorders>
            <w:gridSpan w:val="2"/>
          </w:tcPr>
          <w:p>
            <w:pPr>
              <w:jc w:val="center"/>
              <w:ind w:right="31"/>
              <w:spacing w:after="0"/>
              <w:rPr>
                <w:sz w:val="20"/>
                <w:szCs w:val="20"/>
                <w:color w:val="auto"/>
              </w:rPr>
            </w:pPr>
            <w:r>
              <w:rPr>
                <w:rFonts w:ascii="Arial" w:cs="Arial" w:eastAsia="Arial" w:hAnsi="Arial"/>
                <w:sz w:val="18"/>
                <w:szCs w:val="18"/>
                <w:b w:val="1"/>
                <w:bCs w:val="1"/>
                <w:color w:val="auto"/>
                <w:w w:val="88"/>
              </w:rPr>
              <w:t>June 30, 2013</w:t>
            </w:r>
          </w:p>
        </w:tc>
        <w:tc>
          <w:tcPr>
            <w:tcW w:w="220" w:type="dxa"/>
            <w:vAlign w:val="bottom"/>
          </w:tcPr>
          <w:p>
            <w:pPr>
              <w:spacing w:after="0"/>
              <w:rPr>
                <w:sz w:val="20"/>
                <w:szCs w:val="20"/>
                <w:color w:val="auto"/>
              </w:rPr>
            </w:pPr>
          </w:p>
        </w:tc>
        <w:tc>
          <w:tcPr>
            <w:tcW w:w="4100" w:type="dxa"/>
            <w:vAlign w:val="bottom"/>
            <w:tcBorders>
              <w:bottom w:val="single" w:sz="8" w:color="auto"/>
            </w:tcBorders>
          </w:tcPr>
          <w:p>
            <w:pPr>
              <w:ind w:left="860"/>
              <w:spacing w:after="0"/>
              <w:rPr>
                <w:sz w:val="20"/>
                <w:szCs w:val="20"/>
                <w:color w:val="auto"/>
              </w:rPr>
            </w:pPr>
            <w:r>
              <w:rPr>
                <w:rFonts w:ascii="Arial" w:cs="Arial" w:eastAsia="Arial" w:hAnsi="Arial"/>
                <w:sz w:val="18"/>
                <w:szCs w:val="18"/>
                <w:b w:val="1"/>
                <w:bCs w:val="1"/>
                <w:color w:val="auto"/>
              </w:rPr>
              <w:t>Where Net Income is Presented</w:t>
            </w:r>
          </w:p>
        </w:tc>
        <w:tc>
          <w:tcPr>
            <w:tcW w:w="0" w:type="dxa"/>
            <w:vAlign w:val="bottom"/>
          </w:tcPr>
          <w:p>
            <w:pPr>
              <w:spacing w:after="0"/>
              <w:rPr>
                <w:sz w:val="1"/>
                <w:szCs w:val="1"/>
                <w:color w:val="auto"/>
              </w:rPr>
            </w:pPr>
          </w:p>
        </w:tc>
      </w:tr>
      <w:tr>
        <w:trPr>
          <w:trHeight w:val="427"/>
        </w:trPr>
        <w:tc>
          <w:tcPr>
            <w:tcW w:w="4460" w:type="dxa"/>
            <w:vAlign w:val="bottom"/>
            <w:gridSpan w:val="2"/>
          </w:tcPr>
          <w:p>
            <w:pPr>
              <w:spacing w:after="0"/>
              <w:rPr>
                <w:sz w:val="20"/>
                <w:szCs w:val="20"/>
                <w:color w:val="auto"/>
              </w:rPr>
            </w:pPr>
            <w:r>
              <w:rPr>
                <w:rFonts w:ascii="Arial" w:cs="Arial" w:eastAsia="Arial" w:hAnsi="Arial"/>
                <w:sz w:val="18"/>
                <w:szCs w:val="18"/>
                <w:color w:val="auto"/>
                <w:w w:val="97"/>
              </w:rPr>
              <w:t>Unrealized (losses) gains on available-for-sale securities:</w:t>
            </w:r>
          </w:p>
        </w:tc>
        <w:tc>
          <w:tcPr>
            <w:tcW w:w="460" w:type="dxa"/>
            <w:vAlign w:val="bottom"/>
            <w:vMerge w:val="restart"/>
          </w:tcPr>
          <w:p>
            <w:pPr>
              <w:spacing w:after="0"/>
              <w:rPr>
                <w:sz w:val="20"/>
                <w:szCs w:val="20"/>
                <w:color w:val="auto"/>
              </w:rPr>
            </w:pPr>
            <w:r>
              <w:rPr>
                <w:rFonts w:ascii="Arial" w:cs="Arial" w:eastAsia="Arial" w:hAnsi="Arial"/>
                <w:sz w:val="18"/>
                <w:szCs w:val="18"/>
                <w:color w:val="auto"/>
              </w:rPr>
              <w:t>$</w:t>
            </w:r>
          </w:p>
        </w:tc>
        <w:tc>
          <w:tcPr>
            <w:tcW w:w="820" w:type="dxa"/>
            <w:vAlign w:val="bottom"/>
            <w:vMerge w:val="restart"/>
          </w:tcPr>
          <w:p>
            <w:pPr>
              <w:jc w:val="right"/>
              <w:ind w:right="31"/>
              <w:spacing w:after="0"/>
              <w:rPr>
                <w:sz w:val="20"/>
                <w:szCs w:val="20"/>
                <w:color w:val="auto"/>
              </w:rPr>
            </w:pPr>
            <w:r>
              <w:rPr>
                <w:rFonts w:ascii="Arial" w:cs="Arial" w:eastAsia="Arial" w:hAnsi="Arial"/>
                <w:sz w:val="18"/>
                <w:szCs w:val="18"/>
                <w:color w:val="auto"/>
              </w:rPr>
              <w:t>-</w:t>
            </w:r>
          </w:p>
        </w:tc>
        <w:tc>
          <w:tcPr>
            <w:tcW w:w="24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1120" w:type="dxa"/>
            <w:vAlign w:val="bottom"/>
            <w:vMerge w:val="restart"/>
          </w:tcPr>
          <w:p>
            <w:pPr>
              <w:jc w:val="right"/>
              <w:ind w:right="31"/>
              <w:spacing w:after="0"/>
              <w:rPr>
                <w:sz w:val="20"/>
                <w:szCs w:val="20"/>
                <w:color w:val="auto"/>
              </w:rPr>
            </w:pPr>
            <w:r>
              <w:rPr>
                <w:rFonts w:ascii="Arial" w:cs="Arial" w:eastAsia="Arial" w:hAnsi="Arial"/>
                <w:sz w:val="18"/>
                <w:szCs w:val="18"/>
                <w:color w:val="auto"/>
              </w:rPr>
              <w:t>116</w:t>
            </w:r>
          </w:p>
        </w:tc>
        <w:tc>
          <w:tcPr>
            <w:tcW w:w="220" w:type="dxa"/>
            <w:vAlign w:val="bottom"/>
          </w:tcPr>
          <w:p>
            <w:pPr>
              <w:spacing w:after="0"/>
              <w:rPr>
                <w:sz w:val="24"/>
                <w:szCs w:val="24"/>
                <w:color w:val="auto"/>
              </w:rPr>
            </w:pPr>
          </w:p>
        </w:tc>
        <w:tc>
          <w:tcPr>
            <w:tcW w:w="4100" w:type="dxa"/>
            <w:vAlign w:val="bottom"/>
            <w:vMerge w:val="restart"/>
          </w:tcPr>
          <w:p>
            <w:pPr>
              <w:spacing w:after="0"/>
              <w:rPr>
                <w:sz w:val="20"/>
                <w:szCs w:val="20"/>
                <w:color w:val="auto"/>
              </w:rPr>
            </w:pPr>
            <w:r>
              <w:rPr>
                <w:rFonts w:ascii="Arial" w:cs="Arial" w:eastAsia="Arial" w:hAnsi="Arial"/>
                <w:sz w:val="18"/>
                <w:szCs w:val="18"/>
                <w:color w:val="auto"/>
              </w:rPr>
              <w:t>Securities gains, net</w:t>
            </w:r>
          </w:p>
        </w:tc>
        <w:tc>
          <w:tcPr>
            <w:tcW w:w="0" w:type="dxa"/>
            <w:vAlign w:val="bottom"/>
          </w:tcPr>
          <w:p>
            <w:pPr>
              <w:spacing w:after="0"/>
              <w:rPr>
                <w:sz w:val="1"/>
                <w:szCs w:val="1"/>
                <w:color w:val="auto"/>
              </w:rPr>
            </w:pPr>
          </w:p>
        </w:tc>
      </w:tr>
      <w:tr>
        <w:trPr>
          <w:trHeight w:val="202"/>
        </w:trPr>
        <w:tc>
          <w:tcPr>
            <w:tcW w:w="4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vMerge w:val="continue"/>
          </w:tcPr>
          <w:p>
            <w:pPr>
              <w:spacing w:after="0"/>
              <w:rPr>
                <w:sz w:val="17"/>
                <w:szCs w:val="17"/>
                <w:color w:val="auto"/>
              </w:rPr>
            </w:pPr>
          </w:p>
        </w:tc>
        <w:tc>
          <w:tcPr>
            <w:tcW w:w="820" w:type="dxa"/>
            <w:vAlign w:val="bottom"/>
            <w:vMerge w:val="continue"/>
          </w:tcPr>
          <w:p>
            <w:pPr>
              <w:spacing w:after="0"/>
              <w:rPr>
                <w:sz w:val="17"/>
                <w:szCs w:val="17"/>
                <w:color w:val="auto"/>
              </w:rPr>
            </w:pPr>
          </w:p>
        </w:tc>
        <w:tc>
          <w:tcPr>
            <w:tcW w:w="240" w:type="dxa"/>
            <w:vAlign w:val="bottom"/>
            <w:gridSpan w:val="2"/>
            <w:vMerge w:val="continue"/>
          </w:tcPr>
          <w:p>
            <w:pPr>
              <w:spacing w:after="0"/>
              <w:rPr>
                <w:sz w:val="17"/>
                <w:szCs w:val="17"/>
                <w:color w:val="auto"/>
              </w:rPr>
            </w:pPr>
          </w:p>
        </w:tc>
        <w:tc>
          <w:tcPr>
            <w:tcW w:w="112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4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4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w:t>
            </w:r>
          </w:p>
        </w:tc>
        <w:tc>
          <w:tcPr>
            <w:tcW w:w="220" w:type="dxa"/>
            <w:vAlign w:val="bottom"/>
          </w:tcPr>
          <w:p>
            <w:pPr>
              <w:spacing w:after="0"/>
              <w:rPr>
                <w:sz w:val="20"/>
                <w:szCs w:val="20"/>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Tax (expense) or benefit</w:t>
            </w:r>
          </w:p>
        </w:tc>
        <w:tc>
          <w:tcPr>
            <w:tcW w:w="0" w:type="dxa"/>
            <w:vAlign w:val="bottom"/>
          </w:tcPr>
          <w:p>
            <w:pPr>
              <w:spacing w:after="0"/>
              <w:rPr>
                <w:sz w:val="1"/>
                <w:szCs w:val="1"/>
                <w:color w:val="auto"/>
              </w:rPr>
            </w:pPr>
          </w:p>
        </w:tc>
      </w:tr>
      <w:tr>
        <w:trPr>
          <w:trHeight w:val="214"/>
        </w:trPr>
        <w:tc>
          <w:tcPr>
            <w:tcW w:w="4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71</w:t>
            </w:r>
          </w:p>
        </w:tc>
        <w:tc>
          <w:tcPr>
            <w:tcW w:w="2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Net of tax</w:t>
            </w:r>
          </w:p>
        </w:tc>
        <w:tc>
          <w:tcPr>
            <w:tcW w:w="0" w:type="dxa"/>
            <w:vAlign w:val="bottom"/>
          </w:tcPr>
          <w:p>
            <w:pPr>
              <w:spacing w:after="0"/>
              <w:rPr>
                <w:sz w:val="1"/>
                <w:szCs w:val="1"/>
                <w:color w:val="auto"/>
              </w:rPr>
            </w:pPr>
          </w:p>
        </w:tc>
      </w:tr>
      <w:tr>
        <w:trPr>
          <w:trHeight w:val="20"/>
        </w:trPr>
        <w:tc>
          <w:tcPr>
            <w:tcW w:w="4460" w:type="dxa"/>
            <w:vAlign w:val="bottom"/>
            <w:gridSpan w:val="2"/>
          </w:tcPr>
          <w:p>
            <w:pPr>
              <w:spacing w:after="0" w:line="20" w:lineRule="exact"/>
              <w:rPr>
                <w:sz w:val="1"/>
                <w:szCs w:val="1"/>
                <w:color w:val="auto"/>
              </w:rPr>
            </w:pPr>
          </w:p>
        </w:tc>
        <w:tc>
          <w:tcPr>
            <w:tcW w:w="128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4320" w:type="dxa"/>
            <w:vAlign w:val="bottom"/>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08"/>
        </w:trPr>
        <w:tc>
          <w:tcPr>
            <w:tcW w:w="11420" w:type="dxa"/>
            <w:vAlign w:val="bottom"/>
            <w:gridSpan w:val="9"/>
          </w:tcPr>
          <w:p>
            <w:pPr>
              <w:spacing w:after="0"/>
              <w:rPr>
                <w:sz w:val="20"/>
                <w:szCs w:val="20"/>
                <w:color w:val="auto"/>
              </w:rPr>
            </w:pPr>
            <w:r>
              <w:rPr>
                <w:rFonts w:ascii="Arial" w:cs="Arial" w:eastAsia="Arial" w:hAnsi="Arial"/>
                <w:sz w:val="18"/>
                <w:szCs w:val="18"/>
                <w:color w:val="auto"/>
              </w:rPr>
              <w:t>Amortization of gains included in net income on available-for-sale securities transferred to held to maturity:</w:t>
            </w:r>
          </w:p>
        </w:tc>
        <w:tc>
          <w:tcPr>
            <w:tcW w:w="0" w:type="dxa"/>
            <w:vAlign w:val="bottom"/>
          </w:tcPr>
          <w:p>
            <w:pPr>
              <w:spacing w:after="0"/>
              <w:rPr>
                <w:sz w:val="1"/>
                <w:szCs w:val="1"/>
                <w:color w:val="auto"/>
              </w:rPr>
            </w:pPr>
          </w:p>
        </w:tc>
      </w:tr>
      <w:tr>
        <w:trPr>
          <w:trHeight w:val="214"/>
        </w:trPr>
        <w:tc>
          <w:tcPr>
            <w:tcW w:w="4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271</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590</w:t>
            </w:r>
          </w:p>
        </w:tc>
        <w:tc>
          <w:tcPr>
            <w:tcW w:w="2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Investment securities interest revenue</w:t>
            </w:r>
          </w:p>
        </w:tc>
        <w:tc>
          <w:tcPr>
            <w:tcW w:w="0" w:type="dxa"/>
            <w:vAlign w:val="bottom"/>
          </w:tcPr>
          <w:p>
            <w:pPr>
              <w:spacing w:after="0"/>
              <w:rPr>
                <w:sz w:val="1"/>
                <w:szCs w:val="1"/>
                <w:color w:val="auto"/>
              </w:rPr>
            </w:pPr>
          </w:p>
        </w:tc>
      </w:tr>
      <w:tr>
        <w:trPr>
          <w:trHeight w:val="235"/>
        </w:trPr>
        <w:tc>
          <w:tcPr>
            <w:tcW w:w="4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w:t>
            </w: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w:t>
            </w:r>
          </w:p>
        </w:tc>
        <w:tc>
          <w:tcPr>
            <w:tcW w:w="220" w:type="dxa"/>
            <w:vAlign w:val="bottom"/>
          </w:tcPr>
          <w:p>
            <w:pPr>
              <w:spacing w:after="0"/>
              <w:rPr>
                <w:sz w:val="20"/>
                <w:szCs w:val="20"/>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Tax (expense) or benefit</w:t>
            </w:r>
          </w:p>
        </w:tc>
        <w:tc>
          <w:tcPr>
            <w:tcW w:w="0" w:type="dxa"/>
            <w:vAlign w:val="bottom"/>
          </w:tcPr>
          <w:p>
            <w:pPr>
              <w:spacing w:after="0"/>
              <w:rPr>
                <w:sz w:val="1"/>
                <w:szCs w:val="1"/>
                <w:color w:val="auto"/>
              </w:rPr>
            </w:pPr>
          </w:p>
        </w:tc>
      </w:tr>
      <w:tr>
        <w:trPr>
          <w:trHeight w:val="214"/>
        </w:trPr>
        <w:tc>
          <w:tcPr>
            <w:tcW w:w="4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168</w:t>
            </w:r>
          </w:p>
        </w:tc>
        <w:tc>
          <w:tcPr>
            <w:tcW w:w="1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363</w:t>
            </w:r>
          </w:p>
        </w:tc>
        <w:tc>
          <w:tcPr>
            <w:tcW w:w="2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Net of tax</w:t>
            </w:r>
          </w:p>
        </w:tc>
        <w:tc>
          <w:tcPr>
            <w:tcW w:w="0" w:type="dxa"/>
            <w:vAlign w:val="bottom"/>
          </w:tcPr>
          <w:p>
            <w:pPr>
              <w:spacing w:after="0"/>
              <w:rPr>
                <w:sz w:val="1"/>
                <w:szCs w:val="1"/>
                <w:color w:val="auto"/>
              </w:rPr>
            </w:pPr>
          </w:p>
        </w:tc>
      </w:tr>
      <w:tr>
        <w:trPr>
          <w:trHeight w:val="20"/>
        </w:trPr>
        <w:tc>
          <w:tcPr>
            <w:tcW w:w="4460" w:type="dxa"/>
            <w:vAlign w:val="bottom"/>
            <w:gridSpan w:val="2"/>
          </w:tcPr>
          <w:p>
            <w:pPr>
              <w:spacing w:after="0" w:line="20" w:lineRule="exact"/>
              <w:rPr>
                <w:sz w:val="1"/>
                <w:szCs w:val="1"/>
                <w:color w:val="auto"/>
              </w:rPr>
            </w:pPr>
          </w:p>
        </w:tc>
        <w:tc>
          <w:tcPr>
            <w:tcW w:w="128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08"/>
        </w:trPr>
        <w:tc>
          <w:tcPr>
            <w:tcW w:w="7320" w:type="dxa"/>
            <w:vAlign w:val="bottom"/>
            <w:gridSpan w:val="8"/>
          </w:tcPr>
          <w:p>
            <w:pPr>
              <w:spacing w:after="0"/>
              <w:rPr>
                <w:sz w:val="20"/>
                <w:szCs w:val="20"/>
                <w:color w:val="auto"/>
              </w:rPr>
            </w:pPr>
            <w:r>
              <w:rPr>
                <w:rFonts w:ascii="Arial" w:cs="Arial" w:eastAsia="Arial" w:hAnsi="Arial"/>
                <w:sz w:val="18"/>
                <w:szCs w:val="18"/>
                <w:color w:val="auto"/>
                <w:w w:val="91"/>
              </w:rPr>
              <w:t>Gains included in net income on derivative financial instruments accounted for as cash flow hedges:</w:t>
            </w:r>
          </w:p>
        </w:tc>
        <w:tc>
          <w:tcPr>
            <w:tcW w:w="4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4460" w:type="dxa"/>
            <w:vAlign w:val="bottom"/>
            <w:gridSpan w:val="2"/>
          </w:tcPr>
          <w:p>
            <w:pPr>
              <w:ind w:left="480"/>
              <w:spacing w:after="0"/>
              <w:rPr>
                <w:sz w:val="20"/>
                <w:szCs w:val="20"/>
                <w:color w:val="auto"/>
              </w:rPr>
            </w:pPr>
            <w:r>
              <w:rPr>
                <w:rFonts w:ascii="Arial" w:cs="Arial" w:eastAsia="Arial" w:hAnsi="Arial"/>
                <w:sz w:val="18"/>
                <w:szCs w:val="18"/>
                <w:color w:val="auto"/>
              </w:rPr>
              <w:t>Effective portion of interest rate contracts</w:t>
            </w:r>
          </w:p>
        </w:tc>
        <w:tc>
          <w:tcPr>
            <w:tcW w:w="460" w:type="dxa"/>
            <w:vAlign w:val="bottom"/>
          </w:tcPr>
          <w:p>
            <w:pPr>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303</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840</w:t>
            </w:r>
          </w:p>
        </w:tc>
        <w:tc>
          <w:tcPr>
            <w:tcW w:w="2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Loan interest revenue</w:t>
            </w:r>
          </w:p>
        </w:tc>
        <w:tc>
          <w:tcPr>
            <w:tcW w:w="0" w:type="dxa"/>
            <w:vAlign w:val="bottom"/>
          </w:tcPr>
          <w:p>
            <w:pPr>
              <w:spacing w:after="0"/>
              <w:rPr>
                <w:sz w:val="1"/>
                <w:szCs w:val="1"/>
                <w:color w:val="auto"/>
              </w:rPr>
            </w:pPr>
          </w:p>
        </w:tc>
      </w:tr>
      <w:tr>
        <w:trPr>
          <w:trHeight w:val="235"/>
        </w:trPr>
        <w:tc>
          <w:tcPr>
            <w:tcW w:w="4460" w:type="dxa"/>
            <w:vAlign w:val="bottom"/>
            <w:gridSpan w:val="2"/>
          </w:tcPr>
          <w:p>
            <w:pPr>
              <w:ind w:left="480"/>
              <w:spacing w:after="0"/>
              <w:rPr>
                <w:sz w:val="20"/>
                <w:szCs w:val="20"/>
                <w:color w:val="auto"/>
              </w:rPr>
            </w:pPr>
            <w:r>
              <w:rPr>
                <w:rFonts w:ascii="Arial" w:cs="Arial" w:eastAsia="Arial" w:hAnsi="Arial"/>
                <w:sz w:val="18"/>
                <w:szCs w:val="18"/>
                <w:color w:val="auto"/>
              </w:rPr>
              <w:t>Ineffective portion of interest rate contracts</w:t>
            </w:r>
          </w:p>
        </w:tc>
        <w:tc>
          <w:tcPr>
            <w:tcW w:w="4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4</w:t>
            </w:r>
          </w:p>
        </w:tc>
        <w:tc>
          <w:tcPr>
            <w:tcW w:w="220" w:type="dxa"/>
            <w:vAlign w:val="bottom"/>
          </w:tcPr>
          <w:p>
            <w:pPr>
              <w:spacing w:after="0"/>
              <w:rPr>
                <w:sz w:val="20"/>
                <w:szCs w:val="20"/>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Other fee revenue</w:t>
            </w:r>
          </w:p>
        </w:tc>
        <w:tc>
          <w:tcPr>
            <w:tcW w:w="0" w:type="dxa"/>
            <w:vAlign w:val="bottom"/>
          </w:tcPr>
          <w:p>
            <w:pPr>
              <w:spacing w:after="0"/>
              <w:rPr>
                <w:sz w:val="1"/>
                <w:szCs w:val="1"/>
                <w:color w:val="auto"/>
              </w:rPr>
            </w:pPr>
          </w:p>
        </w:tc>
      </w:tr>
      <w:tr>
        <w:trPr>
          <w:trHeight w:val="200"/>
        </w:trPr>
        <w:tc>
          <w:tcPr>
            <w:tcW w:w="4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20" w:type="dxa"/>
            <w:vAlign w:val="bottom"/>
          </w:tcPr>
          <w:p>
            <w:pPr>
              <w:jc w:val="right"/>
              <w:ind w:right="31"/>
              <w:spacing w:after="0" w:line="200" w:lineRule="exact"/>
              <w:rPr>
                <w:sz w:val="20"/>
                <w:szCs w:val="20"/>
                <w:color w:val="auto"/>
              </w:rPr>
            </w:pPr>
            <w:r>
              <w:rPr>
                <w:rFonts w:ascii="Arial" w:cs="Arial" w:eastAsia="Arial" w:hAnsi="Arial"/>
                <w:sz w:val="18"/>
                <w:szCs w:val="18"/>
                <w:color w:val="auto"/>
              </w:rPr>
              <w:t>306</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right"/>
              <w:ind w:right="31"/>
              <w:spacing w:after="0" w:line="200" w:lineRule="exact"/>
              <w:rPr>
                <w:sz w:val="20"/>
                <w:szCs w:val="20"/>
                <w:color w:val="auto"/>
              </w:rPr>
            </w:pPr>
            <w:r>
              <w:rPr>
                <w:rFonts w:ascii="Arial" w:cs="Arial" w:eastAsia="Arial" w:hAnsi="Arial"/>
                <w:sz w:val="18"/>
                <w:szCs w:val="18"/>
                <w:color w:val="auto"/>
              </w:rPr>
              <w:t>844</w:t>
            </w:r>
          </w:p>
        </w:tc>
        <w:tc>
          <w:tcPr>
            <w:tcW w:w="220" w:type="dxa"/>
            <w:vAlign w:val="bottom"/>
          </w:tcPr>
          <w:p>
            <w:pPr>
              <w:spacing w:after="0"/>
              <w:rPr>
                <w:sz w:val="17"/>
                <w:szCs w:val="17"/>
                <w:color w:val="auto"/>
              </w:rPr>
            </w:pPr>
          </w:p>
        </w:tc>
        <w:tc>
          <w:tcPr>
            <w:tcW w:w="4100" w:type="dxa"/>
            <w:vAlign w:val="bottom"/>
          </w:tcPr>
          <w:p>
            <w:pPr>
              <w:spacing w:after="0" w:line="200" w:lineRule="exact"/>
              <w:rPr>
                <w:sz w:val="20"/>
                <w:szCs w:val="20"/>
                <w:color w:val="auto"/>
              </w:rPr>
            </w:pPr>
            <w:r>
              <w:rPr>
                <w:rFonts w:ascii="Arial" w:cs="Arial" w:eastAsia="Arial" w:hAnsi="Arial"/>
                <w:sz w:val="18"/>
                <w:szCs w:val="18"/>
                <w:color w:val="auto"/>
              </w:rPr>
              <w:t>Total before tax</w:t>
            </w:r>
          </w:p>
        </w:tc>
        <w:tc>
          <w:tcPr>
            <w:tcW w:w="0" w:type="dxa"/>
            <w:vAlign w:val="bottom"/>
          </w:tcPr>
          <w:p>
            <w:pPr>
              <w:spacing w:after="0"/>
              <w:rPr>
                <w:sz w:val="1"/>
                <w:szCs w:val="1"/>
                <w:color w:val="auto"/>
              </w:rPr>
            </w:pPr>
          </w:p>
        </w:tc>
      </w:tr>
      <w:tr>
        <w:trPr>
          <w:trHeight w:val="235"/>
        </w:trPr>
        <w:tc>
          <w:tcPr>
            <w:tcW w:w="4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w:t>
            </w: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(328)</w:t>
            </w:r>
          </w:p>
        </w:tc>
        <w:tc>
          <w:tcPr>
            <w:tcW w:w="220" w:type="dxa"/>
            <w:vAlign w:val="bottom"/>
          </w:tcPr>
          <w:p>
            <w:pPr>
              <w:spacing w:after="0"/>
              <w:rPr>
                <w:sz w:val="20"/>
                <w:szCs w:val="20"/>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Tax (expense) or benefit</w:t>
            </w:r>
          </w:p>
        </w:tc>
        <w:tc>
          <w:tcPr>
            <w:tcW w:w="0" w:type="dxa"/>
            <w:vAlign w:val="bottom"/>
          </w:tcPr>
          <w:p>
            <w:pPr>
              <w:spacing w:after="0"/>
              <w:rPr>
                <w:sz w:val="1"/>
                <w:szCs w:val="1"/>
                <w:color w:val="auto"/>
              </w:rPr>
            </w:pPr>
          </w:p>
        </w:tc>
      </w:tr>
      <w:tr>
        <w:trPr>
          <w:trHeight w:val="214"/>
        </w:trPr>
        <w:tc>
          <w:tcPr>
            <w:tcW w:w="4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187</w:t>
            </w:r>
          </w:p>
        </w:tc>
        <w:tc>
          <w:tcPr>
            <w:tcW w:w="1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516</w:t>
            </w:r>
          </w:p>
        </w:tc>
        <w:tc>
          <w:tcPr>
            <w:tcW w:w="2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Net of tax</w:t>
            </w:r>
          </w:p>
        </w:tc>
        <w:tc>
          <w:tcPr>
            <w:tcW w:w="0" w:type="dxa"/>
            <w:vAlign w:val="bottom"/>
          </w:tcPr>
          <w:p>
            <w:pPr>
              <w:spacing w:after="0"/>
              <w:rPr>
                <w:sz w:val="1"/>
                <w:szCs w:val="1"/>
                <w:color w:val="auto"/>
              </w:rPr>
            </w:pPr>
          </w:p>
        </w:tc>
      </w:tr>
      <w:tr>
        <w:trPr>
          <w:trHeight w:val="20"/>
        </w:trPr>
        <w:tc>
          <w:tcPr>
            <w:tcW w:w="4460" w:type="dxa"/>
            <w:vAlign w:val="bottom"/>
            <w:gridSpan w:val="2"/>
          </w:tcPr>
          <w:p>
            <w:pPr>
              <w:spacing w:after="0" w:line="20" w:lineRule="exact"/>
              <w:rPr>
                <w:sz w:val="1"/>
                <w:szCs w:val="1"/>
                <w:color w:val="auto"/>
              </w:rPr>
            </w:pPr>
          </w:p>
        </w:tc>
        <w:tc>
          <w:tcPr>
            <w:tcW w:w="128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4320" w:type="dxa"/>
            <w:vAlign w:val="bottom"/>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08"/>
        </w:trPr>
        <w:tc>
          <w:tcPr>
            <w:tcW w:w="11420" w:type="dxa"/>
            <w:vAlign w:val="bottom"/>
            <w:gridSpan w:val="9"/>
          </w:tcPr>
          <w:p>
            <w:pPr>
              <w:spacing w:after="0"/>
              <w:rPr>
                <w:sz w:val="20"/>
                <w:szCs w:val="20"/>
                <w:color w:val="auto"/>
              </w:rPr>
            </w:pPr>
            <w:r>
              <w:rPr>
                <w:rFonts w:ascii="Arial" w:cs="Arial" w:eastAsia="Arial" w:hAnsi="Arial"/>
                <w:sz w:val="18"/>
                <w:szCs w:val="18"/>
                <w:color w:val="auto"/>
              </w:rPr>
              <w:t>Amortization of prior service cost and actuarial losses included in net periodic pension cost for defined benefit pension plan</w:t>
            </w:r>
          </w:p>
        </w:tc>
        <w:tc>
          <w:tcPr>
            <w:tcW w:w="0" w:type="dxa"/>
            <w:vAlign w:val="bottom"/>
          </w:tcPr>
          <w:p>
            <w:pPr>
              <w:spacing w:after="0"/>
              <w:rPr>
                <w:sz w:val="1"/>
                <w:szCs w:val="1"/>
                <w:color w:val="auto"/>
              </w:rPr>
            </w:pPr>
          </w:p>
        </w:tc>
      </w:tr>
      <w:tr>
        <w:trPr>
          <w:trHeight w:val="214"/>
        </w:trPr>
        <w:tc>
          <w:tcPr>
            <w:tcW w:w="4460" w:type="dxa"/>
            <w:vAlign w:val="bottom"/>
            <w:gridSpan w:val="2"/>
          </w:tcPr>
          <w:p>
            <w:pPr>
              <w:ind w:left="480"/>
              <w:spacing w:after="0"/>
              <w:rPr>
                <w:sz w:val="20"/>
                <w:szCs w:val="20"/>
                <w:color w:val="auto"/>
              </w:rPr>
            </w:pPr>
            <w:r>
              <w:rPr>
                <w:rFonts w:ascii="Arial" w:cs="Arial" w:eastAsia="Arial" w:hAnsi="Arial"/>
                <w:sz w:val="18"/>
                <w:szCs w:val="18"/>
                <w:color w:val="auto"/>
              </w:rPr>
              <w:t>Prior service cost</w:t>
            </w:r>
          </w:p>
        </w:tc>
        <w:tc>
          <w:tcPr>
            <w:tcW w:w="460" w:type="dxa"/>
            <w:vAlign w:val="bottom"/>
          </w:tcPr>
          <w:p>
            <w:pPr>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(91)</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(181)</w:t>
            </w:r>
          </w:p>
        </w:tc>
        <w:tc>
          <w:tcPr>
            <w:tcW w:w="2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Salaries and employee benefits expense</w:t>
            </w:r>
          </w:p>
        </w:tc>
        <w:tc>
          <w:tcPr>
            <w:tcW w:w="0" w:type="dxa"/>
            <w:vAlign w:val="bottom"/>
          </w:tcPr>
          <w:p>
            <w:pPr>
              <w:spacing w:after="0"/>
              <w:rPr>
                <w:sz w:val="1"/>
                <w:szCs w:val="1"/>
                <w:color w:val="auto"/>
              </w:rPr>
            </w:pPr>
          </w:p>
        </w:tc>
      </w:tr>
      <w:tr>
        <w:trPr>
          <w:trHeight w:val="235"/>
        </w:trPr>
        <w:tc>
          <w:tcPr>
            <w:tcW w:w="4460" w:type="dxa"/>
            <w:vAlign w:val="bottom"/>
            <w:gridSpan w:val="2"/>
          </w:tcPr>
          <w:p>
            <w:pPr>
              <w:ind w:left="480"/>
              <w:spacing w:after="0"/>
              <w:rPr>
                <w:sz w:val="20"/>
                <w:szCs w:val="20"/>
                <w:color w:val="auto"/>
              </w:rPr>
            </w:pPr>
            <w:r>
              <w:rPr>
                <w:rFonts w:ascii="Arial" w:cs="Arial" w:eastAsia="Arial" w:hAnsi="Arial"/>
                <w:sz w:val="18"/>
                <w:szCs w:val="18"/>
                <w:color w:val="auto"/>
              </w:rPr>
              <w:t>Actuarial losses</w:t>
            </w:r>
          </w:p>
        </w:tc>
        <w:tc>
          <w:tcPr>
            <w:tcW w:w="4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w:t>
            </w:r>
          </w:p>
        </w:tc>
        <w:tc>
          <w:tcPr>
            <w:tcW w:w="220" w:type="dxa"/>
            <w:vAlign w:val="bottom"/>
          </w:tcPr>
          <w:p>
            <w:pPr>
              <w:spacing w:after="0"/>
              <w:rPr>
                <w:sz w:val="20"/>
                <w:szCs w:val="20"/>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Salaries and employee benefits expense</w:t>
            </w:r>
          </w:p>
        </w:tc>
        <w:tc>
          <w:tcPr>
            <w:tcW w:w="0" w:type="dxa"/>
            <w:vAlign w:val="bottom"/>
          </w:tcPr>
          <w:p>
            <w:pPr>
              <w:spacing w:after="0"/>
              <w:rPr>
                <w:sz w:val="1"/>
                <w:szCs w:val="1"/>
                <w:color w:val="auto"/>
              </w:rPr>
            </w:pPr>
          </w:p>
        </w:tc>
      </w:tr>
      <w:tr>
        <w:trPr>
          <w:trHeight w:val="200"/>
        </w:trPr>
        <w:tc>
          <w:tcPr>
            <w:tcW w:w="4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20" w:type="dxa"/>
            <w:vAlign w:val="bottom"/>
          </w:tcPr>
          <w:p>
            <w:pPr>
              <w:jc w:val="right"/>
              <w:spacing w:after="0" w:line="200" w:lineRule="exact"/>
              <w:rPr>
                <w:sz w:val="20"/>
                <w:szCs w:val="20"/>
                <w:color w:val="auto"/>
              </w:rPr>
            </w:pPr>
            <w:r>
              <w:rPr>
                <w:rFonts w:ascii="Arial" w:cs="Arial" w:eastAsia="Arial" w:hAnsi="Arial"/>
                <w:sz w:val="18"/>
                <w:szCs w:val="18"/>
                <w:color w:val="auto"/>
              </w:rPr>
              <w:t>(133)</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right"/>
              <w:spacing w:after="0" w:line="200" w:lineRule="exact"/>
              <w:rPr>
                <w:sz w:val="20"/>
                <w:szCs w:val="20"/>
                <w:color w:val="auto"/>
              </w:rPr>
            </w:pPr>
            <w:r>
              <w:rPr>
                <w:rFonts w:ascii="Arial" w:cs="Arial" w:eastAsia="Arial" w:hAnsi="Arial"/>
                <w:sz w:val="18"/>
                <w:szCs w:val="18"/>
                <w:color w:val="auto"/>
              </w:rPr>
              <w:t>(265)</w:t>
            </w:r>
          </w:p>
        </w:tc>
        <w:tc>
          <w:tcPr>
            <w:tcW w:w="220" w:type="dxa"/>
            <w:vAlign w:val="bottom"/>
          </w:tcPr>
          <w:p>
            <w:pPr>
              <w:spacing w:after="0"/>
              <w:rPr>
                <w:sz w:val="17"/>
                <w:szCs w:val="17"/>
                <w:color w:val="auto"/>
              </w:rPr>
            </w:pPr>
          </w:p>
        </w:tc>
        <w:tc>
          <w:tcPr>
            <w:tcW w:w="4100" w:type="dxa"/>
            <w:vAlign w:val="bottom"/>
          </w:tcPr>
          <w:p>
            <w:pPr>
              <w:spacing w:after="0" w:line="200" w:lineRule="exact"/>
              <w:rPr>
                <w:sz w:val="20"/>
                <w:szCs w:val="20"/>
                <w:color w:val="auto"/>
              </w:rPr>
            </w:pPr>
            <w:r>
              <w:rPr>
                <w:rFonts w:ascii="Arial" w:cs="Arial" w:eastAsia="Arial" w:hAnsi="Arial"/>
                <w:sz w:val="18"/>
                <w:szCs w:val="18"/>
                <w:color w:val="auto"/>
              </w:rPr>
              <w:t>Total before tax</w:t>
            </w:r>
          </w:p>
        </w:tc>
        <w:tc>
          <w:tcPr>
            <w:tcW w:w="0" w:type="dxa"/>
            <w:vAlign w:val="bottom"/>
          </w:tcPr>
          <w:p>
            <w:pPr>
              <w:spacing w:after="0"/>
              <w:rPr>
                <w:sz w:val="1"/>
                <w:szCs w:val="1"/>
                <w:color w:val="auto"/>
              </w:rPr>
            </w:pPr>
          </w:p>
        </w:tc>
      </w:tr>
      <w:tr>
        <w:trPr>
          <w:trHeight w:val="235"/>
        </w:trPr>
        <w:tc>
          <w:tcPr>
            <w:tcW w:w="4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52</w:t>
            </w: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103</w:t>
            </w:r>
          </w:p>
        </w:tc>
        <w:tc>
          <w:tcPr>
            <w:tcW w:w="220" w:type="dxa"/>
            <w:vAlign w:val="bottom"/>
          </w:tcPr>
          <w:p>
            <w:pPr>
              <w:spacing w:after="0"/>
              <w:rPr>
                <w:sz w:val="20"/>
                <w:szCs w:val="20"/>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Tax (expense) or benefit</w:t>
            </w:r>
          </w:p>
        </w:tc>
        <w:tc>
          <w:tcPr>
            <w:tcW w:w="0" w:type="dxa"/>
            <w:vAlign w:val="bottom"/>
          </w:tcPr>
          <w:p>
            <w:pPr>
              <w:spacing w:after="0"/>
              <w:rPr>
                <w:sz w:val="1"/>
                <w:szCs w:val="1"/>
                <w:color w:val="auto"/>
              </w:rPr>
            </w:pPr>
          </w:p>
        </w:tc>
      </w:tr>
      <w:tr>
        <w:trPr>
          <w:trHeight w:val="214"/>
        </w:trPr>
        <w:tc>
          <w:tcPr>
            <w:tcW w:w="4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w:t>
            </w:r>
          </w:p>
        </w:tc>
        <w:tc>
          <w:tcPr>
            <w:tcW w:w="1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w:t>
            </w:r>
          </w:p>
        </w:tc>
        <w:tc>
          <w:tcPr>
            <w:tcW w:w="2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Net of tax</w:t>
            </w:r>
          </w:p>
        </w:tc>
        <w:tc>
          <w:tcPr>
            <w:tcW w:w="0" w:type="dxa"/>
            <w:vAlign w:val="bottom"/>
          </w:tcPr>
          <w:p>
            <w:pPr>
              <w:spacing w:after="0"/>
              <w:rPr>
                <w:sz w:val="1"/>
                <w:szCs w:val="1"/>
                <w:color w:val="auto"/>
              </w:rPr>
            </w:pPr>
          </w:p>
        </w:tc>
      </w:tr>
      <w:tr>
        <w:trPr>
          <w:trHeight w:val="20"/>
        </w:trPr>
        <w:tc>
          <w:tcPr>
            <w:tcW w:w="4460" w:type="dxa"/>
            <w:vAlign w:val="bottom"/>
            <w:gridSpan w:val="2"/>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0"/>
        </w:trPr>
        <w:tc>
          <w:tcPr>
            <w:tcW w:w="4460" w:type="dxa"/>
            <w:vAlign w:val="bottom"/>
            <w:gridSpan w:val="2"/>
          </w:tcPr>
          <w:p>
            <w:pPr>
              <w:spacing w:after="0"/>
              <w:rPr>
                <w:sz w:val="20"/>
                <w:szCs w:val="20"/>
                <w:color w:val="auto"/>
              </w:rPr>
            </w:pPr>
            <w:r>
              <w:rPr>
                <w:rFonts w:ascii="Arial" w:cs="Arial" w:eastAsia="Arial" w:hAnsi="Arial"/>
                <w:sz w:val="18"/>
                <w:szCs w:val="18"/>
                <w:color w:val="auto"/>
              </w:rPr>
              <w:t>Total reclassifications for the period</w:t>
            </w:r>
          </w:p>
        </w:tc>
        <w:tc>
          <w:tcPr>
            <w:tcW w:w="460" w:type="dxa"/>
            <w:vAlign w:val="bottom"/>
          </w:tcPr>
          <w:p>
            <w:pPr>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31"/>
              <w:spacing w:after="0"/>
              <w:rPr>
                <w:sz w:val="20"/>
                <w:szCs w:val="20"/>
                <w:color w:val="auto"/>
              </w:rPr>
            </w:pPr>
            <w:r>
              <w:rPr>
                <w:rFonts w:ascii="Arial" w:cs="Arial" w:eastAsia="Arial" w:hAnsi="Arial"/>
                <w:sz w:val="18"/>
                <w:szCs w:val="18"/>
                <w:color w:val="auto"/>
              </w:rPr>
              <w:t>274</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788</w:t>
            </w:r>
          </w:p>
        </w:tc>
        <w:tc>
          <w:tcPr>
            <w:tcW w:w="220" w:type="dxa"/>
            <w:vAlign w:val="bottom"/>
          </w:tcPr>
          <w:p>
            <w:pPr>
              <w:spacing w:after="0"/>
              <w:rPr>
                <w:sz w:val="24"/>
                <w:szCs w:val="24"/>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Net of tax</w:t>
            </w:r>
          </w:p>
        </w:tc>
        <w:tc>
          <w:tcPr>
            <w:tcW w:w="0" w:type="dxa"/>
            <w:vAlign w:val="bottom"/>
          </w:tcPr>
          <w:p>
            <w:pPr>
              <w:spacing w:after="0"/>
              <w:rPr>
                <w:sz w:val="1"/>
                <w:szCs w:val="1"/>
                <w:color w:val="auto"/>
              </w:rPr>
            </w:pPr>
          </w:p>
        </w:tc>
      </w:tr>
      <w:tr>
        <w:trPr>
          <w:trHeight w:val="22"/>
        </w:trPr>
        <w:tc>
          <w:tcPr>
            <w:tcW w:w="4460" w:type="dxa"/>
            <w:vAlign w:val="bottom"/>
            <w:gridSpan w:val="2"/>
            <w:vMerge w:val="restart"/>
          </w:tcPr>
          <w:p>
            <w:pPr>
              <w:spacing w:after="0"/>
              <w:rPr>
                <w:sz w:val="20"/>
                <w:szCs w:val="20"/>
                <w:color w:val="auto"/>
              </w:rPr>
            </w:pPr>
            <w:r>
              <w:rPr>
                <w:rFonts w:ascii="Arial" w:cs="Arial" w:eastAsia="Arial" w:hAnsi="Arial"/>
                <w:sz w:val="18"/>
                <w:szCs w:val="18"/>
                <w:color w:val="auto"/>
              </w:rPr>
              <w:t>Amounts shown above in parentheses reduce earnings</w:t>
            </w:r>
          </w:p>
        </w:tc>
        <w:tc>
          <w:tcPr>
            <w:tcW w:w="4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0"/>
        </w:trPr>
        <w:tc>
          <w:tcPr>
            <w:tcW w:w="4460" w:type="dxa"/>
            <w:vAlign w:val="bottom"/>
            <w:gridSpan w:val="2"/>
            <w:vMerge w:val="continue"/>
          </w:tcPr>
          <w:p>
            <w:pPr>
              <w:spacing w:after="0"/>
              <w:rPr>
                <w:sz w:val="24"/>
                <w:szCs w:val="24"/>
                <w:color w:val="auto"/>
              </w:rPr>
            </w:pPr>
          </w:p>
        </w:tc>
        <w:tc>
          <w:tcPr>
            <w:tcW w:w="4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5"/>
        </w:trPr>
        <w:tc>
          <w:tcPr>
            <w:tcW w:w="4460" w:type="dxa"/>
            <w:vAlign w:val="bottom"/>
            <w:gridSpan w:val="2"/>
          </w:tcPr>
          <w:p>
            <w:pPr>
              <w:spacing w:after="0"/>
              <w:rPr>
                <w:sz w:val="20"/>
                <w:szCs w:val="20"/>
                <w:color w:val="auto"/>
              </w:rPr>
            </w:pPr>
            <w:r>
              <w:rPr>
                <w:rFonts w:ascii="Arial" w:cs="Arial" w:eastAsia="Arial" w:hAnsi="Arial"/>
                <w:sz w:val="18"/>
                <w:szCs w:val="18"/>
                <w:b w:val="1"/>
                <w:bCs w:val="1"/>
                <w:color w:val="auto"/>
              </w:rPr>
              <w:t>Note 8 – Earnings Per Share</w:t>
            </w:r>
          </w:p>
        </w:tc>
        <w:tc>
          <w:tcPr>
            <w:tcW w:w="4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2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United is required to report on the face of the consolidated statement of income, earnings per common share with and without the dilutive effects of potential common stock issuances from instruments such as options, convertible securities and warrants. Basic earnings per common share is based on the weighted average number of common shares outstanding during the period while the effects of potential common shares outstanding during the period are included in diluted earnings per common share.</w:t>
      </w:r>
    </w:p>
    <w:p>
      <w:pPr>
        <w:spacing w:after="0" w:line="215"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 xml:space="preserve">During the three and six months ended June 30, 2013 and 2012, United accrued dividends on preferred stock, including accretion of discounts, as shown in the following table </w:t>
      </w:r>
      <w:r>
        <w:rPr>
          <w:rFonts w:ascii="Arial" w:cs="Arial" w:eastAsia="Arial" w:hAnsi="Arial"/>
          <w:sz w:val="18"/>
          <w:szCs w:val="18"/>
          <w:i w:val="1"/>
          <w:iCs w:val="1"/>
          <w:color w:val="auto"/>
        </w:rPr>
        <w:t>(in thousands).</w:t>
      </w:r>
    </w:p>
    <w:p>
      <w:pPr>
        <w:spacing w:after="0" w:line="172" w:lineRule="exact"/>
        <w:rPr>
          <w:sz w:val="20"/>
          <w:szCs w:val="20"/>
          <w:color w:val="auto"/>
        </w:rPr>
      </w:pPr>
    </w:p>
    <w:tbl>
      <w:tblPr>
        <w:tblLayout w:type="fixed"/>
        <w:tblInd w:w="300" w:type="dxa"/>
        <w:tblCellMar>
          <w:top w:w="0" w:type="dxa"/>
          <w:left w:w="0" w:type="dxa"/>
          <w:bottom w:w="0" w:type="dxa"/>
          <w:right w:w="0" w:type="dxa"/>
        </w:tblCellMar>
      </w:tblPr>
      <w:tr>
        <w:trPr>
          <w:trHeight w:val="214"/>
        </w:trPr>
        <w:tc>
          <w:tcPr>
            <w:tcW w:w="5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0" w:type="dxa"/>
            <w:vAlign w:val="bottom"/>
            <w:gridSpan w:val="4"/>
          </w:tcPr>
          <w:p>
            <w:pPr>
              <w:jc w:val="right"/>
              <w:ind w:right="471"/>
              <w:spacing w:after="0"/>
              <w:rPr>
                <w:sz w:val="20"/>
                <w:szCs w:val="20"/>
                <w:color w:val="auto"/>
              </w:rPr>
            </w:pPr>
            <w:r>
              <w:rPr>
                <w:rFonts w:ascii="Arial" w:cs="Arial" w:eastAsia="Arial" w:hAnsi="Arial"/>
                <w:sz w:val="18"/>
                <w:szCs w:val="18"/>
                <w:b w:val="1"/>
                <w:bCs w:val="1"/>
                <w:color w:val="auto"/>
              </w:rPr>
              <w:t>Three Months Ended</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40" w:type="dxa"/>
            <w:vAlign w:val="bottom"/>
            <w:gridSpan w:val="4"/>
          </w:tcPr>
          <w:p>
            <w:pPr>
              <w:jc w:val="right"/>
              <w:ind w:right="551"/>
              <w:spacing w:after="0"/>
              <w:rPr>
                <w:sz w:val="20"/>
                <w:szCs w:val="20"/>
                <w:color w:val="auto"/>
              </w:rPr>
            </w:pPr>
            <w:r>
              <w:rPr>
                <w:rFonts w:ascii="Arial" w:cs="Arial" w:eastAsia="Arial" w:hAnsi="Arial"/>
                <w:sz w:val="18"/>
                <w:szCs w:val="18"/>
                <w:b w:val="1"/>
                <w:bCs w:val="1"/>
                <w:color w:val="auto"/>
              </w:rPr>
              <w:t>Six Months Ended</w:t>
            </w:r>
          </w:p>
        </w:tc>
      </w:tr>
      <w:tr>
        <w:trPr>
          <w:trHeight w:val="239"/>
        </w:trPr>
        <w:tc>
          <w:tcPr>
            <w:tcW w:w="5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3"/>
          </w:tcPr>
          <w:p>
            <w:pPr>
              <w:jc w:val="right"/>
              <w:ind w:right="11"/>
              <w:spacing w:after="0"/>
              <w:rPr>
                <w:sz w:val="20"/>
                <w:szCs w:val="20"/>
                <w:color w:val="auto"/>
              </w:rPr>
            </w:pPr>
            <w:r>
              <w:rPr>
                <w:rFonts w:ascii="Arial" w:cs="Arial" w:eastAsia="Arial" w:hAnsi="Arial"/>
                <w:sz w:val="18"/>
                <w:szCs w:val="18"/>
                <w:b w:val="1"/>
                <w:bCs w:val="1"/>
                <w:color w:val="auto"/>
              </w:rPr>
              <w:t>June 30</w:t>
            </w:r>
          </w:p>
        </w:tc>
        <w:tc>
          <w:tcPr>
            <w:tcW w:w="9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3"/>
          </w:tcPr>
          <w:p>
            <w:pPr>
              <w:jc w:val="right"/>
              <w:ind w:right="11"/>
              <w:spacing w:after="0"/>
              <w:rPr>
                <w:sz w:val="20"/>
                <w:szCs w:val="20"/>
                <w:color w:val="auto"/>
              </w:rPr>
            </w:pPr>
            <w:r>
              <w:rPr>
                <w:rFonts w:ascii="Arial" w:cs="Arial" w:eastAsia="Arial" w:hAnsi="Arial"/>
                <w:sz w:val="18"/>
                <w:szCs w:val="18"/>
                <w:b w:val="1"/>
                <w:bCs w:val="1"/>
                <w:color w:val="auto"/>
              </w:rPr>
              <w:t>June 30</w:t>
            </w:r>
          </w:p>
        </w:tc>
        <w:tc>
          <w:tcPr>
            <w:tcW w:w="940" w:type="dxa"/>
            <w:vAlign w:val="bottom"/>
            <w:tcBorders>
              <w:bottom w:val="single" w:sz="8" w:color="auto"/>
            </w:tcBorders>
          </w:tcPr>
          <w:p>
            <w:pPr>
              <w:spacing w:after="0"/>
              <w:rPr>
                <w:sz w:val="20"/>
                <w:szCs w:val="20"/>
                <w:color w:val="auto"/>
              </w:rPr>
            </w:pPr>
          </w:p>
        </w:tc>
      </w:tr>
      <w:tr>
        <w:trPr>
          <w:trHeight w:val="221"/>
        </w:trPr>
        <w:tc>
          <w:tcPr>
            <w:tcW w:w="5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31"/>
              <w:spacing w:after="0"/>
              <w:rPr>
                <w:sz w:val="20"/>
                <w:szCs w:val="20"/>
                <w:color w:val="auto"/>
              </w:rPr>
            </w:pPr>
            <w:r>
              <w:rPr>
                <w:rFonts w:ascii="Arial" w:cs="Arial" w:eastAsia="Arial" w:hAnsi="Arial"/>
                <w:sz w:val="18"/>
                <w:szCs w:val="18"/>
                <w:b w:val="1"/>
                <w:bCs w:val="1"/>
                <w:color w:val="auto"/>
              </w:rPr>
              <w:t>2013</w:t>
            </w:r>
          </w:p>
        </w:tc>
        <w:tc>
          <w:tcPr>
            <w:tcW w:w="1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11"/>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91"/>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411"/>
              <w:spacing w:after="0"/>
              <w:rPr>
                <w:sz w:val="20"/>
                <w:szCs w:val="20"/>
                <w:color w:val="auto"/>
              </w:rPr>
            </w:pPr>
            <w:r>
              <w:rPr>
                <w:rFonts w:ascii="Arial" w:cs="Arial" w:eastAsia="Arial" w:hAnsi="Arial"/>
                <w:sz w:val="18"/>
                <w:szCs w:val="18"/>
                <w:b w:val="1"/>
                <w:bCs w:val="1"/>
                <w:color w:val="auto"/>
              </w:rPr>
              <w:t>2012</w:t>
            </w:r>
          </w:p>
        </w:tc>
      </w:tr>
      <w:tr>
        <w:trPr>
          <w:trHeight w:val="414"/>
        </w:trPr>
        <w:tc>
          <w:tcPr>
            <w:tcW w:w="5780" w:type="dxa"/>
            <w:vAlign w:val="bottom"/>
          </w:tcPr>
          <w:p>
            <w:pPr>
              <w:spacing w:after="0"/>
              <w:rPr>
                <w:sz w:val="20"/>
                <w:szCs w:val="20"/>
                <w:color w:val="auto"/>
              </w:rPr>
            </w:pPr>
            <w:r>
              <w:rPr>
                <w:rFonts w:ascii="Arial" w:cs="Arial" w:eastAsia="Arial" w:hAnsi="Arial"/>
                <w:sz w:val="18"/>
                <w:szCs w:val="18"/>
                <w:color w:val="auto"/>
              </w:rPr>
              <w:t>Series A - 6% fixed</w:t>
            </w:r>
          </w:p>
        </w:tc>
        <w:tc>
          <w:tcPr>
            <w:tcW w:w="260" w:type="dxa"/>
            <w:vAlign w:val="bottom"/>
            <w:gridSpan w:val="2"/>
          </w:tcPr>
          <w:p>
            <w:pPr>
              <w:jc w:val="right"/>
              <w:ind w:right="87"/>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3</w:t>
            </w:r>
          </w:p>
        </w:tc>
        <w:tc>
          <w:tcPr>
            <w:tcW w:w="400" w:type="dxa"/>
            <w:vAlign w:val="bottom"/>
            <w:gridSpan w:val="2"/>
          </w:tcPr>
          <w:p>
            <w:pPr>
              <w:jc w:val="right"/>
              <w:ind w:right="91"/>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3</w:t>
            </w:r>
          </w:p>
        </w:tc>
        <w:tc>
          <w:tcPr>
            <w:tcW w:w="340" w:type="dxa"/>
            <w:vAlign w:val="bottom"/>
            <w:gridSpan w:val="2"/>
          </w:tcPr>
          <w:p>
            <w:pPr>
              <w:jc w:val="right"/>
              <w:ind w:right="51"/>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6</w:t>
            </w:r>
          </w:p>
        </w:tc>
        <w:tc>
          <w:tcPr>
            <w:tcW w:w="400" w:type="dxa"/>
            <w:vAlign w:val="bottom"/>
            <w:gridSpan w:val="2"/>
          </w:tcPr>
          <w:p>
            <w:pPr>
              <w:jc w:val="right"/>
              <w:ind w:right="111"/>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6</w:t>
            </w:r>
          </w:p>
        </w:tc>
      </w:tr>
      <w:tr>
        <w:trPr>
          <w:trHeight w:val="214"/>
        </w:trPr>
        <w:tc>
          <w:tcPr>
            <w:tcW w:w="5780" w:type="dxa"/>
            <w:vAlign w:val="bottom"/>
          </w:tcPr>
          <w:p>
            <w:pPr>
              <w:spacing w:after="0"/>
              <w:rPr>
                <w:sz w:val="20"/>
                <w:szCs w:val="20"/>
                <w:color w:val="auto"/>
              </w:rPr>
            </w:pPr>
            <w:r>
              <w:rPr>
                <w:rFonts w:ascii="Arial" w:cs="Arial" w:eastAsia="Arial" w:hAnsi="Arial"/>
                <w:sz w:val="18"/>
                <w:szCs w:val="18"/>
                <w:color w:val="auto"/>
              </w:rPr>
              <w:t>Series B - 5% fixed until December 6, 2013, 9% thereafter</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2,636</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2,614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5,266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5,222</w:t>
            </w:r>
          </w:p>
        </w:tc>
      </w:tr>
      <w:tr>
        <w:trPr>
          <w:trHeight w:val="235"/>
        </w:trPr>
        <w:tc>
          <w:tcPr>
            <w:tcW w:w="5780" w:type="dxa"/>
            <w:vAlign w:val="bottom"/>
          </w:tcPr>
          <w:p>
            <w:pPr>
              <w:spacing w:after="0"/>
              <w:rPr>
                <w:sz w:val="20"/>
                <w:szCs w:val="20"/>
                <w:color w:val="auto"/>
              </w:rPr>
            </w:pPr>
            <w:r>
              <w:rPr>
                <w:rFonts w:ascii="Arial" w:cs="Arial" w:eastAsia="Arial" w:hAnsi="Arial"/>
                <w:sz w:val="18"/>
                <w:szCs w:val="18"/>
                <w:color w:val="auto"/>
              </w:rPr>
              <w:t>Series D - LIBOR plus 9.6875%, resets quarterly</w:t>
            </w:r>
          </w:p>
        </w:tc>
        <w:tc>
          <w:tcPr>
            <w:tcW w:w="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416</w:t>
            </w:r>
          </w:p>
        </w:tc>
        <w:tc>
          <w:tcPr>
            <w:tcW w:w="1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415</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835</w:t>
            </w: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834</w:t>
            </w:r>
          </w:p>
        </w:tc>
      </w:tr>
      <w:tr>
        <w:trPr>
          <w:trHeight w:val="214"/>
        </w:trPr>
        <w:tc>
          <w:tcPr>
            <w:tcW w:w="5780" w:type="dxa"/>
            <w:vAlign w:val="bottom"/>
          </w:tcPr>
          <w:p>
            <w:pPr>
              <w:ind w:left="220"/>
              <w:spacing w:after="0"/>
              <w:rPr>
                <w:sz w:val="20"/>
                <w:szCs w:val="20"/>
                <w:color w:val="auto"/>
              </w:rPr>
            </w:pPr>
            <w:r>
              <w:rPr>
                <w:rFonts w:ascii="Arial" w:cs="Arial" w:eastAsia="Arial" w:hAnsi="Arial"/>
                <w:sz w:val="18"/>
                <w:szCs w:val="18"/>
                <w:color w:val="auto"/>
              </w:rPr>
              <w:t>Total preferred stock dividends</w:t>
            </w:r>
          </w:p>
        </w:tc>
        <w:tc>
          <w:tcPr>
            <w:tcW w:w="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3,055</w:t>
            </w:r>
          </w:p>
        </w:tc>
        <w:tc>
          <w:tcPr>
            <w:tcW w:w="120" w:type="dxa"/>
            <w:vAlign w:val="bottom"/>
          </w:tcPr>
          <w:p>
            <w:pPr>
              <w:spacing w:after="0"/>
              <w:rPr>
                <w:sz w:val="18"/>
                <w:szCs w:val="18"/>
                <w:color w:val="auto"/>
              </w:rPr>
            </w:pPr>
          </w:p>
        </w:tc>
        <w:tc>
          <w:tcPr>
            <w:tcW w:w="28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3,032</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6,107</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11"/>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6,062</w:t>
            </w:r>
          </w:p>
        </w:tc>
      </w:tr>
      <w:tr>
        <w:trPr>
          <w:trHeight w:val="20"/>
        </w:trPr>
        <w:tc>
          <w:tcPr>
            <w:tcW w:w="5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All preferred stock dividends are payable quarterly.</w:t>
      </w:r>
    </w:p>
    <w:p>
      <w:pPr>
        <w:spacing w:after="0" w:line="2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Series B preferred stock was issued at a discount. Dividend amounts shown include discount accretion for each period.</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13970</wp:posOffset>
            </wp:positionV>
            <wp:extent cx="724789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7890" cy="8255"/>
                    </a:xfrm>
                    <a:prstGeom prst="rect">
                      <a:avLst/>
                    </a:prstGeom>
                    <a:noFill/>
                  </pic:spPr>
                </pic:pic>
              </a:graphicData>
            </a:graphic>
          </wp:anchor>
        </w:drawing>
      </w:r>
    </w:p>
    <w:p>
      <w:pPr>
        <w:sectPr>
          <w:pgSz w:w="11900" w:h="16838" w:orient="portrait"/>
          <w:cols w:equalWidth="0" w:num="1">
            <w:col w:w="11420"/>
          </w:cols>
          <w:pgMar w:left="240" w:top="911" w:right="239" w:bottom="40" w:gutter="0" w:footer="0" w:header="0"/>
        </w:sectPr>
      </w:pPr>
    </w:p>
    <w:bookmarkStart w:id="27" w:name="page28"/>
    <w:bookmarkEnd w:id="27"/>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9"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preferred stock dividends were subtracted from net income in order to arrive at net income available to common shareholders. There were no dilutive securities outstanding for the three and six months ended June 30, 2013 and 2012.</w:t>
      </w:r>
    </w:p>
    <w:p>
      <w:pPr>
        <w:spacing w:after="0" w:line="202"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 xml:space="preserve">The following table sets forth the computation of basic and diluted earnings per share for the three and six months ended June 30, 2013 and 2012 </w:t>
      </w:r>
      <w:r>
        <w:rPr>
          <w:rFonts w:ascii="Arial" w:cs="Arial" w:eastAsia="Arial" w:hAnsi="Arial"/>
          <w:sz w:val="18"/>
          <w:szCs w:val="18"/>
          <w:i w:val="1"/>
          <w:iCs w:val="1"/>
          <w:color w:val="auto"/>
        </w:rPr>
        <w:t>(in</w:t>
      </w:r>
      <w:r>
        <w:rPr>
          <w:rFonts w:ascii="Arial" w:cs="Arial" w:eastAsia="Arial" w:hAnsi="Arial"/>
          <w:sz w:val="18"/>
          <w:szCs w:val="18"/>
          <w:color w:val="auto"/>
        </w:rPr>
        <w:t xml:space="preserve"> </w:t>
      </w:r>
      <w:r>
        <w:rPr>
          <w:rFonts w:ascii="Arial" w:cs="Arial" w:eastAsia="Arial" w:hAnsi="Arial"/>
          <w:sz w:val="18"/>
          <w:szCs w:val="18"/>
          <w:i w:val="1"/>
          <w:iCs w:val="1"/>
          <w:color w:val="auto"/>
        </w:rPr>
        <w:t>thousands, except per share data)</w:t>
      </w:r>
      <w:r>
        <w:rPr>
          <w:rFonts w:ascii="Arial" w:cs="Arial" w:eastAsia="Arial" w:hAnsi="Arial"/>
          <w:sz w:val="18"/>
          <w:szCs w:val="18"/>
          <w:color w:val="auto"/>
        </w:rPr>
        <w:t>.</w:t>
      </w:r>
    </w:p>
    <w:p>
      <w:pPr>
        <w:spacing w:after="0" w:line="172" w:lineRule="exact"/>
        <w:rPr>
          <w:sz w:val="20"/>
          <w:szCs w:val="20"/>
          <w:color w:val="auto"/>
        </w:rPr>
      </w:pPr>
    </w:p>
    <w:tbl>
      <w:tblPr>
        <w:tblLayout w:type="fixed"/>
        <w:tblInd w:w="620" w:type="dxa"/>
        <w:tblCellMar>
          <w:top w:w="0" w:type="dxa"/>
          <w:left w:w="0" w:type="dxa"/>
          <w:bottom w:w="0" w:type="dxa"/>
          <w:right w:w="0" w:type="dxa"/>
        </w:tblCellMar>
      </w:tblPr>
      <w:tr>
        <w:trPr>
          <w:trHeight w:val="214"/>
        </w:trPr>
        <w:tc>
          <w:tcPr>
            <w:tcW w:w="4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60" w:type="dxa"/>
            <w:vAlign w:val="bottom"/>
            <w:gridSpan w:val="4"/>
          </w:tcPr>
          <w:p>
            <w:pPr>
              <w:jc w:val="right"/>
              <w:ind w:right="451"/>
              <w:spacing w:after="0"/>
              <w:rPr>
                <w:sz w:val="20"/>
                <w:szCs w:val="20"/>
                <w:color w:val="auto"/>
              </w:rPr>
            </w:pPr>
            <w:r>
              <w:rPr>
                <w:rFonts w:ascii="Arial" w:cs="Arial" w:eastAsia="Arial" w:hAnsi="Arial"/>
                <w:sz w:val="18"/>
                <w:szCs w:val="18"/>
                <w:b w:val="1"/>
                <w:bCs w:val="1"/>
                <w:color w:val="auto"/>
              </w:rPr>
              <w:t>Three Months Ended</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60" w:type="dxa"/>
            <w:vAlign w:val="bottom"/>
            <w:gridSpan w:val="4"/>
          </w:tcPr>
          <w:p>
            <w:pPr>
              <w:jc w:val="right"/>
              <w:ind w:right="551"/>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39"/>
        </w:trPr>
        <w:tc>
          <w:tcPr>
            <w:tcW w:w="4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3"/>
          </w:tcPr>
          <w:p>
            <w:pPr>
              <w:jc w:val="right"/>
              <w:ind w:right="27"/>
              <w:spacing w:after="0"/>
              <w:rPr>
                <w:sz w:val="20"/>
                <w:szCs w:val="20"/>
                <w:color w:val="auto"/>
              </w:rPr>
            </w:pPr>
            <w:r>
              <w:rPr>
                <w:rFonts w:ascii="Arial" w:cs="Arial" w:eastAsia="Arial" w:hAnsi="Arial"/>
                <w:sz w:val="18"/>
                <w:szCs w:val="18"/>
                <w:b w:val="1"/>
                <w:bCs w:val="1"/>
                <w:color w:val="auto"/>
              </w:rPr>
              <w:t>June 30,</w:t>
            </w:r>
          </w:p>
        </w:tc>
        <w:tc>
          <w:tcPr>
            <w:tcW w:w="9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3"/>
          </w:tcPr>
          <w:p>
            <w:pPr>
              <w:jc w:val="right"/>
              <w:ind w:right="27"/>
              <w:spacing w:after="0"/>
              <w:rPr>
                <w:sz w:val="20"/>
                <w:szCs w:val="20"/>
                <w:color w:val="auto"/>
              </w:rPr>
            </w:pPr>
            <w:r>
              <w:rPr>
                <w:rFonts w:ascii="Arial" w:cs="Arial" w:eastAsia="Arial" w:hAnsi="Arial"/>
                <w:sz w:val="18"/>
                <w:szCs w:val="18"/>
                <w:b w:val="1"/>
                <w:bCs w:val="1"/>
                <w:color w:val="auto"/>
              </w:rPr>
              <w:t>June 30,</w:t>
            </w:r>
          </w:p>
        </w:tc>
        <w:tc>
          <w:tcPr>
            <w:tcW w:w="9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49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11"/>
              <w:spacing w:after="0"/>
              <w:rPr>
                <w:sz w:val="20"/>
                <w:szCs w:val="20"/>
                <w:color w:val="auto"/>
              </w:rPr>
            </w:pPr>
            <w:r>
              <w:rPr>
                <w:rFonts w:ascii="Arial" w:cs="Arial" w:eastAsia="Arial" w:hAnsi="Arial"/>
                <w:sz w:val="18"/>
                <w:szCs w:val="18"/>
                <w:b w:val="1"/>
                <w:bCs w:val="1"/>
                <w:color w:val="auto"/>
              </w:rPr>
              <w:t>2013</w:t>
            </w:r>
          </w:p>
        </w:tc>
        <w:tc>
          <w:tcPr>
            <w:tcW w:w="1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411"/>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11"/>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411"/>
              <w:spacing w:after="0"/>
              <w:rPr>
                <w:sz w:val="20"/>
                <w:szCs w:val="20"/>
                <w:color w:val="auto"/>
              </w:rPr>
            </w:pPr>
            <w:r>
              <w:rPr>
                <w:rFonts w:ascii="Arial" w:cs="Arial" w:eastAsia="Arial" w:hAnsi="Arial"/>
                <w:sz w:val="18"/>
                <w:szCs w:val="18"/>
                <w:b w:val="1"/>
                <w:bCs w:val="1"/>
                <w:color w:val="auto"/>
              </w:rPr>
              <w:t>2012</w:t>
            </w:r>
          </w:p>
        </w:tc>
        <w:tc>
          <w:tcPr>
            <w:tcW w:w="0" w:type="dxa"/>
            <w:vAlign w:val="bottom"/>
          </w:tcPr>
          <w:p>
            <w:pPr>
              <w:spacing w:after="0"/>
              <w:rPr>
                <w:sz w:val="1"/>
                <w:szCs w:val="1"/>
                <w:color w:val="auto"/>
              </w:rPr>
            </w:pPr>
          </w:p>
        </w:tc>
      </w:tr>
      <w:tr>
        <w:trPr>
          <w:trHeight w:val="427"/>
        </w:trPr>
        <w:tc>
          <w:tcPr>
            <w:tcW w:w="4920" w:type="dxa"/>
            <w:vAlign w:val="bottom"/>
          </w:tcPr>
          <w:p>
            <w:pPr>
              <w:spacing w:after="0"/>
              <w:rPr>
                <w:sz w:val="20"/>
                <w:szCs w:val="20"/>
                <w:color w:val="auto"/>
              </w:rPr>
            </w:pPr>
            <w:r>
              <w:rPr>
                <w:rFonts w:ascii="Arial" w:cs="Arial" w:eastAsia="Arial" w:hAnsi="Arial"/>
                <w:sz w:val="18"/>
                <w:szCs w:val="18"/>
                <w:color w:val="auto"/>
              </w:rPr>
              <w:t>Net income available to common shareholders</w:t>
            </w:r>
          </w:p>
        </w:tc>
        <w:tc>
          <w:tcPr>
            <w:tcW w:w="240" w:type="dxa"/>
            <w:vAlign w:val="bottom"/>
            <w:gridSpan w:val="2"/>
          </w:tcPr>
          <w:p>
            <w:pPr>
              <w:jc w:val="right"/>
              <w:ind w:right="110"/>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226,909</w:t>
            </w:r>
          </w:p>
        </w:tc>
        <w:tc>
          <w:tcPr>
            <w:tcW w:w="420" w:type="dxa"/>
            <w:vAlign w:val="bottom"/>
            <w:gridSpan w:val="2"/>
          </w:tcPr>
          <w:p>
            <w:pPr>
              <w:jc w:val="right"/>
              <w:ind w:right="147"/>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3,467</w:t>
            </w:r>
          </w:p>
        </w:tc>
        <w:tc>
          <w:tcPr>
            <w:tcW w:w="340" w:type="dxa"/>
            <w:vAlign w:val="bottom"/>
            <w:gridSpan w:val="2"/>
          </w:tcPr>
          <w:p>
            <w:pPr>
              <w:jc w:val="right"/>
              <w:ind w:right="51"/>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235,622</w:t>
            </w:r>
          </w:p>
        </w:tc>
        <w:tc>
          <w:tcPr>
            <w:tcW w:w="400" w:type="dxa"/>
            <w:vAlign w:val="bottom"/>
            <w:gridSpan w:val="2"/>
          </w:tcPr>
          <w:p>
            <w:pPr>
              <w:jc w:val="right"/>
              <w:ind w:right="147"/>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11,965</w:t>
            </w:r>
          </w:p>
        </w:tc>
        <w:tc>
          <w:tcPr>
            <w:tcW w:w="0" w:type="dxa"/>
            <w:vAlign w:val="bottom"/>
          </w:tcPr>
          <w:p>
            <w:pPr>
              <w:spacing w:after="0"/>
              <w:rPr>
                <w:sz w:val="1"/>
                <w:szCs w:val="1"/>
                <w:color w:val="auto"/>
              </w:rPr>
            </w:pPr>
          </w:p>
        </w:tc>
      </w:tr>
      <w:tr>
        <w:trPr>
          <w:trHeight w:val="22"/>
        </w:trPr>
        <w:tc>
          <w:tcPr>
            <w:tcW w:w="4920" w:type="dxa"/>
            <w:vAlign w:val="bottom"/>
            <w:vMerge w:val="restart"/>
          </w:tcPr>
          <w:p>
            <w:pPr>
              <w:spacing w:after="0"/>
              <w:rPr>
                <w:sz w:val="20"/>
                <w:szCs w:val="20"/>
                <w:color w:val="auto"/>
              </w:rPr>
            </w:pPr>
            <w:r>
              <w:rPr>
                <w:rFonts w:ascii="Arial" w:cs="Arial" w:eastAsia="Arial" w:hAnsi="Arial"/>
                <w:sz w:val="18"/>
                <w:szCs w:val="18"/>
                <w:b w:val="1"/>
                <w:bCs w:val="1"/>
                <w:color w:val="auto"/>
              </w:rPr>
              <w:t>Weighted average shares outstanding:</w:t>
            </w:r>
          </w:p>
        </w:tc>
        <w:tc>
          <w:tcPr>
            <w:tcW w:w="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08"/>
        </w:trPr>
        <w:tc>
          <w:tcPr>
            <w:tcW w:w="492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4920" w:type="dxa"/>
            <w:vAlign w:val="bottom"/>
          </w:tcPr>
          <w:p>
            <w:pPr>
              <w:ind w:left="180"/>
              <w:spacing w:after="0"/>
              <w:rPr>
                <w:sz w:val="20"/>
                <w:szCs w:val="20"/>
                <w:color w:val="auto"/>
              </w:rPr>
            </w:pPr>
            <w:r>
              <w:rPr>
                <w:rFonts w:ascii="Arial" w:cs="Arial" w:eastAsia="Arial" w:hAnsi="Arial"/>
                <w:sz w:val="18"/>
                <w:szCs w:val="18"/>
                <w:color w:val="auto"/>
              </w:rPr>
              <w:t>Basic</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58,141</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57,840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58,111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57,803</w:t>
            </w:r>
          </w:p>
        </w:tc>
        <w:tc>
          <w:tcPr>
            <w:tcW w:w="0" w:type="dxa"/>
            <w:vAlign w:val="bottom"/>
          </w:tcPr>
          <w:p>
            <w:pPr>
              <w:spacing w:after="0"/>
              <w:rPr>
                <w:sz w:val="1"/>
                <w:szCs w:val="1"/>
                <w:color w:val="auto"/>
              </w:rPr>
            </w:pPr>
          </w:p>
        </w:tc>
      </w:tr>
      <w:tr>
        <w:trPr>
          <w:trHeight w:val="214"/>
        </w:trPr>
        <w:tc>
          <w:tcPr>
            <w:tcW w:w="4920" w:type="dxa"/>
            <w:vAlign w:val="bottom"/>
          </w:tcPr>
          <w:p>
            <w:pPr>
              <w:ind w:left="180"/>
              <w:spacing w:after="0"/>
              <w:rPr>
                <w:sz w:val="20"/>
                <w:szCs w:val="20"/>
                <w:color w:val="auto"/>
              </w:rPr>
            </w:pPr>
            <w:r>
              <w:rPr>
                <w:rFonts w:ascii="Arial" w:cs="Arial" w:eastAsia="Arial" w:hAnsi="Arial"/>
                <w:sz w:val="18"/>
                <w:szCs w:val="18"/>
                <w:color w:val="auto"/>
              </w:rPr>
              <w:t>Effect of dilutive securities</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920" w:type="dxa"/>
            <w:vAlign w:val="bottom"/>
          </w:tcPr>
          <w:p>
            <w:pPr>
              <w:ind w:left="400"/>
              <w:spacing w:after="0"/>
              <w:rPr>
                <w:sz w:val="20"/>
                <w:szCs w:val="20"/>
                <w:color w:val="auto"/>
              </w:rPr>
            </w:pPr>
            <w:r>
              <w:rPr>
                <w:rFonts w:ascii="Arial" w:cs="Arial" w:eastAsia="Arial" w:hAnsi="Arial"/>
                <w:sz w:val="18"/>
                <w:szCs w:val="18"/>
                <w:color w:val="auto"/>
              </w:rPr>
              <w:t>Convertible securities</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4"/>
        </w:trPr>
        <w:tc>
          <w:tcPr>
            <w:tcW w:w="4920" w:type="dxa"/>
            <w:vAlign w:val="bottom"/>
          </w:tcPr>
          <w:p>
            <w:pPr>
              <w:ind w:left="400"/>
              <w:spacing w:after="0"/>
              <w:rPr>
                <w:sz w:val="20"/>
                <w:szCs w:val="20"/>
                <w:color w:val="auto"/>
              </w:rPr>
            </w:pPr>
            <w:r>
              <w:rPr>
                <w:rFonts w:ascii="Arial" w:cs="Arial" w:eastAsia="Arial" w:hAnsi="Arial"/>
                <w:sz w:val="18"/>
                <w:szCs w:val="18"/>
                <w:color w:val="auto"/>
              </w:rPr>
              <w:t>Stock options</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5"/>
        </w:trPr>
        <w:tc>
          <w:tcPr>
            <w:tcW w:w="4920" w:type="dxa"/>
            <w:vAlign w:val="bottom"/>
          </w:tcPr>
          <w:p>
            <w:pPr>
              <w:ind w:left="400"/>
              <w:spacing w:after="0"/>
              <w:rPr>
                <w:sz w:val="20"/>
                <w:szCs w:val="20"/>
                <w:color w:val="auto"/>
              </w:rPr>
            </w:pPr>
            <w:r>
              <w:rPr>
                <w:rFonts w:ascii="Arial" w:cs="Arial" w:eastAsia="Arial" w:hAnsi="Arial"/>
                <w:sz w:val="18"/>
                <w:szCs w:val="18"/>
                <w:color w:val="auto"/>
              </w:rPr>
              <w:t>Warrants</w:t>
            </w:r>
          </w:p>
        </w:tc>
        <w:tc>
          <w:tcPr>
            <w:tcW w:w="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4"/>
        </w:trPr>
        <w:tc>
          <w:tcPr>
            <w:tcW w:w="4920" w:type="dxa"/>
            <w:vAlign w:val="bottom"/>
          </w:tcPr>
          <w:p>
            <w:pPr>
              <w:ind w:left="180"/>
              <w:spacing w:after="0"/>
              <w:rPr>
                <w:sz w:val="20"/>
                <w:szCs w:val="20"/>
                <w:color w:val="auto"/>
              </w:rPr>
            </w:pPr>
            <w:r>
              <w:rPr>
                <w:rFonts w:ascii="Arial" w:cs="Arial" w:eastAsia="Arial" w:hAnsi="Arial"/>
                <w:sz w:val="18"/>
                <w:szCs w:val="18"/>
                <w:color w:val="auto"/>
              </w:rPr>
              <w:t>Diluted</w:t>
            </w:r>
          </w:p>
        </w:tc>
        <w:tc>
          <w:tcPr>
            <w:tcW w:w="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58,141</w:t>
            </w:r>
          </w:p>
        </w:tc>
        <w:tc>
          <w:tcPr>
            <w:tcW w:w="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57,840</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58,111</w:t>
            </w: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57,803</w:t>
            </w:r>
          </w:p>
        </w:tc>
        <w:tc>
          <w:tcPr>
            <w:tcW w:w="0" w:type="dxa"/>
            <w:vAlign w:val="bottom"/>
          </w:tcPr>
          <w:p>
            <w:pPr>
              <w:spacing w:after="0"/>
              <w:rPr>
                <w:sz w:val="1"/>
                <w:szCs w:val="1"/>
                <w:color w:val="auto"/>
              </w:rPr>
            </w:pPr>
          </w:p>
        </w:tc>
      </w:tr>
      <w:tr>
        <w:trPr>
          <w:trHeight w:val="20"/>
        </w:trPr>
        <w:tc>
          <w:tcPr>
            <w:tcW w:w="4920" w:type="dxa"/>
            <w:vAlign w:val="bottom"/>
            <w:vMerge w:val="restart"/>
          </w:tcPr>
          <w:p>
            <w:pPr>
              <w:spacing w:after="0"/>
              <w:rPr>
                <w:sz w:val="20"/>
                <w:szCs w:val="20"/>
                <w:color w:val="auto"/>
              </w:rPr>
            </w:pPr>
            <w:r>
              <w:rPr>
                <w:rFonts w:ascii="Arial" w:cs="Arial" w:eastAsia="Arial" w:hAnsi="Arial"/>
                <w:sz w:val="18"/>
                <w:szCs w:val="18"/>
                <w:b w:val="1"/>
                <w:bCs w:val="1"/>
                <w:color w:val="auto"/>
              </w:rPr>
              <w:t>Income per common share:</w:t>
            </w: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08"/>
        </w:trPr>
        <w:tc>
          <w:tcPr>
            <w:tcW w:w="492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7"/>
        </w:trPr>
        <w:tc>
          <w:tcPr>
            <w:tcW w:w="4920" w:type="dxa"/>
            <w:vAlign w:val="bottom"/>
          </w:tcPr>
          <w:p>
            <w:pPr>
              <w:ind w:left="180"/>
              <w:spacing w:after="0"/>
              <w:rPr>
                <w:sz w:val="20"/>
                <w:szCs w:val="20"/>
                <w:color w:val="auto"/>
              </w:rPr>
            </w:pPr>
            <w:r>
              <w:rPr>
                <w:rFonts w:ascii="Arial" w:cs="Arial" w:eastAsia="Arial" w:hAnsi="Arial"/>
                <w:sz w:val="18"/>
                <w:szCs w:val="18"/>
                <w:color w:val="auto"/>
              </w:rPr>
              <w:t>Basic</w:t>
            </w:r>
          </w:p>
        </w:tc>
        <w:tc>
          <w:tcPr>
            <w:tcW w:w="240" w:type="dxa"/>
            <w:vAlign w:val="bottom"/>
            <w:gridSpan w:val="2"/>
          </w:tcPr>
          <w:p>
            <w:pPr>
              <w:jc w:val="right"/>
              <w:ind w:right="110"/>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3.90</w:t>
            </w:r>
          </w:p>
        </w:tc>
        <w:tc>
          <w:tcPr>
            <w:tcW w:w="420" w:type="dxa"/>
            <w:vAlign w:val="bottom"/>
            <w:gridSpan w:val="2"/>
          </w:tcPr>
          <w:p>
            <w:pPr>
              <w:jc w:val="right"/>
              <w:ind w:right="147"/>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.06</w:t>
            </w:r>
          </w:p>
        </w:tc>
        <w:tc>
          <w:tcPr>
            <w:tcW w:w="340" w:type="dxa"/>
            <w:vAlign w:val="bottom"/>
            <w:gridSpan w:val="2"/>
          </w:tcPr>
          <w:p>
            <w:pPr>
              <w:jc w:val="right"/>
              <w:ind w:right="51"/>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4.05</w:t>
            </w:r>
          </w:p>
        </w:tc>
        <w:tc>
          <w:tcPr>
            <w:tcW w:w="400" w:type="dxa"/>
            <w:vAlign w:val="bottom"/>
            <w:gridSpan w:val="2"/>
          </w:tcPr>
          <w:p>
            <w:pPr>
              <w:jc w:val="right"/>
              <w:ind w:right="147"/>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2"/>
        </w:trPr>
        <w:tc>
          <w:tcPr>
            <w:tcW w:w="4920" w:type="dxa"/>
            <w:vAlign w:val="bottom"/>
            <w:vMerge w:val="restart"/>
          </w:tcPr>
          <w:p>
            <w:pPr>
              <w:ind w:left="180"/>
              <w:spacing w:after="0"/>
              <w:rPr>
                <w:sz w:val="20"/>
                <w:szCs w:val="20"/>
                <w:color w:val="auto"/>
              </w:rPr>
            </w:pPr>
            <w:r>
              <w:rPr>
                <w:rFonts w:ascii="Arial" w:cs="Arial" w:eastAsia="Arial" w:hAnsi="Arial"/>
                <w:sz w:val="18"/>
                <w:szCs w:val="18"/>
                <w:color w:val="auto"/>
              </w:rPr>
              <w:t>Diluted</w:t>
            </w:r>
          </w:p>
        </w:tc>
        <w:tc>
          <w:tcPr>
            <w:tcW w:w="20" w:type="dxa"/>
            <w:vAlign w:val="bottom"/>
            <w:tcBorders>
              <w:top w:val="single" w:sz="8" w:color="auto"/>
              <w:bottom w:val="single" w:sz="8" w:color="auto"/>
            </w:tcBorders>
            <w:vMerge w:val="restart"/>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8"/>
        </w:trPr>
        <w:tc>
          <w:tcPr>
            <w:tcW w:w="4920" w:type="dxa"/>
            <w:vAlign w:val="bottom"/>
            <w:vMerge w:val="continue"/>
          </w:tcPr>
          <w:p>
            <w:pPr>
              <w:spacing w:after="0"/>
              <w:rPr>
                <w:sz w:val="18"/>
                <w:szCs w:val="18"/>
                <w:color w:val="auto"/>
              </w:rPr>
            </w:pPr>
          </w:p>
        </w:tc>
        <w:tc>
          <w:tcPr>
            <w:tcW w:w="20" w:type="dxa"/>
            <w:vAlign w:val="bottom"/>
            <w:tcBorders>
              <w:bottom w:val="single" w:sz="8" w:color="auto"/>
            </w:tcBorders>
            <w:vMerge w:val="continue"/>
          </w:tcPr>
          <w:p>
            <w:pPr>
              <w:spacing w:after="0"/>
              <w:rPr>
                <w:sz w:val="18"/>
                <w:szCs w:val="18"/>
                <w:color w:val="auto"/>
              </w:rPr>
            </w:pPr>
          </w:p>
        </w:tc>
        <w:tc>
          <w:tcPr>
            <w:tcW w:w="220" w:type="dxa"/>
            <w:vAlign w:val="bottom"/>
            <w:tcBorders>
              <w:bottom w:val="single" w:sz="8" w:color="auto"/>
            </w:tcBorders>
          </w:tcPr>
          <w:p>
            <w:pPr>
              <w:jc w:val="right"/>
              <w:ind w:right="110"/>
              <w:spacing w:after="0"/>
              <w:rPr>
                <w:sz w:val="20"/>
                <w:szCs w:val="20"/>
                <w:color w:val="auto"/>
              </w:rPr>
            </w:pPr>
            <w:r>
              <w:rPr>
                <w:rFonts w:ascii="Arial" w:cs="Arial" w:eastAsia="Arial" w:hAnsi="Arial"/>
                <w:sz w:val="10"/>
                <w:szCs w:val="10"/>
                <w:color w:val="auto"/>
                <w:w w:val="71"/>
              </w:rPr>
              <w:t>$</w:t>
            </w:r>
          </w:p>
        </w:tc>
        <w:tc>
          <w:tcPr>
            <w:tcW w:w="10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3.90</w:t>
            </w:r>
          </w:p>
        </w:tc>
        <w:tc>
          <w:tcPr>
            <w:tcW w:w="120" w:type="dxa"/>
            <w:vAlign w:val="bottom"/>
            <w:vMerge w:val="continue"/>
          </w:tcPr>
          <w:p>
            <w:pPr>
              <w:spacing w:after="0"/>
              <w:rPr>
                <w:sz w:val="18"/>
                <w:szCs w:val="18"/>
                <w:color w:val="auto"/>
              </w:rPr>
            </w:pPr>
          </w:p>
        </w:tc>
        <w:tc>
          <w:tcPr>
            <w:tcW w:w="300" w:type="dxa"/>
            <w:vAlign w:val="bottom"/>
            <w:tcBorders>
              <w:bottom w:val="single" w:sz="8" w:color="auto"/>
            </w:tcBorders>
          </w:tcPr>
          <w:p>
            <w:pPr>
              <w:jc w:val="right"/>
              <w:ind w:right="147"/>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.06</w:t>
            </w:r>
          </w:p>
        </w:tc>
        <w:tc>
          <w:tcPr>
            <w:tcW w:w="100" w:type="dxa"/>
            <w:vAlign w:val="bottom"/>
            <w:vMerge w:val="continue"/>
          </w:tcPr>
          <w:p>
            <w:pPr>
              <w:spacing w:after="0"/>
              <w:rPr>
                <w:sz w:val="18"/>
                <w:szCs w:val="18"/>
                <w:color w:val="auto"/>
              </w:rPr>
            </w:pPr>
          </w:p>
        </w:tc>
        <w:tc>
          <w:tcPr>
            <w:tcW w:w="24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4.05</w:t>
            </w:r>
          </w:p>
        </w:tc>
        <w:tc>
          <w:tcPr>
            <w:tcW w:w="100" w:type="dxa"/>
            <w:vAlign w:val="bottom"/>
            <w:vMerge w:val="continue"/>
          </w:tcPr>
          <w:p>
            <w:pPr>
              <w:spacing w:after="0"/>
              <w:rPr>
                <w:sz w:val="18"/>
                <w:szCs w:val="18"/>
                <w:color w:val="auto"/>
              </w:rPr>
            </w:pPr>
          </w:p>
        </w:tc>
        <w:tc>
          <w:tcPr>
            <w:tcW w:w="300" w:type="dxa"/>
            <w:vAlign w:val="bottom"/>
            <w:tcBorders>
              <w:bottom w:val="single" w:sz="8" w:color="auto"/>
            </w:tcBorders>
          </w:tcPr>
          <w:p>
            <w:pPr>
              <w:jc w:val="right"/>
              <w:ind w:right="147"/>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7"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At June 30, 2013, United had the following potentially dilutive stock options and warrants outstanding: a warrant to purchase 219,909 common shares at $61.40 per share issued originally to the U.S. Treasury in conjunction with the issuance of United’s fixed rate cumulative preferred perpetual stock, Series B; 129,670 common shares issuable upon exercise of warrants attached to trust preferred securities with an exercise price of $100 per share; 407,372 common shares issuable upon exercise of stock options granted to employees with a weighted average exercise price of $100.90; 393,785 shares issuable upon completion of vesting of restricted stock awards; 1,411,765 common shares issuable upon exercise of warrants exercisable at a price equivalent to $21.25 per share granted to Fletcher International Ltd. (“Fletcher”) in connection with a 2010 asset purchase and sale agreement; and 1,551,126 common shares issuable upon exercise of warrants granted in connection with United’s tax benefits preservation plan, exercisable at $12.50 per share.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Derivatives and Hedging Activities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Management Objective of Using Derivatives</w:t>
      </w:r>
    </w:p>
    <w:p>
      <w:pPr>
        <w:spacing w:after="0" w:line="252"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United is exposed to certain risks arising from both its business operations and economic conditions. United principally manages its exposures to a wide variety of business and operational risks through management of its core business activities. United manages interest rate risk primarily by managing the amount, sources, and duration of its investment securities portfolio and wholesale funding and through the use of derivative financial instruments. Specifically, United enters into derivative financial instruments to manage exposures that arise from business activities that result in the receipt or payment of future known and uncertain cash amounts, the value of which are determined by interest rates. United’s derivative financial instruments are used to manage differences in the amount, timing, and duration of United’s known or expected cash receipts and its known or expected cash payments principally related to United’s loans, wholesale borrowings and deposits.</w:t>
      </w:r>
    </w:p>
    <w:p>
      <w:pPr>
        <w:spacing w:after="0" w:line="220"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In conjunction with the FASB’s fair value measurement guidance, United made an accounting policy election to measure the credit risk of its derivative financial instruments that are subject to master netting agreements on a net basis by counterparty portfolio.</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13970</wp:posOffset>
            </wp:positionV>
            <wp:extent cx="724789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7890" cy="8255"/>
                    </a:xfrm>
                    <a:prstGeom prst="rect">
                      <a:avLst/>
                    </a:prstGeom>
                    <a:noFill/>
                  </pic:spPr>
                </pic:pic>
              </a:graphicData>
            </a:graphic>
          </wp:anchor>
        </w:drawing>
      </w:r>
    </w:p>
    <w:p>
      <w:pPr>
        <w:sectPr>
          <w:pgSz w:w="11900" w:h="16838" w:orient="portrait"/>
          <w:cols w:equalWidth="0" w:num="1">
            <w:col w:w="11420"/>
          </w:cols>
          <w:pgMar w:left="240" w:top="911" w:right="239" w:bottom="1440" w:gutter="0" w:footer="0" w:header="0"/>
        </w:sectPr>
      </w:pPr>
    </w:p>
    <w:bookmarkStart w:id="28" w:name="page29"/>
    <w:bookmarkEnd w:id="28"/>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6"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 xml:space="preserve">The table below presents the fair value of United’s derivative financial instruments as well as their classification on the Consolidated Balance Sheet as of June 30, 2013, December 31, 2012 and June 30, 2012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Derivatives accounted for as hedges under ASC 815</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58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tcPr>
          <w:p>
            <w:pPr>
              <w:jc w:val="right"/>
              <w:ind w:right="531"/>
              <w:spacing w:after="0"/>
              <w:rPr>
                <w:sz w:val="20"/>
                <w:szCs w:val="20"/>
                <w:color w:val="auto"/>
              </w:rPr>
            </w:pPr>
            <w:r>
              <w:rPr>
                <w:rFonts w:ascii="Arial" w:cs="Arial" w:eastAsia="Arial" w:hAnsi="Arial"/>
                <w:sz w:val="18"/>
                <w:szCs w:val="18"/>
                <w:b w:val="1"/>
                <w:bCs w:val="1"/>
                <w:color w:val="auto"/>
              </w:rPr>
              <w:t>Fair Value</w:t>
            </w:r>
          </w:p>
        </w:tc>
        <w:tc>
          <w:tcPr>
            <w:tcW w:w="18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1780" w:type="dxa"/>
            <w:vAlign w:val="bottom"/>
          </w:tcPr>
          <w:p>
            <w:pPr>
              <w:jc w:val="center"/>
              <w:spacing w:after="0" w:line="196" w:lineRule="exact"/>
              <w:rPr>
                <w:sz w:val="20"/>
                <w:szCs w:val="20"/>
                <w:color w:val="auto"/>
              </w:rPr>
            </w:pPr>
            <w:r>
              <w:rPr>
                <w:rFonts w:ascii="Arial" w:cs="Arial" w:eastAsia="Arial" w:hAnsi="Arial"/>
                <w:sz w:val="18"/>
                <w:szCs w:val="18"/>
                <w:b w:val="1"/>
                <w:bCs w:val="1"/>
                <w:color w:val="auto"/>
                <w:w w:val="91"/>
              </w:rPr>
              <w:t>Interest Rate</w:t>
            </w:r>
          </w:p>
        </w:tc>
        <w:tc>
          <w:tcPr>
            <w:tcW w:w="360" w:type="dxa"/>
            <w:vAlign w:val="bottom"/>
          </w:tcPr>
          <w:p>
            <w:pPr>
              <w:spacing w:after="0"/>
              <w:rPr>
                <w:sz w:val="17"/>
                <w:szCs w:val="17"/>
                <w:color w:val="auto"/>
              </w:rPr>
            </w:pPr>
          </w:p>
        </w:tc>
        <w:tc>
          <w:tcPr>
            <w:tcW w:w="1780" w:type="dxa"/>
            <w:vAlign w:val="bottom"/>
          </w:tcPr>
          <w:p>
            <w:pPr>
              <w:jc w:val="center"/>
              <w:spacing w:after="0" w:line="196" w:lineRule="exact"/>
              <w:rPr>
                <w:sz w:val="20"/>
                <w:szCs w:val="20"/>
                <w:color w:val="auto"/>
              </w:rPr>
            </w:pPr>
            <w:r>
              <w:rPr>
                <w:rFonts w:ascii="Arial" w:cs="Arial" w:eastAsia="Arial" w:hAnsi="Arial"/>
                <w:sz w:val="18"/>
                <w:szCs w:val="18"/>
                <w:b w:val="1"/>
                <w:bCs w:val="1"/>
                <w:color w:val="auto"/>
                <w:w w:val="86"/>
              </w:rPr>
              <w:t>Balance Sheet</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0" w:type="dxa"/>
            <w:vAlign w:val="bottom"/>
          </w:tcPr>
          <w:p>
            <w:pPr>
              <w:jc w:val="center"/>
              <w:ind w:right="391"/>
              <w:spacing w:after="0" w:line="196" w:lineRule="exact"/>
              <w:rPr>
                <w:sz w:val="20"/>
                <w:szCs w:val="20"/>
                <w:color w:val="auto"/>
              </w:rPr>
            </w:pPr>
            <w:r>
              <w:rPr>
                <w:rFonts w:ascii="Arial" w:cs="Arial" w:eastAsia="Arial" w:hAnsi="Arial"/>
                <w:sz w:val="18"/>
                <w:szCs w:val="18"/>
                <w:b w:val="1"/>
                <w:bCs w:val="1"/>
                <w:color w:val="auto"/>
                <w:w w:val="88"/>
              </w:rPr>
              <w:t>June 30,</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00" w:type="dxa"/>
            <w:vAlign w:val="bottom"/>
          </w:tcPr>
          <w:p>
            <w:pPr>
              <w:jc w:val="center"/>
              <w:ind w:right="291"/>
              <w:spacing w:after="0" w:line="196" w:lineRule="exact"/>
              <w:rPr>
                <w:sz w:val="20"/>
                <w:szCs w:val="20"/>
                <w:color w:val="auto"/>
              </w:rPr>
            </w:pPr>
            <w:r>
              <w:rPr>
                <w:rFonts w:ascii="Arial" w:cs="Arial" w:eastAsia="Arial" w:hAnsi="Arial"/>
                <w:sz w:val="18"/>
                <w:szCs w:val="18"/>
                <w:b w:val="1"/>
                <w:bCs w:val="1"/>
                <w:color w:val="auto"/>
                <w:w w:val="88"/>
              </w:rPr>
              <w:t>December 31,</w:t>
            </w: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40" w:type="dxa"/>
            <w:vAlign w:val="bottom"/>
          </w:tcPr>
          <w:p>
            <w:pPr>
              <w:jc w:val="center"/>
              <w:ind w:right="431"/>
              <w:spacing w:after="0" w:line="196" w:lineRule="exact"/>
              <w:rPr>
                <w:sz w:val="20"/>
                <w:szCs w:val="20"/>
                <w:color w:val="auto"/>
              </w:rPr>
            </w:pPr>
            <w:r>
              <w:rPr>
                <w:rFonts w:ascii="Arial" w:cs="Arial" w:eastAsia="Arial" w:hAnsi="Arial"/>
                <w:sz w:val="18"/>
                <w:szCs w:val="18"/>
                <w:b w:val="1"/>
                <w:bCs w:val="1"/>
                <w:color w:val="auto"/>
                <w:w w:val="88"/>
              </w:rPr>
              <w:t>June 30,</w:t>
            </w:r>
          </w:p>
        </w:tc>
        <w:tc>
          <w:tcPr>
            <w:tcW w:w="0" w:type="dxa"/>
            <w:vAlign w:val="bottom"/>
          </w:tcPr>
          <w:p>
            <w:pPr>
              <w:spacing w:after="0"/>
              <w:rPr>
                <w:sz w:val="1"/>
                <w:szCs w:val="1"/>
                <w:color w:val="auto"/>
              </w:rPr>
            </w:pPr>
          </w:p>
        </w:tc>
      </w:tr>
      <w:tr>
        <w:trPr>
          <w:trHeight w:val="239"/>
        </w:trPr>
        <w:tc>
          <w:tcPr>
            <w:tcW w:w="580" w:type="dxa"/>
            <w:vAlign w:val="bottom"/>
          </w:tcPr>
          <w:p>
            <w:pPr>
              <w:spacing w:after="0"/>
              <w:rPr>
                <w:sz w:val="20"/>
                <w:szCs w:val="20"/>
                <w:color w:val="auto"/>
              </w:rPr>
            </w:pPr>
          </w:p>
        </w:tc>
        <w:tc>
          <w:tcPr>
            <w:tcW w:w="17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Products</w:t>
            </w:r>
          </w:p>
        </w:tc>
        <w:tc>
          <w:tcPr>
            <w:tcW w:w="360" w:type="dxa"/>
            <w:vAlign w:val="bottom"/>
          </w:tcPr>
          <w:p>
            <w:pPr>
              <w:spacing w:after="0"/>
              <w:rPr>
                <w:sz w:val="20"/>
                <w:szCs w:val="20"/>
                <w:color w:val="auto"/>
              </w:rPr>
            </w:pPr>
          </w:p>
        </w:tc>
        <w:tc>
          <w:tcPr>
            <w:tcW w:w="17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Location</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center"/>
              <w:ind w:right="391"/>
              <w:spacing w:after="0"/>
              <w:rPr>
                <w:sz w:val="20"/>
                <w:szCs w:val="20"/>
                <w:color w:val="auto"/>
              </w:rPr>
            </w:pPr>
            <w:r>
              <w:rPr>
                <w:rFonts w:ascii="Arial" w:cs="Arial" w:eastAsia="Arial" w:hAnsi="Arial"/>
                <w:sz w:val="18"/>
                <w:szCs w:val="18"/>
                <w:b w:val="1"/>
                <w:bCs w:val="1"/>
                <w:color w:val="auto"/>
                <w:w w:val="89"/>
              </w:rPr>
              <w:t>2013</w:t>
            </w:r>
          </w:p>
        </w:tc>
        <w:tc>
          <w:tcPr>
            <w:tcW w:w="1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tcPr>
          <w:p>
            <w:pPr>
              <w:jc w:val="center"/>
              <w:ind w:right="291"/>
              <w:spacing w:after="0"/>
              <w:rPr>
                <w:sz w:val="20"/>
                <w:szCs w:val="20"/>
                <w:color w:val="auto"/>
              </w:rPr>
            </w:pPr>
            <w:r>
              <w:rPr>
                <w:rFonts w:ascii="Arial" w:cs="Arial" w:eastAsia="Arial" w:hAnsi="Arial"/>
                <w:sz w:val="18"/>
                <w:szCs w:val="18"/>
                <w:b w:val="1"/>
                <w:bCs w:val="1"/>
                <w:color w:val="auto"/>
                <w:w w:val="89"/>
              </w:rPr>
              <w:t>2012</w:t>
            </w:r>
          </w:p>
        </w:tc>
        <w:tc>
          <w:tcPr>
            <w:tcW w:w="1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center"/>
              <w:ind w:right="431"/>
              <w:spacing w:after="0"/>
              <w:rPr>
                <w:sz w:val="20"/>
                <w:szCs w:val="20"/>
                <w:color w:val="auto"/>
              </w:rPr>
            </w:pPr>
            <w:r>
              <w:rPr>
                <w:rFonts w:ascii="Arial" w:cs="Arial" w:eastAsia="Arial" w:hAnsi="Arial"/>
                <w:sz w:val="18"/>
                <w:szCs w:val="18"/>
                <w:b w:val="1"/>
                <w:bCs w:val="1"/>
                <w:color w:val="auto"/>
                <w:w w:val="89"/>
              </w:rPr>
              <w:t>2012</w:t>
            </w:r>
          </w:p>
        </w:tc>
        <w:tc>
          <w:tcPr>
            <w:tcW w:w="0" w:type="dxa"/>
            <w:vAlign w:val="bottom"/>
          </w:tcPr>
          <w:p>
            <w:pPr>
              <w:spacing w:after="0"/>
              <w:rPr>
                <w:sz w:val="1"/>
                <w:szCs w:val="1"/>
                <w:color w:val="auto"/>
              </w:rPr>
            </w:pPr>
          </w:p>
        </w:tc>
      </w:tr>
      <w:tr>
        <w:trPr>
          <w:trHeight w:val="428"/>
        </w:trPr>
        <w:tc>
          <w:tcPr>
            <w:tcW w:w="2360" w:type="dxa"/>
            <w:vAlign w:val="bottom"/>
            <w:gridSpan w:val="2"/>
          </w:tcPr>
          <w:p>
            <w:pPr>
              <w:ind w:left="580"/>
              <w:spacing w:after="0"/>
              <w:rPr>
                <w:sz w:val="20"/>
                <w:szCs w:val="20"/>
                <w:color w:val="auto"/>
              </w:rPr>
            </w:pPr>
            <w:r>
              <w:rPr>
                <w:rFonts w:ascii="Arial" w:cs="Arial" w:eastAsia="Arial" w:hAnsi="Arial"/>
                <w:sz w:val="18"/>
                <w:szCs w:val="18"/>
                <w:color w:val="auto"/>
              </w:rPr>
              <w:t>Asset derivatives</w:t>
            </w:r>
          </w:p>
        </w:tc>
        <w:tc>
          <w:tcPr>
            <w:tcW w:w="2140" w:type="dxa"/>
            <w:vAlign w:val="bottom"/>
            <w:gridSpan w:val="2"/>
          </w:tcPr>
          <w:p>
            <w:pPr>
              <w:ind w:left="360"/>
              <w:spacing w:after="0"/>
              <w:rPr>
                <w:sz w:val="20"/>
                <w:szCs w:val="20"/>
                <w:color w:val="auto"/>
              </w:rPr>
            </w:pPr>
            <w:r>
              <w:rPr>
                <w:rFonts w:ascii="Arial" w:cs="Arial" w:eastAsia="Arial" w:hAnsi="Arial"/>
                <w:sz w:val="18"/>
                <w:szCs w:val="18"/>
                <w:color w:val="auto"/>
              </w:rPr>
              <w:t>Other assets</w:t>
            </w:r>
          </w:p>
        </w:tc>
        <w:tc>
          <w:tcPr>
            <w:tcW w:w="48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600" w:type="dxa"/>
            <w:vAlign w:val="bottom"/>
          </w:tcPr>
          <w:p>
            <w:pPr>
              <w:jc w:val="right"/>
              <w:ind w:right="71"/>
              <w:spacing w:after="0"/>
              <w:rPr>
                <w:sz w:val="20"/>
                <w:szCs w:val="20"/>
                <w:color w:val="auto"/>
              </w:rPr>
            </w:pPr>
            <w:r>
              <w:rPr>
                <w:rFonts w:ascii="Arial" w:cs="Arial" w:eastAsia="Arial" w:hAnsi="Arial"/>
                <w:sz w:val="18"/>
                <w:szCs w:val="18"/>
                <w:color w:val="auto"/>
              </w:rPr>
              <w:t>8,017</w:t>
            </w:r>
          </w:p>
        </w:tc>
        <w:tc>
          <w:tcPr>
            <w:tcW w:w="4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71"/>
              <w:spacing w:after="0"/>
              <w:rPr>
                <w:sz w:val="20"/>
                <w:szCs w:val="20"/>
                <w:color w:val="auto"/>
              </w:rPr>
            </w:pPr>
            <w:r>
              <w:rPr>
                <w:rFonts w:ascii="Arial" w:cs="Arial" w:eastAsia="Arial" w:hAnsi="Arial"/>
                <w:sz w:val="18"/>
                <w:szCs w:val="18"/>
                <w:color w:val="auto"/>
              </w:rPr>
              <w:t>23</w:t>
            </w:r>
          </w:p>
        </w:tc>
        <w:tc>
          <w:tcPr>
            <w:tcW w:w="5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40" w:type="dxa"/>
            <w:vAlign w:val="bottom"/>
          </w:tcPr>
          <w:p>
            <w:pPr>
              <w:jc w:val="right"/>
              <w:ind w:right="71"/>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1"/>
        </w:trPr>
        <w:tc>
          <w:tcPr>
            <w:tcW w:w="2360" w:type="dxa"/>
            <w:vAlign w:val="bottom"/>
            <w:gridSpan w:val="2"/>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0"/>
        </w:trPr>
        <w:tc>
          <w:tcPr>
            <w:tcW w:w="2360" w:type="dxa"/>
            <w:vAlign w:val="bottom"/>
            <w:gridSpan w:val="2"/>
          </w:tcPr>
          <w:p>
            <w:pPr>
              <w:ind w:left="580"/>
              <w:spacing w:after="0"/>
              <w:rPr>
                <w:sz w:val="20"/>
                <w:szCs w:val="20"/>
                <w:color w:val="auto"/>
              </w:rPr>
            </w:pPr>
            <w:r>
              <w:rPr>
                <w:rFonts w:ascii="Arial" w:cs="Arial" w:eastAsia="Arial" w:hAnsi="Arial"/>
                <w:sz w:val="18"/>
                <w:szCs w:val="18"/>
                <w:color w:val="auto"/>
              </w:rPr>
              <w:t>Liability derivatives</w:t>
            </w:r>
          </w:p>
        </w:tc>
        <w:tc>
          <w:tcPr>
            <w:tcW w:w="2140" w:type="dxa"/>
            <w:vAlign w:val="bottom"/>
            <w:gridSpan w:val="2"/>
          </w:tcPr>
          <w:p>
            <w:pPr>
              <w:ind w:left="360"/>
              <w:spacing w:after="0"/>
              <w:rPr>
                <w:sz w:val="20"/>
                <w:szCs w:val="20"/>
                <w:color w:val="auto"/>
              </w:rPr>
            </w:pPr>
            <w:r>
              <w:rPr>
                <w:rFonts w:ascii="Arial" w:cs="Arial" w:eastAsia="Arial" w:hAnsi="Arial"/>
                <w:sz w:val="18"/>
                <w:szCs w:val="18"/>
                <w:color w:val="auto"/>
              </w:rPr>
              <w:t>Other liabilities</w:t>
            </w:r>
          </w:p>
        </w:tc>
        <w:tc>
          <w:tcPr>
            <w:tcW w:w="48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600" w:type="dxa"/>
            <w:vAlign w:val="bottom"/>
          </w:tcPr>
          <w:p>
            <w:pPr>
              <w:jc w:val="right"/>
              <w:ind w:right="71"/>
              <w:spacing w:after="0"/>
              <w:rPr>
                <w:sz w:val="20"/>
                <w:szCs w:val="20"/>
                <w:color w:val="auto"/>
              </w:rPr>
            </w:pPr>
            <w:r>
              <w:rPr>
                <w:rFonts w:ascii="Arial" w:cs="Arial" w:eastAsia="Arial" w:hAnsi="Arial"/>
                <w:sz w:val="18"/>
                <w:szCs w:val="18"/>
                <w:color w:val="auto"/>
              </w:rPr>
              <w:t>28,325</w:t>
            </w:r>
          </w:p>
        </w:tc>
        <w:tc>
          <w:tcPr>
            <w:tcW w:w="4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71"/>
              <w:spacing w:after="0"/>
              <w:rPr>
                <w:sz w:val="20"/>
                <w:szCs w:val="20"/>
                <w:color w:val="auto"/>
              </w:rPr>
            </w:pPr>
            <w:r>
              <w:rPr>
                <w:rFonts w:ascii="Arial" w:cs="Arial" w:eastAsia="Arial" w:hAnsi="Arial"/>
                <w:sz w:val="18"/>
                <w:szCs w:val="18"/>
                <w:color w:val="auto"/>
              </w:rPr>
              <w:t>11,900</w:t>
            </w:r>
          </w:p>
        </w:tc>
        <w:tc>
          <w:tcPr>
            <w:tcW w:w="5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40" w:type="dxa"/>
            <w:vAlign w:val="bottom"/>
          </w:tcPr>
          <w:p>
            <w:pPr>
              <w:jc w:val="right"/>
              <w:ind w:right="71"/>
              <w:spacing w:after="0"/>
              <w:rPr>
                <w:sz w:val="20"/>
                <w:szCs w:val="20"/>
                <w:color w:val="auto"/>
              </w:rPr>
            </w:pPr>
            <w:r>
              <w:rPr>
                <w:rFonts w:ascii="Arial" w:cs="Arial" w:eastAsia="Arial" w:hAnsi="Arial"/>
                <w:sz w:val="18"/>
                <w:szCs w:val="18"/>
                <w:color w:val="auto"/>
              </w:rPr>
              <w:t>5,987</w:t>
            </w:r>
          </w:p>
        </w:tc>
        <w:tc>
          <w:tcPr>
            <w:tcW w:w="0" w:type="dxa"/>
            <w:vAlign w:val="bottom"/>
          </w:tcPr>
          <w:p>
            <w:pPr>
              <w:spacing w:after="0"/>
              <w:rPr>
                <w:sz w:val="1"/>
                <w:szCs w:val="1"/>
                <w:color w:val="auto"/>
              </w:rPr>
            </w:pPr>
          </w:p>
        </w:tc>
      </w:tr>
      <w:tr>
        <w:trPr>
          <w:trHeight w:val="22"/>
        </w:trPr>
        <w:tc>
          <w:tcPr>
            <w:tcW w:w="4500" w:type="dxa"/>
            <w:vAlign w:val="bottom"/>
            <w:gridSpan w:val="4"/>
            <w:vMerge w:val="restart"/>
          </w:tcPr>
          <w:p>
            <w:pPr>
              <w:spacing w:after="0"/>
              <w:rPr>
                <w:sz w:val="20"/>
                <w:szCs w:val="20"/>
                <w:color w:val="auto"/>
              </w:rPr>
            </w:pPr>
            <w:r>
              <w:rPr>
                <w:rFonts w:ascii="Arial" w:cs="Arial" w:eastAsia="Arial" w:hAnsi="Arial"/>
                <w:sz w:val="18"/>
                <w:szCs w:val="18"/>
                <w:b w:val="1"/>
                <w:bCs w:val="1"/>
                <w:color w:val="auto"/>
                <w:w w:val="93"/>
              </w:rPr>
              <w:t>Derivatives not accounted for as hedges under ASC 815</w:t>
            </w: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47"/>
        </w:trPr>
        <w:tc>
          <w:tcPr>
            <w:tcW w:w="4500" w:type="dxa"/>
            <w:vAlign w:val="bottom"/>
            <w:gridSpan w:val="4"/>
            <w:vMerge w:val="continue"/>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7"/>
        </w:trPr>
        <w:tc>
          <w:tcPr>
            <w:tcW w:w="5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jc w:val="right"/>
              <w:ind w:right="531"/>
              <w:spacing w:after="0"/>
              <w:rPr>
                <w:sz w:val="20"/>
                <w:szCs w:val="20"/>
                <w:color w:val="auto"/>
              </w:rPr>
            </w:pPr>
            <w:r>
              <w:rPr>
                <w:rFonts w:ascii="Arial" w:cs="Arial" w:eastAsia="Arial" w:hAnsi="Arial"/>
                <w:sz w:val="18"/>
                <w:szCs w:val="18"/>
                <w:b w:val="1"/>
                <w:bCs w:val="1"/>
                <w:color w:val="auto"/>
              </w:rPr>
              <w:t>Fair Value</w:t>
            </w:r>
          </w:p>
        </w:tc>
        <w:tc>
          <w:tcPr>
            <w:tcW w:w="1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80" w:type="dxa"/>
            <w:vAlign w:val="bottom"/>
          </w:tcPr>
          <w:p>
            <w:pPr>
              <w:spacing w:after="0"/>
              <w:rPr>
                <w:sz w:val="17"/>
                <w:szCs w:val="17"/>
                <w:color w:val="auto"/>
              </w:rPr>
            </w:pPr>
          </w:p>
        </w:tc>
        <w:tc>
          <w:tcPr>
            <w:tcW w:w="1780" w:type="dxa"/>
            <w:vAlign w:val="bottom"/>
          </w:tcPr>
          <w:p>
            <w:pPr>
              <w:jc w:val="center"/>
              <w:spacing w:after="0" w:line="196" w:lineRule="exact"/>
              <w:rPr>
                <w:sz w:val="20"/>
                <w:szCs w:val="20"/>
                <w:color w:val="auto"/>
              </w:rPr>
            </w:pPr>
            <w:r>
              <w:rPr>
                <w:rFonts w:ascii="Arial" w:cs="Arial" w:eastAsia="Arial" w:hAnsi="Arial"/>
                <w:sz w:val="18"/>
                <w:szCs w:val="18"/>
                <w:b w:val="1"/>
                <w:bCs w:val="1"/>
                <w:color w:val="auto"/>
                <w:w w:val="91"/>
              </w:rPr>
              <w:t>Interest Rate</w:t>
            </w:r>
          </w:p>
        </w:tc>
        <w:tc>
          <w:tcPr>
            <w:tcW w:w="360" w:type="dxa"/>
            <w:vAlign w:val="bottom"/>
          </w:tcPr>
          <w:p>
            <w:pPr>
              <w:spacing w:after="0"/>
              <w:rPr>
                <w:sz w:val="17"/>
                <w:szCs w:val="17"/>
                <w:color w:val="auto"/>
              </w:rPr>
            </w:pPr>
          </w:p>
        </w:tc>
        <w:tc>
          <w:tcPr>
            <w:tcW w:w="1780" w:type="dxa"/>
            <w:vAlign w:val="bottom"/>
          </w:tcPr>
          <w:p>
            <w:pPr>
              <w:jc w:val="center"/>
              <w:spacing w:after="0" w:line="196" w:lineRule="exact"/>
              <w:rPr>
                <w:sz w:val="20"/>
                <w:szCs w:val="20"/>
                <w:color w:val="auto"/>
              </w:rPr>
            </w:pPr>
            <w:r>
              <w:rPr>
                <w:rFonts w:ascii="Arial" w:cs="Arial" w:eastAsia="Arial" w:hAnsi="Arial"/>
                <w:sz w:val="18"/>
                <w:szCs w:val="18"/>
                <w:b w:val="1"/>
                <w:bCs w:val="1"/>
                <w:color w:val="auto"/>
                <w:w w:val="86"/>
              </w:rPr>
              <w:t>Balance Sheet</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0" w:type="dxa"/>
            <w:vAlign w:val="bottom"/>
          </w:tcPr>
          <w:p>
            <w:pPr>
              <w:jc w:val="center"/>
              <w:ind w:right="391"/>
              <w:spacing w:after="0" w:line="196" w:lineRule="exact"/>
              <w:rPr>
                <w:sz w:val="20"/>
                <w:szCs w:val="20"/>
                <w:color w:val="auto"/>
              </w:rPr>
            </w:pPr>
            <w:r>
              <w:rPr>
                <w:rFonts w:ascii="Arial" w:cs="Arial" w:eastAsia="Arial" w:hAnsi="Arial"/>
                <w:sz w:val="18"/>
                <w:szCs w:val="18"/>
                <w:b w:val="1"/>
                <w:bCs w:val="1"/>
                <w:color w:val="auto"/>
                <w:w w:val="88"/>
              </w:rPr>
              <w:t>June 30,</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00" w:type="dxa"/>
            <w:vAlign w:val="bottom"/>
          </w:tcPr>
          <w:p>
            <w:pPr>
              <w:jc w:val="center"/>
              <w:ind w:right="291"/>
              <w:spacing w:after="0" w:line="196" w:lineRule="exact"/>
              <w:rPr>
                <w:sz w:val="20"/>
                <w:szCs w:val="20"/>
                <w:color w:val="auto"/>
              </w:rPr>
            </w:pPr>
            <w:r>
              <w:rPr>
                <w:rFonts w:ascii="Arial" w:cs="Arial" w:eastAsia="Arial" w:hAnsi="Arial"/>
                <w:sz w:val="18"/>
                <w:szCs w:val="18"/>
                <w:b w:val="1"/>
                <w:bCs w:val="1"/>
                <w:color w:val="auto"/>
                <w:w w:val="88"/>
              </w:rPr>
              <w:t>December 31,</w:t>
            </w: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40" w:type="dxa"/>
            <w:vAlign w:val="bottom"/>
          </w:tcPr>
          <w:p>
            <w:pPr>
              <w:jc w:val="center"/>
              <w:ind w:right="431"/>
              <w:spacing w:after="0" w:line="196" w:lineRule="exact"/>
              <w:rPr>
                <w:sz w:val="20"/>
                <w:szCs w:val="20"/>
                <w:color w:val="auto"/>
              </w:rPr>
            </w:pPr>
            <w:r>
              <w:rPr>
                <w:rFonts w:ascii="Arial" w:cs="Arial" w:eastAsia="Arial" w:hAnsi="Arial"/>
                <w:sz w:val="18"/>
                <w:szCs w:val="18"/>
                <w:b w:val="1"/>
                <w:bCs w:val="1"/>
                <w:color w:val="auto"/>
                <w:w w:val="88"/>
              </w:rPr>
              <w:t>June 30,</w:t>
            </w:r>
          </w:p>
        </w:tc>
        <w:tc>
          <w:tcPr>
            <w:tcW w:w="0" w:type="dxa"/>
            <w:vAlign w:val="bottom"/>
          </w:tcPr>
          <w:p>
            <w:pPr>
              <w:spacing w:after="0"/>
              <w:rPr>
                <w:sz w:val="1"/>
                <w:szCs w:val="1"/>
                <w:color w:val="auto"/>
              </w:rPr>
            </w:pPr>
          </w:p>
        </w:tc>
      </w:tr>
      <w:tr>
        <w:trPr>
          <w:trHeight w:val="239"/>
        </w:trPr>
        <w:tc>
          <w:tcPr>
            <w:tcW w:w="580" w:type="dxa"/>
            <w:vAlign w:val="bottom"/>
          </w:tcPr>
          <w:p>
            <w:pPr>
              <w:spacing w:after="0"/>
              <w:rPr>
                <w:sz w:val="20"/>
                <w:szCs w:val="20"/>
                <w:color w:val="auto"/>
              </w:rPr>
            </w:pPr>
          </w:p>
        </w:tc>
        <w:tc>
          <w:tcPr>
            <w:tcW w:w="17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Products</w:t>
            </w:r>
          </w:p>
        </w:tc>
        <w:tc>
          <w:tcPr>
            <w:tcW w:w="360" w:type="dxa"/>
            <w:vAlign w:val="bottom"/>
          </w:tcPr>
          <w:p>
            <w:pPr>
              <w:spacing w:after="0"/>
              <w:rPr>
                <w:sz w:val="20"/>
                <w:szCs w:val="20"/>
                <w:color w:val="auto"/>
              </w:rPr>
            </w:pPr>
          </w:p>
        </w:tc>
        <w:tc>
          <w:tcPr>
            <w:tcW w:w="17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Location</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center"/>
              <w:ind w:right="391"/>
              <w:spacing w:after="0"/>
              <w:rPr>
                <w:sz w:val="20"/>
                <w:szCs w:val="20"/>
                <w:color w:val="auto"/>
              </w:rPr>
            </w:pPr>
            <w:r>
              <w:rPr>
                <w:rFonts w:ascii="Arial" w:cs="Arial" w:eastAsia="Arial" w:hAnsi="Arial"/>
                <w:sz w:val="18"/>
                <w:szCs w:val="18"/>
                <w:b w:val="1"/>
                <w:bCs w:val="1"/>
                <w:color w:val="auto"/>
                <w:w w:val="89"/>
              </w:rPr>
              <w:t>2013</w:t>
            </w:r>
          </w:p>
        </w:tc>
        <w:tc>
          <w:tcPr>
            <w:tcW w:w="1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tcPr>
          <w:p>
            <w:pPr>
              <w:jc w:val="center"/>
              <w:ind w:right="291"/>
              <w:spacing w:after="0"/>
              <w:rPr>
                <w:sz w:val="20"/>
                <w:szCs w:val="20"/>
                <w:color w:val="auto"/>
              </w:rPr>
            </w:pPr>
            <w:r>
              <w:rPr>
                <w:rFonts w:ascii="Arial" w:cs="Arial" w:eastAsia="Arial" w:hAnsi="Arial"/>
                <w:sz w:val="18"/>
                <w:szCs w:val="18"/>
                <w:b w:val="1"/>
                <w:bCs w:val="1"/>
                <w:color w:val="auto"/>
                <w:w w:val="89"/>
              </w:rPr>
              <w:t>2012</w:t>
            </w:r>
          </w:p>
        </w:tc>
        <w:tc>
          <w:tcPr>
            <w:tcW w:w="1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center"/>
              <w:ind w:right="431"/>
              <w:spacing w:after="0"/>
              <w:rPr>
                <w:sz w:val="20"/>
                <w:szCs w:val="20"/>
                <w:color w:val="auto"/>
              </w:rPr>
            </w:pPr>
            <w:r>
              <w:rPr>
                <w:rFonts w:ascii="Arial" w:cs="Arial" w:eastAsia="Arial" w:hAnsi="Arial"/>
                <w:sz w:val="18"/>
                <w:szCs w:val="18"/>
                <w:b w:val="1"/>
                <w:bCs w:val="1"/>
                <w:color w:val="auto"/>
                <w:w w:val="89"/>
              </w:rPr>
              <w:t>2012</w:t>
            </w:r>
          </w:p>
        </w:tc>
        <w:tc>
          <w:tcPr>
            <w:tcW w:w="0" w:type="dxa"/>
            <w:vAlign w:val="bottom"/>
          </w:tcPr>
          <w:p>
            <w:pPr>
              <w:spacing w:after="0"/>
              <w:rPr>
                <w:sz w:val="1"/>
                <w:szCs w:val="1"/>
                <w:color w:val="auto"/>
              </w:rPr>
            </w:pPr>
          </w:p>
        </w:tc>
      </w:tr>
      <w:tr>
        <w:trPr>
          <w:trHeight w:val="428"/>
        </w:trPr>
        <w:tc>
          <w:tcPr>
            <w:tcW w:w="2360" w:type="dxa"/>
            <w:vAlign w:val="bottom"/>
            <w:gridSpan w:val="2"/>
          </w:tcPr>
          <w:p>
            <w:pPr>
              <w:ind w:left="580"/>
              <w:spacing w:after="0"/>
              <w:rPr>
                <w:sz w:val="20"/>
                <w:szCs w:val="20"/>
                <w:color w:val="auto"/>
              </w:rPr>
            </w:pPr>
            <w:r>
              <w:rPr>
                <w:rFonts w:ascii="Arial" w:cs="Arial" w:eastAsia="Arial" w:hAnsi="Arial"/>
                <w:sz w:val="18"/>
                <w:szCs w:val="18"/>
                <w:color w:val="auto"/>
              </w:rPr>
              <w:t>Asset derivatives</w:t>
            </w:r>
          </w:p>
        </w:tc>
        <w:tc>
          <w:tcPr>
            <w:tcW w:w="2140" w:type="dxa"/>
            <w:vAlign w:val="bottom"/>
            <w:gridSpan w:val="2"/>
          </w:tcPr>
          <w:p>
            <w:pPr>
              <w:ind w:left="360"/>
              <w:spacing w:after="0"/>
              <w:rPr>
                <w:sz w:val="20"/>
                <w:szCs w:val="20"/>
                <w:color w:val="auto"/>
              </w:rPr>
            </w:pPr>
            <w:r>
              <w:rPr>
                <w:rFonts w:ascii="Arial" w:cs="Arial" w:eastAsia="Arial" w:hAnsi="Arial"/>
                <w:sz w:val="18"/>
                <w:szCs w:val="18"/>
                <w:color w:val="auto"/>
              </w:rPr>
              <w:t>Other assets</w:t>
            </w:r>
          </w:p>
        </w:tc>
        <w:tc>
          <w:tcPr>
            <w:tcW w:w="48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600" w:type="dxa"/>
            <w:vAlign w:val="bottom"/>
          </w:tcPr>
          <w:p>
            <w:pPr>
              <w:jc w:val="right"/>
              <w:ind w:right="71"/>
              <w:spacing w:after="0"/>
              <w:rPr>
                <w:sz w:val="20"/>
                <w:szCs w:val="20"/>
                <w:color w:val="auto"/>
              </w:rPr>
            </w:pPr>
            <w:r>
              <w:rPr>
                <w:rFonts w:ascii="Arial" w:cs="Arial" w:eastAsia="Arial" w:hAnsi="Arial"/>
                <w:sz w:val="18"/>
                <w:szCs w:val="18"/>
                <w:color w:val="auto"/>
              </w:rPr>
              <w:t>1,000</w:t>
            </w:r>
          </w:p>
        </w:tc>
        <w:tc>
          <w:tcPr>
            <w:tcW w:w="4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71"/>
              <w:spacing w:after="0"/>
              <w:rPr>
                <w:sz w:val="20"/>
                <w:szCs w:val="20"/>
                <w:color w:val="auto"/>
              </w:rPr>
            </w:pPr>
            <w:r>
              <w:rPr>
                <w:rFonts w:ascii="Arial" w:cs="Arial" w:eastAsia="Arial" w:hAnsi="Arial"/>
                <w:sz w:val="18"/>
                <w:szCs w:val="18"/>
                <w:color w:val="auto"/>
              </w:rPr>
              <w:t>635</w:t>
            </w:r>
          </w:p>
        </w:tc>
        <w:tc>
          <w:tcPr>
            <w:tcW w:w="5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40" w:type="dxa"/>
            <w:vAlign w:val="bottom"/>
          </w:tcPr>
          <w:p>
            <w:pPr>
              <w:jc w:val="right"/>
              <w:ind w:right="71"/>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1"/>
        </w:trPr>
        <w:tc>
          <w:tcPr>
            <w:tcW w:w="2360" w:type="dxa"/>
            <w:vAlign w:val="bottom"/>
            <w:gridSpan w:val="2"/>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1"/>
        </w:trPr>
        <w:tc>
          <w:tcPr>
            <w:tcW w:w="2360" w:type="dxa"/>
            <w:vAlign w:val="bottom"/>
            <w:gridSpan w:val="2"/>
          </w:tcPr>
          <w:p>
            <w:pPr>
              <w:ind w:left="580"/>
              <w:spacing w:after="0"/>
              <w:rPr>
                <w:sz w:val="20"/>
                <w:szCs w:val="20"/>
                <w:color w:val="auto"/>
              </w:rPr>
            </w:pPr>
            <w:r>
              <w:rPr>
                <w:rFonts w:ascii="Arial" w:cs="Arial" w:eastAsia="Arial" w:hAnsi="Arial"/>
                <w:sz w:val="18"/>
                <w:szCs w:val="18"/>
                <w:color w:val="auto"/>
              </w:rPr>
              <w:t>Liability derivatives</w:t>
            </w:r>
          </w:p>
        </w:tc>
        <w:tc>
          <w:tcPr>
            <w:tcW w:w="2140" w:type="dxa"/>
            <w:vAlign w:val="bottom"/>
            <w:gridSpan w:val="2"/>
          </w:tcPr>
          <w:p>
            <w:pPr>
              <w:ind w:left="360"/>
              <w:spacing w:after="0"/>
              <w:rPr>
                <w:sz w:val="20"/>
                <w:szCs w:val="20"/>
                <w:color w:val="auto"/>
              </w:rPr>
            </w:pPr>
            <w:r>
              <w:rPr>
                <w:rFonts w:ascii="Arial" w:cs="Arial" w:eastAsia="Arial" w:hAnsi="Arial"/>
                <w:sz w:val="18"/>
                <w:szCs w:val="18"/>
                <w:color w:val="auto"/>
              </w:rPr>
              <w:t>Other liabilities</w:t>
            </w:r>
          </w:p>
        </w:tc>
        <w:tc>
          <w:tcPr>
            <w:tcW w:w="48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1600" w:type="dxa"/>
            <w:vAlign w:val="bottom"/>
          </w:tcPr>
          <w:p>
            <w:pPr>
              <w:jc w:val="right"/>
              <w:ind w:right="71"/>
              <w:spacing w:after="0"/>
              <w:rPr>
                <w:sz w:val="20"/>
                <w:szCs w:val="20"/>
                <w:color w:val="auto"/>
              </w:rPr>
            </w:pPr>
            <w:r>
              <w:rPr>
                <w:rFonts w:ascii="Arial" w:cs="Arial" w:eastAsia="Arial" w:hAnsi="Arial"/>
                <w:sz w:val="18"/>
                <w:szCs w:val="18"/>
                <w:color w:val="auto"/>
              </w:rPr>
              <w:t>1,005</w:t>
            </w:r>
          </w:p>
        </w:tc>
        <w:tc>
          <w:tcPr>
            <w:tcW w:w="4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71"/>
              <w:spacing w:after="0"/>
              <w:rPr>
                <w:sz w:val="20"/>
                <w:szCs w:val="20"/>
                <w:color w:val="auto"/>
              </w:rPr>
            </w:pPr>
            <w:r>
              <w:rPr>
                <w:rFonts w:ascii="Arial" w:cs="Arial" w:eastAsia="Arial" w:hAnsi="Arial"/>
                <w:sz w:val="18"/>
                <w:szCs w:val="18"/>
                <w:color w:val="auto"/>
              </w:rPr>
              <w:t>643</w:t>
            </w:r>
          </w:p>
        </w:tc>
        <w:tc>
          <w:tcPr>
            <w:tcW w:w="5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40" w:type="dxa"/>
            <w:vAlign w:val="bottom"/>
          </w:tcPr>
          <w:p>
            <w:pPr>
              <w:jc w:val="right"/>
              <w:ind w:right="71"/>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1"/>
        </w:trPr>
        <w:tc>
          <w:tcPr>
            <w:tcW w:w="5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7"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 xml:space="preserve">Derivative contracts that are not accounted for as hedges under ASC 815, </w:t>
      </w:r>
      <w:r>
        <w:rPr>
          <w:rFonts w:ascii="Arial" w:cs="Arial" w:eastAsia="Arial" w:hAnsi="Arial"/>
          <w:sz w:val="18"/>
          <w:szCs w:val="18"/>
          <w:i w:val="1"/>
          <w:iCs w:val="1"/>
          <w:color w:val="auto"/>
        </w:rPr>
        <w:t>Derivatives and Hedging</w:t>
      </w:r>
      <w:r>
        <w:rPr>
          <w:rFonts w:ascii="Arial" w:cs="Arial" w:eastAsia="Arial" w:hAnsi="Arial"/>
          <w:sz w:val="18"/>
          <w:szCs w:val="18"/>
          <w:color w:val="auto"/>
        </w:rPr>
        <w:t xml:space="preserve"> are between United and certain commercial loan customers with offsetting positions to dealers under a back-to-back swap program.</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 Hedges of Interest Rate Risk</w:t>
      </w:r>
    </w:p>
    <w:p>
      <w:pPr>
        <w:spacing w:after="0" w:line="252"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United’s objectives in using interest rate derivatives are to add stability to net interest revenue and to manage its exposure to interest rate movements. To accomplish this objective, United primarily uses interest rate swaps as part of its interest rate risk management strategy. At June 30, 2013, United’s interest rate swaps designated as cash flow hedges involve the payment of fixed-rate amounts to a counterparty in exchange for United receiving variable-rate payments over the life of the agreements without exchange of the underlying notional amount. United’s current cash flow hedges are for the purpose of converting variable rate deposits and wholesale borrowings to a fixed rate to protect United in a rising rate environment. The swaps are forward starting and do not become effective until 2014 and 2015. United had three swap contracts outstanding with a total notional amount of $200 million that were designated as cash flow hedges of future issuances of brokered deposits and three swap contracts outstanding with a total notional amount of $375 million that were designated as cash flow hedges of indexed money market accounts at June 30, 2013. At December 31, 2012 and June 30, 2012, United had three swap contracts outstanding with a notional amount of $200 million that were designated as cash flow hedges of future issuances of brokered deposits and two swap contracts outstanding with a total notional amount of $200 million that were designated as cash flow hedges of indexed money market accounts.</w:t>
      </w:r>
    </w:p>
    <w:p>
      <w:pPr>
        <w:spacing w:after="0" w:line="200"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The effective portion of changes in the fair value of derivatives designated as, and that qualify as, cash flow hedges is recorded in accumulated other comprehensive income and is subsequently reclassified into earnings in the period that the hedged forecasted transaction affects earnings. Amounts reported in accumulated other comprehensive income related to derivatives will be reclassified to interest expense when the swaps become effective in 2014 as interest payments are made on United’s LIBOR based variable-rate wholesale borrowings and indexed deposit accounts. At June 30, 2013, a portion of the amount included in other comprehensive income represents deferred gains from terminated cash flow hedges where the forecasted hedging transaction is expected to remain effective over the remaining unexpired term of the original contract. Such gains are being deferred and recognized over the remaining life of the contract on a straight line basis. During the three and six months ended June 30, 2013, United accelerated the reclassification of $3,000 and $4,000, respectively, in gains from terminated positions as a result of the forecasted transactions becoming probable not to occur. For the same periods in 2012, those amounts were gains of $43,000 and $124,000, respectively. During the next three months, United estimates that the remaining $58,000 of the deferred gains on terminated cash flow hedging positions will be reclassified as an increase to loan interest revenue. In addition, United’s forward starting active cash flow hedges of floating rate liabilities will begin to become effective over the next twelve months. United recognized $79,000 in hedge ineffectiveness gains on active cash flow hedges in the second quarter of 2013. No such hedge ineffectiveness gains or losses were recognized on active cash flow hedges in 2012. United expects that $862,000 will be reclassified as an increase to deposit interest expense over the next twelve months related to these cash flow hedges.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13970</wp:posOffset>
            </wp:positionV>
            <wp:extent cx="724789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7890" cy="8255"/>
                    </a:xfrm>
                    <a:prstGeom prst="rect">
                      <a:avLst/>
                    </a:prstGeom>
                    <a:noFill/>
                  </pic:spPr>
                </pic:pic>
              </a:graphicData>
            </a:graphic>
          </wp:anchor>
        </w:drawing>
      </w:r>
    </w:p>
    <w:p>
      <w:pPr>
        <w:sectPr>
          <w:pgSz w:w="11900" w:h="16838" w:orient="portrait"/>
          <w:cols w:equalWidth="0" w:num="1">
            <w:col w:w="11420"/>
          </w:cols>
          <w:pgMar w:left="240" w:top="911" w:right="239" w:bottom="1440" w:gutter="0" w:footer="0" w:header="0"/>
        </w:sectPr>
      </w:pPr>
    </w:p>
    <w:bookmarkStart w:id="29" w:name="page30"/>
    <w:bookmarkEnd w:id="29"/>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Hedges of Interest Rate Risk</w:t>
      </w:r>
    </w:p>
    <w:p>
      <w:pPr>
        <w:spacing w:after="0" w:line="252"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United is exposed to changes in the fair value of certain of its fixed rate investments and obligations due to changes in interest rates. United uses interest rate swaps to manage its exposure to changes in fair value on these instruments attributable to changes in interest rates. Interest rate swaps designated as fair value hedges of fixed rate obligations involve the receipt of fixed-rate amounts from a counterparty in exchange for United making variable rate payments over the life of the agreements without the exchange of the underlying notional amount. Interest rate swaps designated as fair value hedges of fixed rate investments involve the receipt of variable-rate amounts from a counterparty in exchange for United making fixed rate payments over the life of the instrument without the exchange of the underlying notional amount. At June 30, 2013, United had 25 interest rate swaps with an aggregate notional amount of $335 million that were designated as fair value hedges of interest rate risk. Eight of the interest rate swaps outstanding at June 30, 2013 with an aggregate notional amount of $86 million were receive-variable / pay-fixed swaps that were used for the purpose of hedging changes in the fair value of fixed rate corporate bonds resulting from changes in interest rates. The other 17 were pay-variable / receive-fixed swaps hedging changes in the fair value of fixed rate brokered time deposits resulting from changes in interest rates. At June 30, 2012, United had seven interest rate swaps with an aggregate notional amount of $104 million that were designated as fair value hedges of fixed rate brokered time deposits.</w:t>
      </w:r>
    </w:p>
    <w:p>
      <w:pPr>
        <w:spacing w:after="0" w:line="196"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For derivatives designated and that qualify as fair value hedges, the gain or loss on the derivative as well as the offsetting loss or gain on the hedged item attributable to the hedged risk are recognized in earnings. United includes the gain or loss on the hedged items in the same line item as the offsetting loss or gain on the related derivatives. During the three and six months ended June 30, 2013, United recognized net gains of $289,000 and $203,000, respectively, and during the three and six months ended June 30, 2012, United recognized net losses of $223,000 and $189,000, respectively, related to ineffectiveness of the fair value hedging relationships. United also recognized a net reduction of interest expense of $1.20 million and $2.27 million, respectively, for the three and six months ended June 30, 2013 and a net reduction of interest expense of $550,000 and $828,000, respectively, for the three and six months ended June 30, 2012 related to United’s fair value hedges of brokered time deposits, which includes net settlements on the derivatives. United recognized a $283,000 and $295,000 reduction of interest revenue on securities during the second quarter and first six months of 2013 related to United’s fair value hedges of corporate bonds.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Tabular Disclosure of the Effect of Derivative Instruments on the Income Statement</w:t>
      </w:r>
    </w:p>
    <w:p>
      <w:pPr>
        <w:spacing w:after="0" w:line="252"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tables below present the effect of United’s derivative financial instruments on the consolidated statement of operations for the three and six months ended June 30, 2013 and 2012.</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Derivatives in Fair Value Hedging Relationships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354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9"/>
              </w:rPr>
              <w:t>Location of Gain (Loss)</w:t>
            </w:r>
          </w:p>
        </w:tc>
        <w:tc>
          <w:tcPr>
            <w:tcW w:w="3280" w:type="dxa"/>
            <w:vAlign w:val="bottom"/>
            <w:gridSpan w:val="4"/>
          </w:tcPr>
          <w:p>
            <w:pPr>
              <w:jc w:val="right"/>
              <w:spacing w:after="0"/>
              <w:rPr>
                <w:sz w:val="20"/>
                <w:szCs w:val="20"/>
                <w:color w:val="auto"/>
              </w:rPr>
            </w:pPr>
            <w:r>
              <w:rPr>
                <w:rFonts w:ascii="Arial" w:cs="Arial" w:eastAsia="Arial" w:hAnsi="Arial"/>
                <w:sz w:val="18"/>
                <w:szCs w:val="18"/>
                <w:b w:val="1"/>
                <w:bCs w:val="1"/>
                <w:color w:val="auto"/>
              </w:rPr>
              <w:t>Amount of Gain (Loss) Recognized in</w:t>
            </w: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20" w:type="dxa"/>
            <w:vAlign w:val="bottom"/>
            <w:gridSpan w:val="4"/>
          </w:tcPr>
          <w:p>
            <w:pPr>
              <w:jc w:val="right"/>
              <w:ind w:right="511"/>
              <w:spacing w:after="0"/>
              <w:rPr>
                <w:sz w:val="20"/>
                <w:szCs w:val="20"/>
                <w:color w:val="auto"/>
              </w:rPr>
            </w:pPr>
            <w:r>
              <w:rPr>
                <w:rFonts w:ascii="Arial" w:cs="Arial" w:eastAsia="Arial" w:hAnsi="Arial"/>
                <w:sz w:val="18"/>
                <w:szCs w:val="18"/>
                <w:b w:val="1"/>
                <w:bCs w:val="1"/>
                <w:color w:val="auto"/>
                <w:w w:val="93"/>
              </w:rPr>
              <w:t>Amount of Gain (Loss) Recognized in</w:t>
            </w:r>
          </w:p>
        </w:tc>
        <w:tc>
          <w:tcPr>
            <w:tcW w:w="0" w:type="dxa"/>
            <w:vAlign w:val="bottom"/>
          </w:tcPr>
          <w:p>
            <w:pPr>
              <w:spacing w:after="0"/>
              <w:rPr>
                <w:sz w:val="1"/>
                <w:szCs w:val="1"/>
                <w:color w:val="auto"/>
              </w:rPr>
            </w:pPr>
          </w:p>
        </w:tc>
      </w:tr>
      <w:tr>
        <w:trPr>
          <w:trHeight w:val="239"/>
        </w:trPr>
        <w:tc>
          <w:tcPr>
            <w:tcW w:w="354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8"/>
              </w:rPr>
              <w:t>Recognized in Income</w:t>
            </w:r>
          </w:p>
        </w:tc>
        <w:tc>
          <w:tcPr>
            <w:tcW w:w="1020" w:type="dxa"/>
            <w:vAlign w:val="bottom"/>
            <w:tcBorders>
              <w:bottom w:val="single" w:sz="8" w:color="auto"/>
            </w:tcBorders>
          </w:tcPr>
          <w:p>
            <w:pPr>
              <w:spacing w:after="0"/>
              <w:rPr>
                <w:sz w:val="20"/>
                <w:szCs w:val="20"/>
                <w:color w:val="auto"/>
              </w:rPr>
            </w:pPr>
          </w:p>
        </w:tc>
        <w:tc>
          <w:tcPr>
            <w:tcW w:w="2260" w:type="dxa"/>
            <w:vAlign w:val="bottom"/>
            <w:tcBorders>
              <w:bottom w:val="single" w:sz="8" w:color="auto"/>
            </w:tcBorders>
            <w:gridSpan w:val="3"/>
          </w:tcPr>
          <w:p>
            <w:pPr>
              <w:jc w:val="right"/>
              <w:ind w:right="531"/>
              <w:spacing w:after="0"/>
              <w:rPr>
                <w:sz w:val="20"/>
                <w:szCs w:val="20"/>
                <w:color w:val="auto"/>
              </w:rPr>
            </w:pPr>
            <w:r>
              <w:rPr>
                <w:rFonts w:ascii="Arial" w:cs="Arial" w:eastAsia="Arial" w:hAnsi="Arial"/>
                <w:sz w:val="18"/>
                <w:szCs w:val="18"/>
                <w:b w:val="1"/>
                <w:bCs w:val="1"/>
                <w:color w:val="auto"/>
                <w:w w:val="89"/>
              </w:rPr>
              <w:t>Income on Derivative</w:t>
            </w:r>
          </w:p>
        </w:tc>
        <w:tc>
          <w:tcPr>
            <w:tcW w:w="56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3620" w:type="dxa"/>
            <w:vAlign w:val="bottom"/>
            <w:tcBorders>
              <w:bottom w:val="single" w:sz="8" w:color="auto"/>
            </w:tcBorders>
            <w:gridSpan w:val="4"/>
          </w:tcPr>
          <w:p>
            <w:pPr>
              <w:jc w:val="right"/>
              <w:ind w:right="1031"/>
              <w:spacing w:after="0"/>
              <w:rPr>
                <w:sz w:val="20"/>
                <w:szCs w:val="20"/>
                <w:color w:val="auto"/>
              </w:rPr>
            </w:pPr>
            <w:r>
              <w:rPr>
                <w:rFonts w:ascii="Arial" w:cs="Arial" w:eastAsia="Arial" w:hAnsi="Arial"/>
                <w:sz w:val="18"/>
                <w:szCs w:val="18"/>
                <w:b w:val="1"/>
                <w:bCs w:val="1"/>
                <w:color w:val="auto"/>
              </w:rPr>
              <w:t>Income on Hedged Item</w:t>
            </w:r>
          </w:p>
        </w:tc>
        <w:tc>
          <w:tcPr>
            <w:tcW w:w="0" w:type="dxa"/>
            <w:vAlign w:val="bottom"/>
          </w:tcPr>
          <w:p>
            <w:pPr>
              <w:spacing w:after="0"/>
              <w:rPr>
                <w:sz w:val="1"/>
                <w:szCs w:val="1"/>
                <w:color w:val="auto"/>
              </w:rPr>
            </w:pPr>
          </w:p>
        </w:tc>
      </w:tr>
      <w:tr>
        <w:trPr>
          <w:trHeight w:val="221"/>
        </w:trPr>
        <w:tc>
          <w:tcPr>
            <w:tcW w:w="33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on Derivative</w:t>
            </w:r>
          </w:p>
        </w:tc>
        <w:tc>
          <w:tcPr>
            <w:tcW w:w="160" w:type="dxa"/>
            <w:vAlign w:val="bottom"/>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2013</w:t>
            </w:r>
          </w:p>
        </w:tc>
        <w:tc>
          <w:tcPr>
            <w:tcW w:w="82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Borders>
              <w:bottom w:val="single" w:sz="8" w:color="auto"/>
            </w:tcBorders>
          </w:tcPr>
          <w:p>
            <w:pPr>
              <w:jc w:val="right"/>
              <w:ind w:right="171"/>
              <w:spacing w:after="0"/>
              <w:rPr>
                <w:sz w:val="20"/>
                <w:szCs w:val="20"/>
                <w:color w:val="auto"/>
              </w:rPr>
            </w:pPr>
            <w:r>
              <w:rPr>
                <w:rFonts w:ascii="Arial" w:cs="Arial" w:eastAsia="Arial" w:hAnsi="Arial"/>
                <w:sz w:val="18"/>
                <w:szCs w:val="18"/>
                <w:b w:val="1"/>
                <w:bCs w:val="1"/>
                <w:color w:val="auto"/>
              </w:rPr>
              <w:t>2012</w:t>
            </w:r>
          </w:p>
        </w:tc>
        <w:tc>
          <w:tcPr>
            <w:tcW w:w="56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ind w:right="731"/>
              <w:spacing w:after="0"/>
              <w:rPr>
                <w:sz w:val="20"/>
                <w:szCs w:val="20"/>
                <w:color w:val="auto"/>
              </w:rPr>
            </w:pPr>
            <w:r>
              <w:rPr>
                <w:rFonts w:ascii="Arial" w:cs="Arial" w:eastAsia="Arial" w:hAnsi="Arial"/>
                <w:sz w:val="18"/>
                <w:szCs w:val="18"/>
                <w:b w:val="1"/>
                <w:bCs w:val="1"/>
                <w:color w:val="auto"/>
              </w:rPr>
              <w:t>2013</w:t>
            </w:r>
          </w:p>
        </w:tc>
        <w:tc>
          <w:tcPr>
            <w:tcW w:w="16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751"/>
              <w:spacing w:after="0"/>
              <w:rPr>
                <w:sz w:val="20"/>
                <w:szCs w:val="20"/>
                <w:color w:val="auto"/>
              </w:rPr>
            </w:pPr>
            <w:r>
              <w:rPr>
                <w:rFonts w:ascii="Arial" w:cs="Arial" w:eastAsia="Arial" w:hAnsi="Arial"/>
                <w:sz w:val="18"/>
                <w:szCs w:val="18"/>
                <w:b w:val="1"/>
                <w:bCs w:val="1"/>
                <w:color w:val="auto"/>
              </w:rPr>
              <w:t>2012</w:t>
            </w:r>
          </w:p>
        </w:tc>
        <w:tc>
          <w:tcPr>
            <w:tcW w:w="0" w:type="dxa"/>
            <w:vAlign w:val="bottom"/>
          </w:tcPr>
          <w:p>
            <w:pPr>
              <w:spacing w:after="0"/>
              <w:rPr>
                <w:sz w:val="1"/>
                <w:szCs w:val="1"/>
                <w:color w:val="auto"/>
              </w:rPr>
            </w:pPr>
          </w:p>
        </w:tc>
      </w:tr>
      <w:tr>
        <w:trPr>
          <w:trHeight w:val="414"/>
        </w:trPr>
        <w:tc>
          <w:tcPr>
            <w:tcW w:w="3540" w:type="dxa"/>
            <w:vAlign w:val="bottom"/>
            <w:gridSpan w:val="2"/>
          </w:tcPr>
          <w:p>
            <w:pPr>
              <w:spacing w:after="0"/>
              <w:rPr>
                <w:sz w:val="20"/>
                <w:szCs w:val="20"/>
                <w:color w:val="auto"/>
              </w:rPr>
            </w:pPr>
            <w:r>
              <w:rPr>
                <w:rFonts w:ascii="Arial" w:cs="Arial" w:eastAsia="Arial" w:hAnsi="Arial"/>
                <w:sz w:val="18"/>
                <w:szCs w:val="18"/>
                <w:b w:val="1"/>
                <w:bCs w:val="1"/>
                <w:color w:val="auto"/>
              </w:rPr>
              <w:t>Three Months Ended June 30,</w:t>
            </w:r>
          </w:p>
        </w:tc>
        <w:tc>
          <w:tcPr>
            <w:tcW w:w="10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7"/>
        </w:trPr>
        <w:tc>
          <w:tcPr>
            <w:tcW w:w="3540" w:type="dxa"/>
            <w:vAlign w:val="bottom"/>
            <w:gridSpan w:val="2"/>
          </w:tcPr>
          <w:p>
            <w:pPr>
              <w:spacing w:after="0"/>
              <w:rPr>
                <w:sz w:val="20"/>
                <w:szCs w:val="20"/>
                <w:color w:val="auto"/>
              </w:rPr>
            </w:pPr>
            <w:r>
              <w:rPr>
                <w:rFonts w:ascii="Arial" w:cs="Arial" w:eastAsia="Arial" w:hAnsi="Arial"/>
                <w:sz w:val="18"/>
                <w:szCs w:val="18"/>
                <w:color w:val="auto"/>
              </w:rPr>
              <w:t>Other fee revenue</w:t>
            </w:r>
          </w:p>
        </w:tc>
        <w:tc>
          <w:tcPr>
            <w:tcW w:w="1020" w:type="dxa"/>
            <w:vAlign w:val="bottom"/>
          </w:tcPr>
          <w:p>
            <w:pPr>
              <w:jc w:val="right"/>
              <w:ind w:right="831"/>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(10,980)</w:t>
            </w:r>
          </w:p>
        </w:tc>
        <w:tc>
          <w:tcPr>
            <w:tcW w:w="1440" w:type="dxa"/>
            <w:vAlign w:val="bottom"/>
            <w:gridSpan w:val="2"/>
          </w:tcPr>
          <w:p>
            <w:pPr>
              <w:jc w:val="right"/>
              <w:ind w:right="1111"/>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71"/>
              <w:spacing w:after="0"/>
              <w:rPr>
                <w:sz w:val="20"/>
                <w:szCs w:val="20"/>
                <w:color w:val="auto"/>
              </w:rPr>
            </w:pPr>
            <w:r>
              <w:rPr>
                <w:rFonts w:ascii="Arial" w:cs="Arial" w:eastAsia="Arial" w:hAnsi="Arial"/>
                <w:sz w:val="18"/>
                <w:szCs w:val="18"/>
                <w:color w:val="auto"/>
                <w:w w:val="84"/>
              </w:rPr>
              <w:t>2,087</w:t>
            </w:r>
          </w:p>
        </w:tc>
        <w:tc>
          <w:tcPr>
            <w:tcW w:w="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71"/>
              <w:spacing w:after="0"/>
              <w:rPr>
                <w:sz w:val="20"/>
                <w:szCs w:val="20"/>
                <w:color w:val="auto"/>
              </w:rPr>
            </w:pPr>
            <w:r>
              <w:rPr>
                <w:rFonts w:ascii="Arial" w:cs="Arial" w:eastAsia="Arial" w:hAnsi="Arial"/>
                <w:sz w:val="18"/>
                <w:szCs w:val="18"/>
                <w:color w:val="auto"/>
              </w:rPr>
              <w:t>11,269</w:t>
            </w:r>
          </w:p>
        </w:tc>
        <w:tc>
          <w:tcPr>
            <w:tcW w:w="5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31"/>
              <w:spacing w:after="0"/>
              <w:rPr>
                <w:sz w:val="20"/>
                <w:szCs w:val="20"/>
                <w:color w:val="auto"/>
              </w:rPr>
            </w:pPr>
            <w:r>
              <w:rPr>
                <w:rFonts w:ascii="Arial" w:cs="Arial" w:eastAsia="Arial" w:hAnsi="Arial"/>
                <w:sz w:val="18"/>
                <w:szCs w:val="18"/>
                <w:color w:val="auto"/>
              </w:rPr>
              <w:t>(2,310)</w:t>
            </w:r>
          </w:p>
        </w:tc>
        <w:tc>
          <w:tcPr>
            <w:tcW w:w="0" w:type="dxa"/>
            <w:vAlign w:val="bottom"/>
          </w:tcPr>
          <w:p>
            <w:pPr>
              <w:spacing w:after="0"/>
              <w:rPr>
                <w:sz w:val="1"/>
                <w:szCs w:val="1"/>
                <w:color w:val="auto"/>
              </w:rPr>
            </w:pPr>
          </w:p>
        </w:tc>
      </w:tr>
      <w:tr>
        <w:trPr>
          <w:trHeight w:val="22"/>
        </w:trPr>
        <w:tc>
          <w:tcPr>
            <w:tcW w:w="35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Six Months Ended June 30,</w:t>
            </w: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08"/>
        </w:trPr>
        <w:tc>
          <w:tcPr>
            <w:tcW w:w="3540" w:type="dxa"/>
            <w:vAlign w:val="bottom"/>
            <w:gridSpan w:val="2"/>
            <w:vMerge w:val="continue"/>
          </w:tcPr>
          <w:p>
            <w:pPr>
              <w:spacing w:after="0"/>
              <w:rPr>
                <w:sz w:val="24"/>
                <w:szCs w:val="24"/>
                <w:color w:val="auto"/>
              </w:rPr>
            </w:pPr>
          </w:p>
        </w:tc>
        <w:tc>
          <w:tcPr>
            <w:tcW w:w="10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3540" w:type="dxa"/>
            <w:vAlign w:val="bottom"/>
            <w:gridSpan w:val="2"/>
          </w:tcPr>
          <w:p>
            <w:pPr>
              <w:spacing w:after="0"/>
              <w:rPr>
                <w:sz w:val="20"/>
                <w:szCs w:val="20"/>
                <w:color w:val="auto"/>
              </w:rPr>
            </w:pPr>
            <w:r>
              <w:rPr>
                <w:rFonts w:ascii="Arial" w:cs="Arial" w:eastAsia="Arial" w:hAnsi="Arial"/>
                <w:sz w:val="18"/>
                <w:szCs w:val="18"/>
                <w:color w:val="auto"/>
              </w:rPr>
              <w:t>Other fee revenue</w:t>
            </w:r>
          </w:p>
        </w:tc>
        <w:tc>
          <w:tcPr>
            <w:tcW w:w="1020" w:type="dxa"/>
            <w:vAlign w:val="bottom"/>
          </w:tcPr>
          <w:p>
            <w:pPr>
              <w:jc w:val="right"/>
              <w:ind w:right="831"/>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(13,056)</w:t>
            </w:r>
          </w:p>
        </w:tc>
        <w:tc>
          <w:tcPr>
            <w:tcW w:w="1440" w:type="dxa"/>
            <w:vAlign w:val="bottom"/>
            <w:gridSpan w:val="2"/>
          </w:tcPr>
          <w:p>
            <w:pPr>
              <w:jc w:val="right"/>
              <w:ind w:right="1111"/>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71"/>
              <w:spacing w:after="0"/>
              <w:rPr>
                <w:sz w:val="20"/>
                <w:szCs w:val="20"/>
                <w:color w:val="auto"/>
              </w:rPr>
            </w:pPr>
            <w:r>
              <w:rPr>
                <w:rFonts w:ascii="Arial" w:cs="Arial" w:eastAsia="Arial" w:hAnsi="Arial"/>
                <w:sz w:val="18"/>
                <w:szCs w:val="18"/>
                <w:color w:val="auto"/>
              </w:rPr>
              <w:t>823</w:t>
            </w:r>
          </w:p>
        </w:tc>
        <w:tc>
          <w:tcPr>
            <w:tcW w:w="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71"/>
              <w:spacing w:after="0"/>
              <w:rPr>
                <w:sz w:val="20"/>
                <w:szCs w:val="20"/>
                <w:color w:val="auto"/>
              </w:rPr>
            </w:pPr>
            <w:r>
              <w:rPr>
                <w:rFonts w:ascii="Arial" w:cs="Arial" w:eastAsia="Arial" w:hAnsi="Arial"/>
                <w:sz w:val="18"/>
                <w:szCs w:val="18"/>
                <w:color w:val="auto"/>
              </w:rPr>
              <w:t>13,259</w:t>
            </w:r>
          </w:p>
        </w:tc>
        <w:tc>
          <w:tcPr>
            <w:tcW w:w="5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31"/>
              <w:spacing w:after="0"/>
              <w:rPr>
                <w:sz w:val="20"/>
                <w:szCs w:val="20"/>
                <w:color w:val="auto"/>
              </w:rPr>
            </w:pPr>
            <w:r>
              <w:rPr>
                <w:rFonts w:ascii="Arial" w:cs="Arial" w:eastAsia="Arial" w:hAnsi="Arial"/>
                <w:sz w:val="18"/>
                <w:szCs w:val="18"/>
                <w:color w:val="auto"/>
              </w:rPr>
              <w:t>(1,012)</w:t>
            </w:r>
          </w:p>
        </w:tc>
        <w:tc>
          <w:tcPr>
            <w:tcW w:w="0" w:type="dxa"/>
            <w:vAlign w:val="bottom"/>
          </w:tcPr>
          <w:p>
            <w:pPr>
              <w:spacing w:after="0"/>
              <w:rPr>
                <w:sz w:val="1"/>
                <w:szCs w:val="1"/>
                <w:color w:val="auto"/>
              </w:rPr>
            </w:pPr>
          </w:p>
        </w:tc>
      </w:tr>
      <w:tr>
        <w:trPr>
          <w:trHeight w:val="21"/>
        </w:trPr>
        <w:tc>
          <w:tcPr>
            <w:tcW w:w="3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 most cases, the estate of deceased brokered certificate of deposit holders may put the certificate of deposit back to the issuing bank at par upon the death of the holder. When these death puts occur, a gain or loss is recognized for the difference between the fair value and the par amount of the deposits put back. The change in the fair value of brokered time deposits that are being hedged in fair value hedging relationships reported in the table above includes gains and losses from death puts and such gains and losses are included in the amount of reported ineffectiveness gains or losses.</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13970</wp:posOffset>
            </wp:positionV>
            <wp:extent cx="724789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7890" cy="8255"/>
                    </a:xfrm>
                    <a:prstGeom prst="rect">
                      <a:avLst/>
                    </a:prstGeom>
                    <a:noFill/>
                  </pic:spPr>
                </pic:pic>
              </a:graphicData>
            </a:graphic>
          </wp:anchor>
        </w:drawing>
      </w:r>
    </w:p>
    <w:p>
      <w:pPr>
        <w:sectPr>
          <w:pgSz w:w="11900" w:h="16838" w:orient="portrait"/>
          <w:cols w:equalWidth="0" w:num="1">
            <w:col w:w="11420"/>
          </w:cols>
          <w:pgMar w:left="240" w:top="912" w:right="239" w:bottom="1440" w:gutter="0" w:footer="0" w:header="0"/>
        </w:sectPr>
      </w:pPr>
    </w:p>
    <w:bookmarkStart w:id="30" w:name="page31"/>
    <w:bookmarkEnd w:id="30"/>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5720" w:type="dxa"/>
            <w:vAlign w:val="bottom"/>
            <w:gridSpan w:val="11"/>
          </w:tcPr>
          <w:p>
            <w:pPr>
              <w:spacing w:after="0"/>
              <w:rPr>
                <w:sz w:val="20"/>
                <w:szCs w:val="20"/>
                <w:color w:val="auto"/>
              </w:rPr>
            </w:pPr>
            <w:r>
              <w:rPr>
                <w:rFonts w:ascii="Arial" w:cs="Arial" w:eastAsia="Arial" w:hAnsi="Arial"/>
                <w:sz w:val="18"/>
                <w:szCs w:val="18"/>
                <w:b w:val="1"/>
                <w:bCs w:val="1"/>
                <w:color w:val="auto"/>
              </w:rPr>
              <w:t xml:space="preserve">Derivatives in Cash Flow Hedging Relationships </w:t>
            </w:r>
            <w:r>
              <w:rPr>
                <w:rFonts w:ascii="Arial" w:cs="Arial" w:eastAsia="Arial" w:hAnsi="Arial"/>
                <w:sz w:val="18"/>
                <w:szCs w:val="18"/>
                <w:i w:val="1"/>
                <w:iCs w:val="1"/>
                <w:color w:val="auto"/>
              </w:rPr>
              <w:t>(in thousands).</w:t>
            </w:r>
          </w:p>
        </w:tc>
        <w:tc>
          <w:tcPr>
            <w:tcW w:w="1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2"/>
        </w:trPr>
        <w:tc>
          <w:tcPr>
            <w:tcW w:w="2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20" w:type="dxa"/>
            <w:vAlign w:val="bottom"/>
            <w:gridSpan w:val="7"/>
          </w:tcPr>
          <w:p>
            <w:pPr>
              <w:jc w:val="center"/>
              <w:ind w:right="520"/>
              <w:spacing w:after="0"/>
              <w:rPr>
                <w:sz w:val="20"/>
                <w:szCs w:val="20"/>
                <w:color w:val="auto"/>
              </w:rPr>
            </w:pPr>
            <w:r>
              <w:rPr>
                <w:rFonts w:ascii="Arial" w:cs="Arial" w:eastAsia="Arial" w:hAnsi="Arial"/>
                <w:sz w:val="18"/>
                <w:szCs w:val="18"/>
                <w:b w:val="1"/>
                <w:bCs w:val="1"/>
                <w:color w:val="auto"/>
                <w:w w:val="89"/>
              </w:rPr>
              <w:t>Amount of Gain (Loss)</w:t>
            </w:r>
          </w:p>
        </w:tc>
        <w:tc>
          <w:tcPr>
            <w:tcW w:w="1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2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20" w:type="dxa"/>
            <w:vAlign w:val="bottom"/>
            <w:gridSpan w:val="7"/>
          </w:tcPr>
          <w:p>
            <w:pPr>
              <w:jc w:val="center"/>
              <w:ind w:right="540"/>
              <w:spacing w:after="0"/>
              <w:rPr>
                <w:sz w:val="20"/>
                <w:szCs w:val="20"/>
                <w:color w:val="auto"/>
              </w:rPr>
            </w:pPr>
            <w:r>
              <w:rPr>
                <w:rFonts w:ascii="Arial" w:cs="Arial" w:eastAsia="Arial" w:hAnsi="Arial"/>
                <w:sz w:val="18"/>
                <w:szCs w:val="18"/>
                <w:b w:val="1"/>
                <w:bCs w:val="1"/>
                <w:color w:val="auto"/>
                <w:w w:val="89"/>
              </w:rPr>
              <w:t>Recognized in Other</w:t>
            </w: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20" w:type="dxa"/>
            <w:vAlign w:val="bottom"/>
            <w:gridSpan w:val="7"/>
          </w:tcPr>
          <w:p>
            <w:pPr>
              <w:jc w:val="center"/>
              <w:ind w:right="520"/>
              <w:spacing w:after="0"/>
              <w:rPr>
                <w:sz w:val="20"/>
                <w:szCs w:val="20"/>
                <w:color w:val="auto"/>
              </w:rPr>
            </w:pPr>
            <w:r>
              <w:rPr>
                <w:rFonts w:ascii="Arial" w:cs="Arial" w:eastAsia="Arial" w:hAnsi="Arial"/>
                <w:sz w:val="18"/>
                <w:szCs w:val="18"/>
                <w:b w:val="1"/>
                <w:bCs w:val="1"/>
                <w:color w:val="auto"/>
                <w:w w:val="87"/>
              </w:rPr>
              <w:t>Comprehensive Income on</w:t>
            </w:r>
          </w:p>
        </w:tc>
        <w:tc>
          <w:tcPr>
            <w:tcW w:w="120" w:type="dxa"/>
            <w:vAlign w:val="bottom"/>
          </w:tcPr>
          <w:p>
            <w:pPr>
              <w:spacing w:after="0"/>
              <w:rPr>
                <w:sz w:val="18"/>
                <w:szCs w:val="18"/>
                <w:color w:val="auto"/>
              </w:rPr>
            </w:pPr>
          </w:p>
        </w:tc>
        <w:tc>
          <w:tcPr>
            <w:tcW w:w="5300" w:type="dxa"/>
            <w:vAlign w:val="bottom"/>
            <w:gridSpan w:val="10"/>
          </w:tcPr>
          <w:p>
            <w:pPr>
              <w:ind w:left="660"/>
              <w:spacing w:after="0"/>
              <w:rPr>
                <w:sz w:val="20"/>
                <w:szCs w:val="20"/>
                <w:color w:val="auto"/>
              </w:rPr>
            </w:pPr>
            <w:r>
              <w:rPr>
                <w:rFonts w:ascii="Arial" w:cs="Arial" w:eastAsia="Arial" w:hAnsi="Arial"/>
                <w:sz w:val="18"/>
                <w:szCs w:val="18"/>
                <w:b w:val="1"/>
                <w:bCs w:val="1"/>
                <w:color w:val="auto"/>
              </w:rPr>
              <w:t>Gain (Loss) Reclassified from Accumulated Other</w:t>
            </w:r>
          </w:p>
        </w:tc>
        <w:tc>
          <w:tcPr>
            <w:tcW w:w="0" w:type="dxa"/>
            <w:vAlign w:val="bottom"/>
          </w:tcPr>
          <w:p>
            <w:pPr>
              <w:spacing w:after="0"/>
              <w:rPr>
                <w:sz w:val="1"/>
                <w:szCs w:val="1"/>
                <w:color w:val="auto"/>
              </w:rPr>
            </w:pPr>
          </w:p>
        </w:tc>
      </w:tr>
      <w:tr>
        <w:trPr>
          <w:trHeight w:val="239"/>
        </w:trPr>
        <w:tc>
          <w:tcPr>
            <w:tcW w:w="2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20" w:type="dxa"/>
            <w:vAlign w:val="bottom"/>
            <w:gridSpan w:val="7"/>
          </w:tcPr>
          <w:p>
            <w:pPr>
              <w:jc w:val="center"/>
              <w:ind w:right="520"/>
              <w:spacing w:after="0"/>
              <w:rPr>
                <w:sz w:val="20"/>
                <w:szCs w:val="20"/>
                <w:color w:val="auto"/>
              </w:rPr>
            </w:pPr>
            <w:r>
              <w:rPr>
                <w:rFonts w:ascii="Arial" w:cs="Arial" w:eastAsia="Arial" w:hAnsi="Arial"/>
                <w:sz w:val="18"/>
                <w:szCs w:val="18"/>
                <w:b w:val="1"/>
                <w:bCs w:val="1"/>
                <w:color w:val="auto"/>
                <w:w w:val="91"/>
              </w:rPr>
              <w:t>Derivative (Effective Portion)</w:t>
            </w:r>
          </w:p>
        </w:tc>
        <w:tc>
          <w:tcPr>
            <w:tcW w:w="120" w:type="dxa"/>
            <w:vAlign w:val="bottom"/>
          </w:tcPr>
          <w:p>
            <w:pPr>
              <w:spacing w:after="0"/>
              <w:rPr>
                <w:sz w:val="20"/>
                <w:szCs w:val="20"/>
                <w:color w:val="auto"/>
              </w:rPr>
            </w:pPr>
          </w:p>
        </w:tc>
        <w:tc>
          <w:tcPr>
            <w:tcW w:w="5300" w:type="dxa"/>
            <w:vAlign w:val="bottom"/>
            <w:gridSpan w:val="10"/>
          </w:tcPr>
          <w:p>
            <w:pPr>
              <w:jc w:val="right"/>
              <w:ind w:right="531"/>
              <w:spacing w:after="0"/>
              <w:rPr>
                <w:sz w:val="20"/>
                <w:szCs w:val="20"/>
                <w:color w:val="auto"/>
              </w:rPr>
            </w:pPr>
            <w:r>
              <w:rPr>
                <w:rFonts w:ascii="Arial" w:cs="Arial" w:eastAsia="Arial" w:hAnsi="Arial"/>
                <w:sz w:val="18"/>
                <w:szCs w:val="18"/>
                <w:b w:val="1"/>
                <w:bCs w:val="1"/>
                <w:color w:val="auto"/>
                <w:w w:val="99"/>
              </w:rPr>
              <w:t>Comprehensive Income into Income (Effective Portion)</w:t>
            </w:r>
          </w:p>
        </w:tc>
        <w:tc>
          <w:tcPr>
            <w:tcW w:w="0" w:type="dxa"/>
            <w:vAlign w:val="bottom"/>
          </w:tcPr>
          <w:p>
            <w:pPr>
              <w:spacing w:after="0"/>
              <w:rPr>
                <w:sz w:val="1"/>
                <w:szCs w:val="1"/>
                <w:color w:val="auto"/>
              </w:rPr>
            </w:pPr>
          </w:p>
        </w:tc>
      </w:tr>
      <w:tr>
        <w:trPr>
          <w:trHeight w:val="221"/>
        </w:trPr>
        <w:tc>
          <w:tcPr>
            <w:tcW w:w="2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ind w:left="260"/>
              <w:spacing w:after="0"/>
              <w:rPr>
                <w:sz w:val="20"/>
                <w:szCs w:val="20"/>
                <w:color w:val="auto"/>
              </w:rPr>
            </w:pPr>
            <w:r>
              <w:rPr>
                <w:rFonts w:ascii="Arial" w:cs="Arial" w:eastAsia="Arial" w:hAnsi="Arial"/>
                <w:sz w:val="18"/>
                <w:szCs w:val="18"/>
                <w:b w:val="1"/>
                <w:bCs w:val="1"/>
                <w:color w:val="auto"/>
              </w:rPr>
              <w:t>2013</w:t>
            </w:r>
          </w:p>
        </w:tc>
        <w:tc>
          <w:tcPr>
            <w:tcW w:w="140" w:type="dxa"/>
            <w:vAlign w:val="bottom"/>
            <w:tcBorders>
              <w:top w:val="single" w:sz="8" w:color="auto"/>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91"/>
              <w:spacing w:after="0"/>
              <w:rPr>
                <w:sz w:val="20"/>
                <w:szCs w:val="20"/>
                <w:color w:val="auto"/>
              </w:rPr>
            </w:pPr>
            <w:r>
              <w:rPr>
                <w:rFonts w:ascii="Arial" w:cs="Arial" w:eastAsia="Arial" w:hAnsi="Arial"/>
                <w:sz w:val="18"/>
                <w:szCs w:val="18"/>
                <w:b w:val="1"/>
                <w:bCs w:val="1"/>
                <w:color w:val="auto"/>
              </w:rPr>
              <w:t>2012</w:t>
            </w:r>
          </w:p>
        </w:tc>
        <w:tc>
          <w:tcPr>
            <w:tcW w:w="140" w:type="dxa"/>
            <w:vAlign w:val="bottom"/>
            <w:tcBorders>
              <w:top w:val="single" w:sz="8" w:color="auto"/>
              <w:bottom w:val="single" w:sz="8" w:color="auto"/>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Borders>
              <w:top w:val="single" w:sz="8" w:color="auto"/>
              <w:bottom w:val="single" w:sz="8" w:color="auto"/>
            </w:tcBorders>
          </w:tcPr>
          <w:p>
            <w:pPr>
              <w:ind w:left="660"/>
              <w:spacing w:after="0"/>
              <w:rPr>
                <w:sz w:val="20"/>
                <w:szCs w:val="20"/>
                <w:color w:val="auto"/>
              </w:rPr>
            </w:pPr>
            <w:r>
              <w:rPr>
                <w:rFonts w:ascii="Arial" w:cs="Arial" w:eastAsia="Arial" w:hAnsi="Arial"/>
                <w:sz w:val="18"/>
                <w:szCs w:val="18"/>
                <w:b w:val="1"/>
                <w:bCs w:val="1"/>
                <w:color w:val="auto"/>
                <w:w w:val="95"/>
              </w:rPr>
              <w:t>Location</w:t>
            </w:r>
          </w:p>
        </w:tc>
        <w:tc>
          <w:tcPr>
            <w:tcW w:w="14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111"/>
              <w:spacing w:after="0"/>
              <w:rPr>
                <w:sz w:val="20"/>
                <w:szCs w:val="20"/>
                <w:color w:val="auto"/>
              </w:rPr>
            </w:pPr>
            <w:r>
              <w:rPr>
                <w:rFonts w:ascii="Arial" w:cs="Arial" w:eastAsia="Arial" w:hAnsi="Arial"/>
                <w:sz w:val="18"/>
                <w:szCs w:val="18"/>
                <w:b w:val="1"/>
                <w:bCs w:val="1"/>
                <w:color w:val="auto"/>
              </w:rPr>
              <w:t>2013</w:t>
            </w:r>
          </w:p>
        </w:tc>
        <w:tc>
          <w:tcPr>
            <w:tcW w:w="80" w:type="dxa"/>
            <w:vAlign w:val="bottom"/>
            <w:tcBorders>
              <w:top w:val="single" w:sz="8" w:color="auto"/>
              <w:bottom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571"/>
              <w:spacing w:after="0"/>
              <w:rPr>
                <w:sz w:val="20"/>
                <w:szCs w:val="20"/>
                <w:color w:val="auto"/>
              </w:rPr>
            </w:pPr>
            <w:r>
              <w:rPr>
                <w:rFonts w:ascii="Arial" w:cs="Arial" w:eastAsia="Arial" w:hAnsi="Arial"/>
                <w:sz w:val="18"/>
                <w:szCs w:val="18"/>
                <w:b w:val="1"/>
                <w:bCs w:val="1"/>
                <w:color w:val="auto"/>
              </w:rPr>
              <w:t>2012</w:t>
            </w:r>
          </w:p>
        </w:tc>
        <w:tc>
          <w:tcPr>
            <w:tcW w:w="0" w:type="dxa"/>
            <w:vAlign w:val="bottom"/>
          </w:tcPr>
          <w:p>
            <w:pPr>
              <w:spacing w:after="0"/>
              <w:rPr>
                <w:sz w:val="1"/>
                <w:szCs w:val="1"/>
                <w:color w:val="auto"/>
              </w:rPr>
            </w:pPr>
          </w:p>
        </w:tc>
      </w:tr>
      <w:tr>
        <w:trPr>
          <w:trHeight w:val="427"/>
        </w:trPr>
        <w:tc>
          <w:tcPr>
            <w:tcW w:w="2700" w:type="dxa"/>
            <w:vAlign w:val="bottom"/>
            <w:gridSpan w:val="4"/>
          </w:tcPr>
          <w:p>
            <w:pPr>
              <w:ind w:left="300"/>
              <w:spacing w:after="0"/>
              <w:rPr>
                <w:sz w:val="20"/>
                <w:szCs w:val="20"/>
                <w:color w:val="auto"/>
              </w:rPr>
            </w:pPr>
            <w:r>
              <w:rPr>
                <w:rFonts w:ascii="Arial" w:cs="Arial" w:eastAsia="Arial" w:hAnsi="Arial"/>
                <w:sz w:val="18"/>
                <w:szCs w:val="18"/>
                <w:b w:val="1"/>
                <w:bCs w:val="1"/>
                <w:color w:val="auto"/>
                <w:w w:val="93"/>
              </w:rPr>
              <w:t>Three Months Ended June 30,</w:t>
            </w:r>
          </w:p>
        </w:tc>
        <w:tc>
          <w:tcPr>
            <w:tcW w:w="1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20" w:type="dxa"/>
            <w:vAlign w:val="bottom"/>
            <w:gridSpan w:val="2"/>
            <w:vMerge w:val="restart"/>
          </w:tcPr>
          <w:p>
            <w:pPr>
              <w:ind w:left="100"/>
              <w:spacing w:after="0"/>
              <w:rPr>
                <w:sz w:val="20"/>
                <w:szCs w:val="20"/>
                <w:color w:val="auto"/>
              </w:rPr>
            </w:pPr>
            <w:r>
              <w:rPr>
                <w:rFonts w:ascii="Arial" w:cs="Arial" w:eastAsia="Arial" w:hAnsi="Arial"/>
                <w:sz w:val="18"/>
                <w:szCs w:val="18"/>
                <w:color w:val="auto"/>
              </w:rPr>
              <w:t>Interest revenue</w:t>
            </w: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80" w:type="dxa"/>
            <w:vAlign w:val="bottom"/>
            <w:gridSpan w:val="2"/>
            <w:vMerge w:val="restart"/>
          </w:tcPr>
          <w:p>
            <w:pPr>
              <w:ind w:left="120"/>
              <w:spacing w:after="0"/>
              <w:rPr>
                <w:sz w:val="20"/>
                <w:szCs w:val="20"/>
                <w:color w:val="auto"/>
              </w:rPr>
            </w:pPr>
            <w:r>
              <w:rPr>
                <w:rFonts w:ascii="Arial" w:cs="Arial" w:eastAsia="Arial" w:hAnsi="Arial"/>
                <w:sz w:val="18"/>
                <w:szCs w:val="18"/>
                <w:color w:val="auto"/>
              </w:rPr>
              <w:t>$</w:t>
            </w:r>
          </w:p>
        </w:tc>
        <w:tc>
          <w:tcPr>
            <w:tcW w:w="44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w w:val="93"/>
              </w:rPr>
              <w:t>303</w:t>
            </w:r>
          </w:p>
        </w:tc>
        <w:tc>
          <w:tcPr>
            <w:tcW w:w="420" w:type="dxa"/>
            <w:vAlign w:val="bottom"/>
            <w:gridSpan w:val="2"/>
            <w:vMerge w:val="restart"/>
          </w:tcPr>
          <w:p>
            <w:pPr>
              <w:jc w:val="right"/>
              <w:ind w:right="147"/>
              <w:spacing w:after="0"/>
              <w:rPr>
                <w:sz w:val="20"/>
                <w:szCs w:val="20"/>
                <w:color w:val="auto"/>
              </w:rPr>
            </w:pPr>
            <w:r>
              <w:rPr>
                <w:rFonts w:ascii="Arial" w:cs="Arial" w:eastAsia="Arial" w:hAnsi="Arial"/>
                <w:sz w:val="18"/>
                <w:szCs w:val="18"/>
                <w:color w:val="auto"/>
              </w:rPr>
              <w:t>$</w:t>
            </w:r>
          </w:p>
        </w:tc>
        <w:tc>
          <w:tcPr>
            <w:tcW w:w="1220" w:type="dxa"/>
            <w:vAlign w:val="bottom"/>
            <w:vMerge w:val="restart"/>
          </w:tcPr>
          <w:p>
            <w:pPr>
              <w:jc w:val="right"/>
              <w:ind w:right="71"/>
              <w:spacing w:after="0"/>
              <w:rPr>
                <w:sz w:val="20"/>
                <w:szCs w:val="20"/>
                <w:color w:val="auto"/>
              </w:rPr>
            </w:pPr>
            <w:r>
              <w:rPr>
                <w:rFonts w:ascii="Arial" w:cs="Arial" w:eastAsia="Arial" w:hAnsi="Arial"/>
                <w:sz w:val="18"/>
                <w:szCs w:val="18"/>
                <w:color w:val="auto"/>
              </w:rPr>
              <w:t>671</w:t>
            </w:r>
          </w:p>
        </w:tc>
        <w:tc>
          <w:tcPr>
            <w:tcW w:w="0" w:type="dxa"/>
            <w:vAlign w:val="bottom"/>
          </w:tcPr>
          <w:p>
            <w:pPr>
              <w:spacing w:after="0"/>
              <w:rPr>
                <w:sz w:val="1"/>
                <w:szCs w:val="1"/>
                <w:color w:val="auto"/>
              </w:rPr>
            </w:pPr>
          </w:p>
        </w:tc>
      </w:tr>
      <w:tr>
        <w:trPr>
          <w:trHeight w:val="202"/>
        </w:trPr>
        <w:tc>
          <w:tcPr>
            <w:tcW w:w="2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2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180" w:type="dxa"/>
            <w:vAlign w:val="bottom"/>
            <w:gridSpan w:val="2"/>
            <w:vMerge w:val="continue"/>
          </w:tcPr>
          <w:p>
            <w:pPr>
              <w:spacing w:after="0"/>
              <w:rPr>
                <w:sz w:val="17"/>
                <w:szCs w:val="17"/>
                <w:color w:val="auto"/>
              </w:rPr>
            </w:pPr>
          </w:p>
        </w:tc>
        <w:tc>
          <w:tcPr>
            <w:tcW w:w="440" w:type="dxa"/>
            <w:vAlign w:val="bottom"/>
            <w:gridSpan w:val="2"/>
            <w:vMerge w:val="continue"/>
          </w:tcPr>
          <w:p>
            <w:pPr>
              <w:spacing w:after="0"/>
              <w:rPr>
                <w:sz w:val="17"/>
                <w:szCs w:val="17"/>
                <w:color w:val="auto"/>
              </w:rPr>
            </w:pPr>
          </w:p>
        </w:tc>
        <w:tc>
          <w:tcPr>
            <w:tcW w:w="420" w:type="dxa"/>
            <w:vAlign w:val="bottom"/>
            <w:gridSpan w:val="2"/>
            <w:vMerge w:val="continue"/>
          </w:tcPr>
          <w:p>
            <w:pPr>
              <w:spacing w:after="0"/>
              <w:rPr>
                <w:sz w:val="17"/>
                <w:szCs w:val="17"/>
                <w:color w:val="auto"/>
              </w:rPr>
            </w:pPr>
          </w:p>
        </w:tc>
        <w:tc>
          <w:tcPr>
            <w:tcW w:w="12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2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20" w:type="dxa"/>
            <w:vAlign w:val="bottom"/>
            <w:gridSpan w:val="2"/>
          </w:tcPr>
          <w:p>
            <w:pPr>
              <w:ind w:left="100"/>
              <w:spacing w:after="0"/>
              <w:rPr>
                <w:sz w:val="20"/>
                <w:szCs w:val="20"/>
                <w:color w:val="auto"/>
              </w:rPr>
            </w:pPr>
            <w:r>
              <w:rPr>
                <w:rFonts w:ascii="Arial" w:cs="Arial" w:eastAsia="Arial" w:hAnsi="Arial"/>
                <w:sz w:val="18"/>
                <w:szCs w:val="18"/>
                <w:color w:val="auto"/>
              </w:rPr>
              <w:t>Other income</w:t>
            </w:r>
          </w:p>
        </w:tc>
        <w:tc>
          <w:tcPr>
            <w:tcW w:w="1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4"/>
        </w:trPr>
        <w:tc>
          <w:tcPr>
            <w:tcW w:w="2200" w:type="dxa"/>
            <w:vAlign w:val="bottom"/>
          </w:tcPr>
          <w:p>
            <w:pPr>
              <w:ind w:left="300"/>
              <w:spacing w:after="0"/>
              <w:rPr>
                <w:sz w:val="20"/>
                <w:szCs w:val="20"/>
                <w:color w:val="auto"/>
              </w:rPr>
            </w:pPr>
            <w:r>
              <w:rPr>
                <w:rFonts w:ascii="Arial" w:cs="Arial" w:eastAsia="Arial" w:hAnsi="Arial"/>
                <w:sz w:val="18"/>
                <w:szCs w:val="18"/>
                <w:color w:val="auto"/>
              </w:rPr>
              <w:t>Interest rate products</w:t>
            </w:r>
          </w:p>
        </w:tc>
        <w:tc>
          <w:tcPr>
            <w:tcW w:w="500" w:type="dxa"/>
            <w:vAlign w:val="bottom"/>
            <w:gridSpan w:val="3"/>
          </w:tcPr>
          <w:p>
            <w:pPr>
              <w:ind w:left="260"/>
              <w:spacing w:after="0"/>
              <w:rPr>
                <w:sz w:val="20"/>
                <w:szCs w:val="20"/>
                <w:color w:val="auto"/>
              </w:rPr>
            </w:pPr>
            <w:r>
              <w:rPr>
                <w:rFonts w:ascii="Arial" w:cs="Arial" w:eastAsia="Arial" w:hAnsi="Arial"/>
                <w:sz w:val="18"/>
                <w:szCs w:val="18"/>
                <w:color w:val="auto"/>
              </w:rPr>
              <w:t>$</w:t>
            </w:r>
          </w:p>
        </w:tc>
        <w:tc>
          <w:tcPr>
            <w:tcW w:w="1240" w:type="dxa"/>
            <w:vAlign w:val="bottom"/>
          </w:tcPr>
          <w:p>
            <w:pPr>
              <w:ind w:left="620"/>
              <w:spacing w:after="0"/>
              <w:rPr>
                <w:sz w:val="20"/>
                <w:szCs w:val="20"/>
                <w:color w:val="auto"/>
              </w:rPr>
            </w:pPr>
            <w:r>
              <w:rPr>
                <w:rFonts w:ascii="Arial" w:cs="Arial" w:eastAsia="Arial" w:hAnsi="Arial"/>
                <w:sz w:val="18"/>
                <w:szCs w:val="18"/>
                <w:color w:val="auto"/>
              </w:rPr>
              <w:t>11,672</w:t>
            </w:r>
          </w:p>
        </w:tc>
        <w:tc>
          <w:tcPr>
            <w:tcW w:w="5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(4,855)</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2"/>
          </w:tcPr>
          <w:p>
            <w:pPr>
              <w:ind w:left="100"/>
              <w:spacing w:after="0"/>
              <w:rPr>
                <w:sz w:val="20"/>
                <w:szCs w:val="20"/>
                <w:color w:val="auto"/>
              </w:rPr>
            </w:pPr>
            <w:r>
              <w:rPr>
                <w:rFonts w:ascii="Arial" w:cs="Arial" w:eastAsia="Arial" w:hAnsi="Arial"/>
                <w:sz w:val="18"/>
                <w:szCs w:val="18"/>
                <w:color w:val="auto"/>
              </w:rPr>
              <w:t>Total</w:t>
            </w: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140"/>
              <w:spacing w:after="0"/>
              <w:rPr>
                <w:sz w:val="20"/>
                <w:szCs w:val="20"/>
                <w:color w:val="auto"/>
              </w:rPr>
            </w:pPr>
            <w:r>
              <w:rPr>
                <w:rFonts w:ascii="Arial" w:cs="Arial" w:eastAsia="Arial" w:hAnsi="Arial"/>
                <w:sz w:val="18"/>
                <w:szCs w:val="18"/>
                <w:color w:val="auto"/>
                <w:w w:val="93"/>
              </w:rPr>
              <w:t>306</w:t>
            </w:r>
          </w:p>
        </w:tc>
        <w:tc>
          <w:tcPr>
            <w:tcW w:w="120" w:type="dxa"/>
            <w:vAlign w:val="bottom"/>
          </w:tcPr>
          <w:p>
            <w:pPr>
              <w:spacing w:after="0"/>
              <w:rPr>
                <w:sz w:val="18"/>
                <w:szCs w:val="18"/>
                <w:color w:val="auto"/>
              </w:rPr>
            </w:pPr>
          </w:p>
        </w:tc>
        <w:tc>
          <w:tcPr>
            <w:tcW w:w="300" w:type="dxa"/>
            <w:vAlign w:val="bottom"/>
          </w:tcPr>
          <w:p>
            <w:pPr>
              <w:jc w:val="right"/>
              <w:ind w:right="147"/>
              <w:spacing w:after="0"/>
              <w:rPr>
                <w:sz w:val="20"/>
                <w:szCs w:val="20"/>
                <w:color w:val="auto"/>
              </w:rPr>
            </w:pPr>
            <w:r>
              <w:rPr>
                <w:rFonts w:ascii="Arial" w:cs="Arial" w:eastAsia="Arial" w:hAnsi="Arial"/>
                <w:sz w:val="15"/>
                <w:szCs w:val="15"/>
                <w:color w:val="auto"/>
                <w:w w:val="71"/>
              </w:rPr>
              <w:t>$</w:t>
            </w:r>
          </w:p>
        </w:tc>
        <w:tc>
          <w:tcPr>
            <w:tcW w:w="1220" w:type="dxa"/>
            <w:vAlign w:val="bottom"/>
          </w:tcPr>
          <w:p>
            <w:pPr>
              <w:jc w:val="right"/>
              <w:ind w:right="71"/>
              <w:spacing w:after="0"/>
              <w:rPr>
                <w:sz w:val="20"/>
                <w:szCs w:val="20"/>
                <w:color w:val="auto"/>
              </w:rPr>
            </w:pPr>
            <w:r>
              <w:rPr>
                <w:rFonts w:ascii="Arial" w:cs="Arial" w:eastAsia="Arial" w:hAnsi="Arial"/>
                <w:sz w:val="18"/>
                <w:szCs w:val="18"/>
                <w:color w:val="auto"/>
              </w:rPr>
              <w:t>714</w:t>
            </w:r>
          </w:p>
        </w:tc>
        <w:tc>
          <w:tcPr>
            <w:tcW w:w="0" w:type="dxa"/>
            <w:vAlign w:val="bottom"/>
          </w:tcPr>
          <w:p>
            <w:pPr>
              <w:spacing w:after="0"/>
              <w:rPr>
                <w:sz w:val="1"/>
                <w:szCs w:val="1"/>
                <w:color w:val="auto"/>
              </w:rPr>
            </w:pPr>
          </w:p>
        </w:tc>
      </w:tr>
      <w:tr>
        <w:trPr>
          <w:trHeight w:val="20"/>
        </w:trPr>
        <w:tc>
          <w:tcPr>
            <w:tcW w:w="2200" w:type="dxa"/>
            <w:vAlign w:val="bottom"/>
            <w:vMerge w:val="restart"/>
          </w:tcPr>
          <w:p>
            <w:pPr>
              <w:ind w:left="300"/>
              <w:spacing w:after="0"/>
              <w:rPr>
                <w:sz w:val="20"/>
                <w:szCs w:val="20"/>
                <w:color w:val="auto"/>
              </w:rPr>
            </w:pPr>
            <w:r>
              <w:rPr>
                <w:rFonts w:ascii="Arial" w:cs="Arial" w:eastAsia="Arial" w:hAnsi="Arial"/>
                <w:sz w:val="18"/>
                <w:szCs w:val="18"/>
                <w:b w:val="1"/>
                <w:bCs w:val="1"/>
                <w:color w:val="auto"/>
                <w:w w:val="92"/>
              </w:rPr>
              <w:t>Six Months Ended June</w:t>
            </w: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04"/>
        </w:trPr>
        <w:tc>
          <w:tcPr>
            <w:tcW w:w="22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1"/>
        </w:trPr>
        <w:tc>
          <w:tcPr>
            <w:tcW w:w="2200" w:type="dxa"/>
            <w:vAlign w:val="bottom"/>
          </w:tcPr>
          <w:p>
            <w:pPr>
              <w:ind w:left="300"/>
              <w:spacing w:after="0"/>
              <w:rPr>
                <w:sz w:val="20"/>
                <w:szCs w:val="20"/>
                <w:color w:val="auto"/>
              </w:rPr>
            </w:pPr>
            <w:r>
              <w:rPr>
                <w:rFonts w:ascii="Arial" w:cs="Arial" w:eastAsia="Arial" w:hAnsi="Arial"/>
                <w:sz w:val="18"/>
                <w:szCs w:val="18"/>
                <w:b w:val="1"/>
                <w:bCs w:val="1"/>
                <w:color w:val="auto"/>
              </w:rPr>
              <w:t>30,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20" w:type="dxa"/>
            <w:vAlign w:val="bottom"/>
            <w:gridSpan w:val="2"/>
            <w:vMerge w:val="restart"/>
          </w:tcPr>
          <w:p>
            <w:pPr>
              <w:ind w:left="100"/>
              <w:spacing w:after="0"/>
              <w:rPr>
                <w:sz w:val="20"/>
                <w:szCs w:val="20"/>
                <w:color w:val="auto"/>
              </w:rPr>
            </w:pPr>
            <w:r>
              <w:rPr>
                <w:rFonts w:ascii="Arial" w:cs="Arial" w:eastAsia="Arial" w:hAnsi="Arial"/>
                <w:sz w:val="18"/>
                <w:szCs w:val="18"/>
                <w:color w:val="auto"/>
              </w:rPr>
              <w:t>Interest revenue</w:t>
            </w:r>
          </w:p>
        </w:tc>
        <w:tc>
          <w:tcPr>
            <w:tcW w:w="1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180" w:type="dxa"/>
            <w:vAlign w:val="bottom"/>
            <w:gridSpan w:val="2"/>
            <w:vMerge w:val="restart"/>
          </w:tcPr>
          <w:p>
            <w:pPr>
              <w:ind w:left="120"/>
              <w:spacing w:after="0"/>
              <w:rPr>
                <w:sz w:val="20"/>
                <w:szCs w:val="20"/>
                <w:color w:val="auto"/>
              </w:rPr>
            </w:pPr>
            <w:r>
              <w:rPr>
                <w:rFonts w:ascii="Arial" w:cs="Arial" w:eastAsia="Arial" w:hAnsi="Arial"/>
                <w:sz w:val="18"/>
                <w:szCs w:val="18"/>
                <w:color w:val="auto"/>
              </w:rPr>
              <w:t>$</w:t>
            </w:r>
          </w:p>
        </w:tc>
        <w:tc>
          <w:tcPr>
            <w:tcW w:w="44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w w:val="93"/>
              </w:rPr>
              <w:t>840</w:t>
            </w:r>
          </w:p>
        </w:tc>
        <w:tc>
          <w:tcPr>
            <w:tcW w:w="420" w:type="dxa"/>
            <w:vAlign w:val="bottom"/>
            <w:gridSpan w:val="2"/>
            <w:vMerge w:val="restart"/>
          </w:tcPr>
          <w:p>
            <w:pPr>
              <w:jc w:val="right"/>
              <w:ind w:right="147"/>
              <w:spacing w:after="0"/>
              <w:rPr>
                <w:sz w:val="20"/>
                <w:szCs w:val="20"/>
                <w:color w:val="auto"/>
              </w:rPr>
            </w:pPr>
            <w:r>
              <w:rPr>
                <w:rFonts w:ascii="Arial" w:cs="Arial" w:eastAsia="Arial" w:hAnsi="Arial"/>
                <w:sz w:val="18"/>
                <w:szCs w:val="18"/>
                <w:color w:val="auto"/>
              </w:rPr>
              <w:t>$</w:t>
            </w:r>
          </w:p>
        </w:tc>
        <w:tc>
          <w:tcPr>
            <w:tcW w:w="1220" w:type="dxa"/>
            <w:vAlign w:val="bottom"/>
            <w:vMerge w:val="restart"/>
          </w:tcPr>
          <w:p>
            <w:pPr>
              <w:jc w:val="right"/>
              <w:ind w:right="71"/>
              <w:spacing w:after="0"/>
              <w:rPr>
                <w:sz w:val="20"/>
                <w:szCs w:val="20"/>
                <w:color w:val="auto"/>
              </w:rPr>
            </w:pPr>
            <w:r>
              <w:rPr>
                <w:rFonts w:ascii="Arial" w:cs="Arial" w:eastAsia="Arial" w:hAnsi="Arial"/>
                <w:sz w:val="18"/>
                <w:szCs w:val="18"/>
                <w:color w:val="auto"/>
              </w:rPr>
              <w:t>2,190</w:t>
            </w:r>
          </w:p>
        </w:tc>
        <w:tc>
          <w:tcPr>
            <w:tcW w:w="0" w:type="dxa"/>
            <w:vAlign w:val="bottom"/>
          </w:tcPr>
          <w:p>
            <w:pPr>
              <w:spacing w:after="0"/>
              <w:rPr>
                <w:sz w:val="1"/>
                <w:szCs w:val="1"/>
                <w:color w:val="auto"/>
              </w:rPr>
            </w:pPr>
          </w:p>
        </w:tc>
      </w:tr>
      <w:tr>
        <w:trPr>
          <w:trHeight w:val="202"/>
        </w:trPr>
        <w:tc>
          <w:tcPr>
            <w:tcW w:w="2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2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180" w:type="dxa"/>
            <w:vAlign w:val="bottom"/>
            <w:gridSpan w:val="2"/>
            <w:vMerge w:val="continue"/>
          </w:tcPr>
          <w:p>
            <w:pPr>
              <w:spacing w:after="0"/>
              <w:rPr>
                <w:sz w:val="17"/>
                <w:szCs w:val="17"/>
                <w:color w:val="auto"/>
              </w:rPr>
            </w:pPr>
          </w:p>
        </w:tc>
        <w:tc>
          <w:tcPr>
            <w:tcW w:w="440" w:type="dxa"/>
            <w:vAlign w:val="bottom"/>
            <w:gridSpan w:val="2"/>
            <w:vMerge w:val="continue"/>
          </w:tcPr>
          <w:p>
            <w:pPr>
              <w:spacing w:after="0"/>
              <w:rPr>
                <w:sz w:val="17"/>
                <w:szCs w:val="17"/>
                <w:color w:val="auto"/>
              </w:rPr>
            </w:pPr>
          </w:p>
        </w:tc>
        <w:tc>
          <w:tcPr>
            <w:tcW w:w="420" w:type="dxa"/>
            <w:vAlign w:val="bottom"/>
            <w:gridSpan w:val="2"/>
            <w:vMerge w:val="continue"/>
          </w:tcPr>
          <w:p>
            <w:pPr>
              <w:spacing w:after="0"/>
              <w:rPr>
                <w:sz w:val="17"/>
                <w:szCs w:val="17"/>
                <w:color w:val="auto"/>
              </w:rPr>
            </w:pPr>
          </w:p>
        </w:tc>
        <w:tc>
          <w:tcPr>
            <w:tcW w:w="12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2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20" w:type="dxa"/>
            <w:vAlign w:val="bottom"/>
            <w:gridSpan w:val="2"/>
          </w:tcPr>
          <w:p>
            <w:pPr>
              <w:ind w:left="100"/>
              <w:spacing w:after="0"/>
              <w:rPr>
                <w:sz w:val="20"/>
                <w:szCs w:val="20"/>
                <w:color w:val="auto"/>
              </w:rPr>
            </w:pPr>
            <w:r>
              <w:rPr>
                <w:rFonts w:ascii="Arial" w:cs="Arial" w:eastAsia="Arial" w:hAnsi="Arial"/>
                <w:sz w:val="18"/>
                <w:szCs w:val="18"/>
                <w:color w:val="auto"/>
              </w:rPr>
              <w:t>Other income</w:t>
            </w:r>
          </w:p>
        </w:tc>
        <w:tc>
          <w:tcPr>
            <w:tcW w:w="1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14"/>
        </w:trPr>
        <w:tc>
          <w:tcPr>
            <w:tcW w:w="2200" w:type="dxa"/>
            <w:vAlign w:val="bottom"/>
          </w:tcPr>
          <w:p>
            <w:pPr>
              <w:ind w:left="300"/>
              <w:spacing w:after="0"/>
              <w:rPr>
                <w:sz w:val="20"/>
                <w:szCs w:val="20"/>
                <w:color w:val="auto"/>
              </w:rPr>
            </w:pPr>
            <w:r>
              <w:rPr>
                <w:rFonts w:ascii="Arial" w:cs="Arial" w:eastAsia="Arial" w:hAnsi="Arial"/>
                <w:sz w:val="18"/>
                <w:szCs w:val="18"/>
                <w:color w:val="auto"/>
              </w:rPr>
              <w:t>Interest rate products</w:t>
            </w:r>
          </w:p>
        </w:tc>
        <w:tc>
          <w:tcPr>
            <w:tcW w:w="500" w:type="dxa"/>
            <w:vAlign w:val="bottom"/>
            <w:gridSpan w:val="3"/>
          </w:tcPr>
          <w:p>
            <w:pPr>
              <w:ind w:left="260"/>
              <w:spacing w:after="0"/>
              <w:rPr>
                <w:sz w:val="20"/>
                <w:szCs w:val="20"/>
                <w:color w:val="auto"/>
              </w:rPr>
            </w:pPr>
            <w:r>
              <w:rPr>
                <w:rFonts w:ascii="Arial" w:cs="Arial" w:eastAsia="Arial" w:hAnsi="Arial"/>
                <w:sz w:val="18"/>
                <w:szCs w:val="18"/>
                <w:color w:val="auto"/>
              </w:rPr>
              <w:t>$</w:t>
            </w:r>
          </w:p>
        </w:tc>
        <w:tc>
          <w:tcPr>
            <w:tcW w:w="1240" w:type="dxa"/>
            <w:vAlign w:val="bottom"/>
          </w:tcPr>
          <w:p>
            <w:pPr>
              <w:ind w:left="620"/>
              <w:spacing w:after="0"/>
              <w:rPr>
                <w:sz w:val="20"/>
                <w:szCs w:val="20"/>
                <w:color w:val="auto"/>
              </w:rPr>
            </w:pPr>
            <w:r>
              <w:rPr>
                <w:rFonts w:ascii="Arial" w:cs="Arial" w:eastAsia="Arial" w:hAnsi="Arial"/>
                <w:sz w:val="18"/>
                <w:szCs w:val="18"/>
                <w:color w:val="auto"/>
              </w:rPr>
              <w:t>12,102</w:t>
            </w:r>
          </w:p>
        </w:tc>
        <w:tc>
          <w:tcPr>
            <w:tcW w:w="5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(4,855)</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2"/>
          </w:tcPr>
          <w:p>
            <w:pPr>
              <w:ind w:left="100"/>
              <w:spacing w:after="0"/>
              <w:rPr>
                <w:sz w:val="20"/>
                <w:szCs w:val="20"/>
                <w:color w:val="auto"/>
              </w:rPr>
            </w:pPr>
            <w:r>
              <w:rPr>
                <w:rFonts w:ascii="Arial" w:cs="Arial" w:eastAsia="Arial" w:hAnsi="Arial"/>
                <w:sz w:val="18"/>
                <w:szCs w:val="18"/>
                <w:color w:val="auto"/>
              </w:rPr>
              <w:t>Total</w:t>
            </w: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140"/>
              <w:spacing w:after="0"/>
              <w:rPr>
                <w:sz w:val="20"/>
                <w:szCs w:val="20"/>
                <w:color w:val="auto"/>
              </w:rPr>
            </w:pPr>
            <w:r>
              <w:rPr>
                <w:rFonts w:ascii="Arial" w:cs="Arial" w:eastAsia="Arial" w:hAnsi="Arial"/>
                <w:sz w:val="18"/>
                <w:szCs w:val="18"/>
                <w:color w:val="auto"/>
                <w:w w:val="93"/>
              </w:rPr>
              <w:t>844</w:t>
            </w:r>
          </w:p>
        </w:tc>
        <w:tc>
          <w:tcPr>
            <w:tcW w:w="120" w:type="dxa"/>
            <w:vAlign w:val="bottom"/>
          </w:tcPr>
          <w:p>
            <w:pPr>
              <w:spacing w:after="0"/>
              <w:rPr>
                <w:sz w:val="18"/>
                <w:szCs w:val="18"/>
                <w:color w:val="auto"/>
              </w:rPr>
            </w:pPr>
          </w:p>
        </w:tc>
        <w:tc>
          <w:tcPr>
            <w:tcW w:w="300" w:type="dxa"/>
            <w:vAlign w:val="bottom"/>
          </w:tcPr>
          <w:p>
            <w:pPr>
              <w:jc w:val="right"/>
              <w:ind w:right="147"/>
              <w:spacing w:after="0"/>
              <w:rPr>
                <w:sz w:val="20"/>
                <w:szCs w:val="20"/>
                <w:color w:val="auto"/>
              </w:rPr>
            </w:pPr>
            <w:r>
              <w:rPr>
                <w:rFonts w:ascii="Arial" w:cs="Arial" w:eastAsia="Arial" w:hAnsi="Arial"/>
                <w:sz w:val="15"/>
                <w:szCs w:val="15"/>
                <w:color w:val="auto"/>
                <w:w w:val="71"/>
              </w:rPr>
              <w:t>$</w:t>
            </w:r>
          </w:p>
        </w:tc>
        <w:tc>
          <w:tcPr>
            <w:tcW w:w="1220" w:type="dxa"/>
            <w:vAlign w:val="bottom"/>
          </w:tcPr>
          <w:p>
            <w:pPr>
              <w:jc w:val="right"/>
              <w:ind w:right="71"/>
              <w:spacing w:after="0"/>
              <w:rPr>
                <w:sz w:val="20"/>
                <w:szCs w:val="20"/>
                <w:color w:val="auto"/>
              </w:rPr>
            </w:pPr>
            <w:r>
              <w:rPr>
                <w:rFonts w:ascii="Arial" w:cs="Arial" w:eastAsia="Arial" w:hAnsi="Arial"/>
                <w:sz w:val="18"/>
                <w:szCs w:val="18"/>
                <w:color w:val="auto"/>
              </w:rPr>
              <w:t>2,314</w:t>
            </w:r>
          </w:p>
        </w:tc>
        <w:tc>
          <w:tcPr>
            <w:tcW w:w="0" w:type="dxa"/>
            <w:vAlign w:val="bottom"/>
          </w:tcPr>
          <w:p>
            <w:pPr>
              <w:spacing w:after="0"/>
              <w:rPr>
                <w:sz w:val="1"/>
                <w:szCs w:val="1"/>
                <w:color w:val="auto"/>
              </w:rPr>
            </w:pPr>
          </w:p>
        </w:tc>
      </w:tr>
      <w:tr>
        <w:trPr>
          <w:trHeight w:val="20"/>
        </w:trPr>
        <w:tc>
          <w:tcPr>
            <w:tcW w:w="23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60" w:type="dxa"/>
            <w:vAlign w:val="bottom"/>
            <w:tcBorders>
              <w:top w:val="single" w:sz="8" w:color="auto"/>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gridSpan w:val="2"/>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47"/>
        </w:trPr>
        <w:tc>
          <w:tcPr>
            <w:tcW w:w="5720" w:type="dxa"/>
            <w:vAlign w:val="bottom"/>
            <w:gridSpan w:val="11"/>
          </w:tcPr>
          <w:p>
            <w:pPr>
              <w:spacing w:after="0"/>
              <w:rPr>
                <w:sz w:val="20"/>
                <w:szCs w:val="20"/>
                <w:color w:val="auto"/>
              </w:rPr>
            </w:pPr>
            <w:r>
              <w:rPr>
                <w:rFonts w:ascii="Arial" w:cs="Arial" w:eastAsia="Arial" w:hAnsi="Arial"/>
                <w:sz w:val="18"/>
                <w:szCs w:val="18"/>
                <w:b w:val="1"/>
                <w:bCs w:val="1"/>
                <w:color w:val="auto"/>
              </w:rPr>
              <w:t xml:space="preserve">Other Derivatives Not Accounted for as Hedges </w:t>
            </w:r>
            <w:r>
              <w:rPr>
                <w:rFonts w:ascii="Arial" w:cs="Arial" w:eastAsia="Arial" w:hAnsi="Arial"/>
                <w:sz w:val="18"/>
                <w:szCs w:val="18"/>
                <w:i w:val="1"/>
                <w:iCs w:val="1"/>
                <w:color w:val="auto"/>
              </w:rPr>
              <w:t>(in thousands).</w:t>
            </w:r>
          </w:p>
        </w:tc>
        <w:tc>
          <w:tcPr>
            <w:tcW w:w="1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2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20" w:type="dxa"/>
            <w:vAlign w:val="bottom"/>
            <w:gridSpan w:val="7"/>
          </w:tcPr>
          <w:p>
            <w:pPr>
              <w:ind w:left="240"/>
              <w:spacing w:after="0"/>
              <w:rPr>
                <w:sz w:val="20"/>
                <w:szCs w:val="20"/>
                <w:color w:val="auto"/>
              </w:rPr>
            </w:pPr>
            <w:r>
              <w:rPr>
                <w:rFonts w:ascii="Arial" w:cs="Arial" w:eastAsia="Arial" w:hAnsi="Arial"/>
                <w:sz w:val="18"/>
                <w:szCs w:val="18"/>
                <w:b w:val="1"/>
                <w:bCs w:val="1"/>
                <w:color w:val="auto"/>
              </w:rPr>
              <w:t>Location of Gain (Loss)</w:t>
            </w:r>
          </w:p>
        </w:tc>
        <w:tc>
          <w:tcPr>
            <w:tcW w:w="3340" w:type="dxa"/>
            <w:vAlign w:val="bottom"/>
            <w:gridSpan w:val="6"/>
          </w:tcPr>
          <w:p>
            <w:pPr>
              <w:ind w:left="100"/>
              <w:spacing w:after="0"/>
              <w:rPr>
                <w:sz w:val="20"/>
                <w:szCs w:val="20"/>
                <w:color w:val="auto"/>
              </w:rPr>
            </w:pPr>
            <w:r>
              <w:rPr>
                <w:rFonts w:ascii="Arial" w:cs="Arial" w:eastAsia="Arial" w:hAnsi="Arial"/>
                <w:sz w:val="18"/>
                <w:szCs w:val="18"/>
                <w:b w:val="1"/>
                <w:bCs w:val="1"/>
                <w:color w:val="auto"/>
              </w:rPr>
              <w:t>Amount of Gain (Loss) Recognized in</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2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20" w:type="dxa"/>
            <w:vAlign w:val="bottom"/>
            <w:gridSpan w:val="7"/>
          </w:tcPr>
          <w:p>
            <w:pPr>
              <w:ind w:left="300"/>
              <w:spacing w:after="0"/>
              <w:rPr>
                <w:sz w:val="20"/>
                <w:szCs w:val="20"/>
                <w:color w:val="auto"/>
              </w:rPr>
            </w:pPr>
            <w:r>
              <w:rPr>
                <w:rFonts w:ascii="Arial" w:cs="Arial" w:eastAsia="Arial" w:hAnsi="Arial"/>
                <w:sz w:val="18"/>
                <w:szCs w:val="18"/>
                <w:b w:val="1"/>
                <w:bCs w:val="1"/>
                <w:color w:val="auto"/>
              </w:rPr>
              <w:t>Recognized in Income</w:t>
            </w:r>
          </w:p>
        </w:tc>
        <w:tc>
          <w:tcPr>
            <w:tcW w:w="120" w:type="dxa"/>
            <w:vAlign w:val="bottom"/>
          </w:tcPr>
          <w:p>
            <w:pPr>
              <w:spacing w:after="0"/>
              <w:rPr>
                <w:sz w:val="20"/>
                <w:szCs w:val="20"/>
                <w:color w:val="auto"/>
              </w:rPr>
            </w:pPr>
          </w:p>
        </w:tc>
        <w:tc>
          <w:tcPr>
            <w:tcW w:w="3220" w:type="dxa"/>
            <w:vAlign w:val="bottom"/>
            <w:gridSpan w:val="5"/>
          </w:tcPr>
          <w:p>
            <w:pPr>
              <w:jc w:val="right"/>
              <w:ind w:right="471"/>
              <w:spacing w:after="0"/>
              <w:rPr>
                <w:sz w:val="20"/>
                <w:szCs w:val="20"/>
                <w:color w:val="auto"/>
              </w:rPr>
            </w:pPr>
            <w:r>
              <w:rPr>
                <w:rFonts w:ascii="Arial" w:cs="Arial" w:eastAsia="Arial" w:hAnsi="Arial"/>
                <w:sz w:val="18"/>
                <w:szCs w:val="18"/>
                <w:b w:val="1"/>
                <w:bCs w:val="1"/>
                <w:color w:val="auto"/>
                <w:w w:val="94"/>
              </w:rPr>
              <w:t>Income on Customer Derivatives</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2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gridSpan w:val="3"/>
          </w:tcPr>
          <w:p>
            <w:pPr>
              <w:ind w:left="620"/>
              <w:spacing w:after="0"/>
              <w:rPr>
                <w:sz w:val="20"/>
                <w:szCs w:val="20"/>
                <w:color w:val="auto"/>
              </w:rPr>
            </w:pPr>
            <w:r>
              <w:rPr>
                <w:rFonts w:ascii="Arial" w:cs="Arial" w:eastAsia="Arial" w:hAnsi="Arial"/>
                <w:sz w:val="18"/>
                <w:szCs w:val="18"/>
                <w:b w:val="1"/>
                <w:bCs w:val="1"/>
                <w:color w:val="auto"/>
              </w:rPr>
              <w:t>on Derivative</w:t>
            </w:r>
          </w:p>
        </w:tc>
        <w:tc>
          <w:tcPr>
            <w:tcW w:w="92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520" w:type="dxa"/>
            <w:vAlign w:val="bottom"/>
            <w:tcBorders>
              <w:top w:val="single" w:sz="8" w:color="auto"/>
              <w:bottom w:val="single" w:sz="8" w:color="auto"/>
            </w:tcBorders>
            <w:gridSpan w:val="2"/>
          </w:tcPr>
          <w:p>
            <w:pPr>
              <w:ind w:left="420"/>
              <w:spacing w:after="0"/>
              <w:rPr>
                <w:sz w:val="20"/>
                <w:szCs w:val="20"/>
                <w:color w:val="auto"/>
              </w:rPr>
            </w:pPr>
            <w:r>
              <w:rPr>
                <w:rFonts w:ascii="Arial" w:cs="Arial" w:eastAsia="Arial" w:hAnsi="Arial"/>
                <w:sz w:val="18"/>
                <w:szCs w:val="18"/>
                <w:b w:val="1"/>
                <w:bCs w:val="1"/>
                <w:color w:val="auto"/>
              </w:rPr>
              <w:t>2013</w:t>
            </w:r>
          </w:p>
        </w:tc>
        <w:tc>
          <w:tcPr>
            <w:tcW w:w="140" w:type="dxa"/>
            <w:vAlign w:val="bottom"/>
            <w:tcBorders>
              <w:top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gridSpan w:val="2"/>
          </w:tcPr>
          <w:p>
            <w:pPr>
              <w:ind w:left="120"/>
              <w:spacing w:after="0"/>
              <w:rPr>
                <w:sz w:val="20"/>
                <w:szCs w:val="20"/>
                <w:color w:val="auto"/>
              </w:rPr>
            </w:pPr>
            <w:r>
              <w:rPr>
                <w:rFonts w:ascii="Arial" w:cs="Arial" w:eastAsia="Arial" w:hAnsi="Arial"/>
                <w:sz w:val="18"/>
                <w:szCs w:val="18"/>
                <w:b w:val="1"/>
                <w:bCs w:val="1"/>
                <w:color w:val="auto"/>
              </w:rPr>
              <w:t>2012</w:t>
            </w:r>
          </w:p>
        </w:tc>
        <w:tc>
          <w:tcPr>
            <w:tcW w:w="80" w:type="dxa"/>
            <w:vAlign w:val="bottom"/>
            <w:tcBorders>
              <w:top w:val="single" w:sz="8" w:color="auto"/>
              <w:bottom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2200" w:type="dxa"/>
            <w:vAlign w:val="bottom"/>
          </w:tcPr>
          <w:p>
            <w:pPr>
              <w:spacing w:after="0"/>
              <w:rPr>
                <w:sz w:val="24"/>
                <w:szCs w:val="24"/>
                <w:color w:val="auto"/>
              </w:rPr>
            </w:pPr>
          </w:p>
        </w:tc>
        <w:tc>
          <w:tcPr>
            <w:tcW w:w="3520" w:type="dxa"/>
            <w:vAlign w:val="bottom"/>
            <w:gridSpan w:val="10"/>
          </w:tcPr>
          <w:p>
            <w:pPr>
              <w:ind w:left="100"/>
              <w:spacing w:after="0"/>
              <w:rPr>
                <w:sz w:val="20"/>
                <w:szCs w:val="20"/>
                <w:color w:val="auto"/>
              </w:rPr>
            </w:pPr>
            <w:r>
              <w:rPr>
                <w:rFonts w:ascii="Arial" w:cs="Arial" w:eastAsia="Arial" w:hAnsi="Arial"/>
                <w:sz w:val="18"/>
                <w:szCs w:val="18"/>
                <w:b w:val="1"/>
                <w:bCs w:val="1"/>
                <w:color w:val="auto"/>
              </w:rPr>
              <w:t>Three Months Ended June 30,</w:t>
            </w:r>
          </w:p>
        </w:tc>
        <w:tc>
          <w:tcPr>
            <w:tcW w:w="1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7"/>
        </w:trPr>
        <w:tc>
          <w:tcPr>
            <w:tcW w:w="2200" w:type="dxa"/>
            <w:vAlign w:val="bottom"/>
          </w:tcPr>
          <w:p>
            <w:pPr>
              <w:spacing w:after="0"/>
              <w:rPr>
                <w:sz w:val="19"/>
                <w:szCs w:val="19"/>
                <w:color w:val="auto"/>
              </w:rPr>
            </w:pPr>
          </w:p>
        </w:tc>
        <w:tc>
          <w:tcPr>
            <w:tcW w:w="1740" w:type="dxa"/>
            <w:vAlign w:val="bottom"/>
            <w:gridSpan w:val="4"/>
          </w:tcPr>
          <w:p>
            <w:pPr>
              <w:ind w:left="100"/>
              <w:spacing w:after="0"/>
              <w:rPr>
                <w:sz w:val="20"/>
                <w:szCs w:val="20"/>
                <w:color w:val="auto"/>
              </w:rPr>
            </w:pPr>
            <w:r>
              <w:rPr>
                <w:rFonts w:ascii="Arial" w:cs="Arial" w:eastAsia="Arial" w:hAnsi="Arial"/>
                <w:sz w:val="18"/>
                <w:szCs w:val="18"/>
                <w:color w:val="auto"/>
              </w:rPr>
              <w:t>Other fee revenue</w:t>
            </w: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gridSpan w:val="4"/>
          </w:tcPr>
          <w:p>
            <w:pPr>
              <w:jc w:val="right"/>
              <w:ind w:right="100"/>
              <w:spacing w:after="0"/>
              <w:rPr>
                <w:sz w:val="20"/>
                <w:szCs w:val="20"/>
                <w:color w:val="auto"/>
              </w:rPr>
            </w:pPr>
            <w:r>
              <w:rPr>
                <w:rFonts w:ascii="Arial" w:cs="Arial" w:eastAsia="Arial" w:hAnsi="Arial"/>
                <w:sz w:val="18"/>
                <w:szCs w:val="18"/>
                <w:color w:val="auto"/>
              </w:rPr>
              <w:t>$</w:t>
            </w:r>
          </w:p>
        </w:tc>
        <w:tc>
          <w:tcPr>
            <w:tcW w:w="1520" w:type="dxa"/>
            <w:vAlign w:val="bottom"/>
            <w:gridSpan w:val="2"/>
          </w:tcPr>
          <w:p>
            <w:pPr>
              <w:ind w:left="1100"/>
              <w:spacing w:after="0"/>
              <w:rPr>
                <w:sz w:val="20"/>
                <w:szCs w:val="20"/>
                <w:color w:val="auto"/>
              </w:rPr>
            </w:pPr>
            <w:r>
              <w:rPr>
                <w:rFonts w:ascii="Arial" w:cs="Arial" w:eastAsia="Arial" w:hAnsi="Arial"/>
                <w:sz w:val="18"/>
                <w:szCs w:val="18"/>
                <w:color w:val="auto"/>
              </w:rPr>
              <w:t>488</w:t>
            </w:r>
          </w:p>
        </w:tc>
        <w:tc>
          <w:tcPr>
            <w:tcW w:w="6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
        </w:trPr>
        <w:tc>
          <w:tcPr>
            <w:tcW w:w="2200" w:type="dxa"/>
            <w:vAlign w:val="bottom"/>
          </w:tcPr>
          <w:p>
            <w:pPr>
              <w:spacing w:after="0" w:line="20" w:lineRule="exact"/>
              <w:rPr>
                <w:sz w:val="1"/>
                <w:szCs w:val="1"/>
                <w:color w:val="auto"/>
              </w:rPr>
            </w:pPr>
          </w:p>
        </w:tc>
        <w:tc>
          <w:tcPr>
            <w:tcW w:w="2280" w:type="dxa"/>
            <w:vAlign w:val="bottom"/>
            <w:gridSpan w:val="6"/>
            <w:vMerge w:val="restart"/>
          </w:tcPr>
          <w:p>
            <w:pPr>
              <w:ind w:left="100"/>
              <w:spacing w:after="0"/>
              <w:rPr>
                <w:sz w:val="20"/>
                <w:szCs w:val="20"/>
                <w:color w:val="auto"/>
              </w:rPr>
            </w:pPr>
            <w:r>
              <w:rPr>
                <w:rFonts w:ascii="Arial" w:cs="Arial" w:eastAsia="Arial" w:hAnsi="Arial"/>
                <w:sz w:val="18"/>
                <w:szCs w:val="18"/>
                <w:b w:val="1"/>
                <w:bCs w:val="1"/>
                <w:color w:val="auto"/>
                <w:w w:val="92"/>
              </w:rPr>
              <w:t>Six Months Ended June 30,</w:t>
            </w:r>
          </w:p>
        </w:tc>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08"/>
        </w:trPr>
        <w:tc>
          <w:tcPr>
            <w:tcW w:w="2200" w:type="dxa"/>
            <w:vAlign w:val="bottom"/>
          </w:tcPr>
          <w:p>
            <w:pPr>
              <w:spacing w:after="0"/>
              <w:rPr>
                <w:sz w:val="24"/>
                <w:szCs w:val="24"/>
                <w:color w:val="auto"/>
              </w:rPr>
            </w:pPr>
          </w:p>
        </w:tc>
        <w:tc>
          <w:tcPr>
            <w:tcW w:w="2280" w:type="dxa"/>
            <w:vAlign w:val="bottom"/>
            <w:gridSpan w:val="6"/>
            <w:vMerge w:val="continue"/>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200" w:type="dxa"/>
            <w:vAlign w:val="bottom"/>
          </w:tcPr>
          <w:p>
            <w:pPr>
              <w:spacing w:after="0"/>
              <w:rPr>
                <w:sz w:val="19"/>
                <w:szCs w:val="19"/>
                <w:color w:val="auto"/>
              </w:rPr>
            </w:pPr>
          </w:p>
        </w:tc>
        <w:tc>
          <w:tcPr>
            <w:tcW w:w="1740" w:type="dxa"/>
            <w:vAlign w:val="bottom"/>
            <w:gridSpan w:val="4"/>
          </w:tcPr>
          <w:p>
            <w:pPr>
              <w:ind w:left="100"/>
              <w:spacing w:after="0"/>
              <w:rPr>
                <w:sz w:val="20"/>
                <w:szCs w:val="20"/>
                <w:color w:val="auto"/>
              </w:rPr>
            </w:pPr>
            <w:r>
              <w:rPr>
                <w:rFonts w:ascii="Arial" w:cs="Arial" w:eastAsia="Arial" w:hAnsi="Arial"/>
                <w:sz w:val="18"/>
                <w:szCs w:val="18"/>
                <w:color w:val="auto"/>
              </w:rPr>
              <w:t>Other fee revenue</w:t>
            </w: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gridSpan w:val="4"/>
          </w:tcPr>
          <w:p>
            <w:pPr>
              <w:jc w:val="right"/>
              <w:ind w:right="100"/>
              <w:spacing w:after="0"/>
              <w:rPr>
                <w:sz w:val="20"/>
                <w:szCs w:val="20"/>
                <w:color w:val="auto"/>
              </w:rPr>
            </w:pPr>
            <w:r>
              <w:rPr>
                <w:rFonts w:ascii="Arial" w:cs="Arial" w:eastAsia="Arial" w:hAnsi="Arial"/>
                <w:sz w:val="18"/>
                <w:szCs w:val="18"/>
                <w:color w:val="auto"/>
              </w:rPr>
              <w:t>$</w:t>
            </w:r>
          </w:p>
        </w:tc>
        <w:tc>
          <w:tcPr>
            <w:tcW w:w="1520" w:type="dxa"/>
            <w:vAlign w:val="bottom"/>
            <w:gridSpan w:val="2"/>
          </w:tcPr>
          <w:p>
            <w:pPr>
              <w:ind w:left="1100"/>
              <w:spacing w:after="0"/>
              <w:rPr>
                <w:sz w:val="20"/>
                <w:szCs w:val="20"/>
                <w:color w:val="auto"/>
              </w:rPr>
            </w:pPr>
            <w:r>
              <w:rPr>
                <w:rFonts w:ascii="Arial" w:cs="Arial" w:eastAsia="Arial" w:hAnsi="Arial"/>
                <w:sz w:val="18"/>
                <w:szCs w:val="18"/>
                <w:color w:val="auto"/>
              </w:rPr>
              <w:t>740</w:t>
            </w:r>
          </w:p>
        </w:tc>
        <w:tc>
          <w:tcPr>
            <w:tcW w:w="6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68</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Credit-risk-related Contingent Features</w:t>
      </w:r>
    </w:p>
    <w:p>
      <w:pPr>
        <w:spacing w:after="0" w:line="252" w:lineRule="exact"/>
        <w:rPr>
          <w:sz w:val="20"/>
          <w:szCs w:val="20"/>
          <w:color w:val="auto"/>
        </w:rPr>
      </w:pPr>
    </w:p>
    <w:p>
      <w:pPr>
        <w:jc w:val="both"/>
        <w:spacing w:after="0" w:line="282" w:lineRule="auto"/>
        <w:rPr>
          <w:sz w:val="20"/>
          <w:szCs w:val="20"/>
          <w:color w:val="auto"/>
        </w:rPr>
      </w:pPr>
      <w:r>
        <w:rPr>
          <w:rFonts w:ascii="Arial" w:cs="Arial" w:eastAsia="Arial" w:hAnsi="Arial"/>
          <w:sz w:val="17"/>
          <w:szCs w:val="17"/>
          <w:color w:val="auto"/>
        </w:rPr>
        <w:t>United manages its credit exposure on derivatives transactions by entering into a bilateral credit support agreement with each counterparty. The credit support agreements require collateralization of exposures beyond specified minimum threshold amounts. The details of these agreements, including the minimum thresholds, vary by counterparty. As of June 30, 2013, collateral totaling $18.2 million was pledged toward derivatives in a liability position.</w:t>
      </w:r>
    </w:p>
    <w:p>
      <w:pPr>
        <w:spacing w:after="0" w:line="19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United’s agreements with each of its derivative counterparties contain a provision where if either party defaults on any of its indebtedness, then it could also be declared in default on its derivative obligations. The agreements with derivatives counterparties also include provisions that if not met, could result in United being declared in default. United has agreements with certain of its derivative counterparties that contain a provision where if United fails to maintain its status as a well-capitalized institution or is subject to a prompt corrective action directive, the counterparty could terminate the derivative positions and United would be required to settle its obligations under the agreements.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 in Valuation Methodology</w:t>
      </w:r>
    </w:p>
    <w:p>
      <w:pPr>
        <w:spacing w:after="0" w:line="25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As of January 1, 2013, United changed its valuation methodology for over-the-counter derivatives to discount cash flows based on Overnight Index Swap (“OIS”) rates. Fully collateralized trades are discounted using OIS with no additional economic adjustments to arrive at fair value. Uncollateralized or partially collateralized trades are also discounted at OIS, but include appropriate economic adjustments for funding costs (i.e. LIBOR-OIS basis adjustment to approximate uncollateralized cost of funds) and credit risk. United changed its methodology to better align its inputs, assumptions and pricing methodologies with those used in its principal market by most dealers and major market participants. The changes in valuation methodology are applied prospectively as a change in accounting estimate and are not material to United’s financial position or results of operations.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13970</wp:posOffset>
            </wp:positionV>
            <wp:extent cx="724789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7890" cy="8255"/>
                    </a:xfrm>
                    <a:prstGeom prst="rect">
                      <a:avLst/>
                    </a:prstGeom>
                    <a:noFill/>
                  </pic:spPr>
                </pic:pic>
              </a:graphicData>
            </a:graphic>
          </wp:anchor>
        </w:drawing>
      </w:r>
    </w:p>
    <w:p>
      <w:pPr>
        <w:sectPr>
          <w:pgSz w:w="11900" w:h="16838" w:orient="portrait"/>
          <w:cols w:equalWidth="0" w:num="1">
            <w:col w:w="11420"/>
          </w:cols>
          <w:pgMar w:left="240" w:top="911" w:right="239" w:bottom="1440" w:gutter="0" w:footer="0" w:header="0"/>
        </w:sectPr>
      </w:pPr>
    </w:p>
    <w:bookmarkStart w:id="31" w:name="page32"/>
    <w:bookmarkEnd w:id="31"/>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Stock-Based Compensation</w:t>
      </w:r>
    </w:p>
    <w:p>
      <w:pPr>
        <w:spacing w:after="0" w:line="25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United has an equity compensation plan that allows for grants of incentive stock options, nonqualified stock options, restricted stock and restricted stock unit awards (also referred to as “nonvested stock” awards), stock awards, performance share awards or stock appreciation rights. Options granted under the plan can have an exercise price no less than the fair market value of the underlying stock at the date of grant. The general terms of the plan include a vesting period (usually four years) with an exercisable period not to exceed ten years. Certain option and restricted stock and restricted stock unit awards provide for accelerated vesting if there is a change in control (as defined in the plan). As of June 30, 2013, 1,214,000 additional awards could be granted under the plan. Through June 30, 2013, incentive stock options, nonqualified stock options, restricted stock and restricted stock unit awards, base salary stock grants and performance share awards have been granted under the plan.</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stock option activity for the first six months of 2013.</w:t>
      </w:r>
    </w:p>
    <w:p>
      <w:pPr>
        <w:spacing w:after="0" w:line="218" w:lineRule="exact"/>
        <w:rPr>
          <w:sz w:val="20"/>
          <w:szCs w:val="20"/>
          <w:color w:val="auto"/>
        </w:rPr>
      </w:pPr>
    </w:p>
    <w:tbl>
      <w:tblPr>
        <w:tblLayout w:type="fixed"/>
        <w:tblInd w:w="1160" w:type="dxa"/>
        <w:tblCellMar>
          <w:top w:w="0" w:type="dxa"/>
          <w:left w:w="0" w:type="dxa"/>
          <w:bottom w:w="0" w:type="dxa"/>
          <w:right w:w="0" w:type="dxa"/>
        </w:tblCellMar>
      </w:tblPr>
      <w:tr>
        <w:trPr>
          <w:trHeight w:val="214"/>
        </w:trPr>
        <w:tc>
          <w:tcPr>
            <w:tcW w:w="3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center"/>
              <w:ind w:right="11"/>
              <w:spacing w:after="0"/>
              <w:rPr>
                <w:sz w:val="20"/>
                <w:szCs w:val="20"/>
                <w:color w:val="auto"/>
              </w:rPr>
            </w:pPr>
            <w:r>
              <w:rPr>
                <w:rFonts w:ascii="Arial" w:cs="Arial" w:eastAsia="Arial" w:hAnsi="Arial"/>
                <w:sz w:val="18"/>
                <w:szCs w:val="18"/>
                <w:b w:val="1"/>
                <w:bCs w:val="1"/>
                <w:color w:val="auto"/>
                <w:w w:val="89"/>
              </w:rPr>
              <w:t>Weighted-</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4"/>
        </w:trPr>
        <w:tc>
          <w:tcPr>
            <w:tcW w:w="3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center"/>
              <w:ind w:right="11"/>
              <w:spacing w:after="0"/>
              <w:rPr>
                <w:sz w:val="20"/>
                <w:szCs w:val="20"/>
                <w:color w:val="auto"/>
              </w:rPr>
            </w:pPr>
            <w:r>
              <w:rPr>
                <w:rFonts w:ascii="Arial" w:cs="Arial" w:eastAsia="Arial" w:hAnsi="Arial"/>
                <w:sz w:val="18"/>
                <w:szCs w:val="18"/>
                <w:b w:val="1"/>
                <w:bCs w:val="1"/>
                <w:color w:val="auto"/>
                <w:w w:val="87"/>
              </w:rPr>
              <w:t>Average</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center"/>
              <w:ind w:right="171"/>
              <w:spacing w:after="0"/>
              <w:rPr>
                <w:sz w:val="20"/>
                <w:szCs w:val="20"/>
                <w:color w:val="auto"/>
              </w:rPr>
            </w:pPr>
            <w:r>
              <w:rPr>
                <w:rFonts w:ascii="Arial" w:cs="Arial" w:eastAsia="Arial" w:hAnsi="Arial"/>
                <w:sz w:val="18"/>
                <w:szCs w:val="18"/>
                <w:b w:val="1"/>
                <w:bCs w:val="1"/>
                <w:color w:val="auto"/>
                <w:w w:val="87"/>
              </w:rPr>
              <w:t>Aggregate</w:t>
            </w:r>
          </w:p>
        </w:tc>
      </w:tr>
      <w:tr>
        <w:trPr>
          <w:trHeight w:val="214"/>
        </w:trPr>
        <w:tc>
          <w:tcPr>
            <w:tcW w:w="3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jc w:val="center"/>
              <w:ind w:right="91"/>
              <w:spacing w:after="0"/>
              <w:rPr>
                <w:sz w:val="20"/>
                <w:szCs w:val="20"/>
                <w:color w:val="auto"/>
              </w:rPr>
            </w:pPr>
            <w:r>
              <w:rPr>
                <w:rFonts w:ascii="Arial" w:cs="Arial" w:eastAsia="Arial" w:hAnsi="Arial"/>
                <w:sz w:val="18"/>
                <w:szCs w:val="18"/>
                <w:b w:val="1"/>
                <w:bCs w:val="1"/>
                <w:color w:val="auto"/>
                <w:w w:val="89"/>
              </w:rPr>
              <w:t>Weighted-</w:t>
            </w:r>
          </w:p>
        </w:tc>
        <w:tc>
          <w:tcPr>
            <w:tcW w:w="100" w:type="dxa"/>
            <w:vAlign w:val="bottom"/>
          </w:tcPr>
          <w:p>
            <w:pPr>
              <w:spacing w:after="0"/>
              <w:rPr>
                <w:sz w:val="18"/>
                <w:szCs w:val="18"/>
                <w:color w:val="auto"/>
              </w:rPr>
            </w:pPr>
          </w:p>
        </w:tc>
        <w:tc>
          <w:tcPr>
            <w:tcW w:w="1200" w:type="dxa"/>
            <w:vAlign w:val="bottom"/>
          </w:tcPr>
          <w:p>
            <w:pPr>
              <w:jc w:val="center"/>
              <w:ind w:right="11"/>
              <w:spacing w:after="0"/>
              <w:rPr>
                <w:sz w:val="20"/>
                <w:szCs w:val="20"/>
                <w:color w:val="auto"/>
              </w:rPr>
            </w:pPr>
            <w:r>
              <w:rPr>
                <w:rFonts w:ascii="Arial" w:cs="Arial" w:eastAsia="Arial" w:hAnsi="Arial"/>
                <w:sz w:val="18"/>
                <w:szCs w:val="18"/>
                <w:b w:val="1"/>
                <w:bCs w:val="1"/>
                <w:color w:val="auto"/>
                <w:w w:val="89"/>
              </w:rPr>
              <w:t>Remaining</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center"/>
              <w:ind w:right="171"/>
              <w:spacing w:after="0"/>
              <w:rPr>
                <w:sz w:val="20"/>
                <w:szCs w:val="20"/>
                <w:color w:val="auto"/>
              </w:rPr>
            </w:pPr>
            <w:r>
              <w:rPr>
                <w:rFonts w:ascii="Arial" w:cs="Arial" w:eastAsia="Arial" w:hAnsi="Arial"/>
                <w:sz w:val="18"/>
                <w:szCs w:val="18"/>
                <w:b w:val="1"/>
                <w:bCs w:val="1"/>
                <w:color w:val="auto"/>
                <w:w w:val="93"/>
              </w:rPr>
              <w:t>Intrinisic</w:t>
            </w:r>
          </w:p>
        </w:tc>
      </w:tr>
      <w:tr>
        <w:trPr>
          <w:trHeight w:val="214"/>
        </w:trPr>
        <w:tc>
          <w:tcPr>
            <w:tcW w:w="3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jc w:val="center"/>
              <w:ind w:right="91"/>
              <w:spacing w:after="0"/>
              <w:rPr>
                <w:sz w:val="20"/>
                <w:szCs w:val="20"/>
                <w:color w:val="auto"/>
              </w:rPr>
            </w:pPr>
            <w:r>
              <w:rPr>
                <w:rFonts w:ascii="Arial" w:cs="Arial" w:eastAsia="Arial" w:hAnsi="Arial"/>
                <w:sz w:val="18"/>
                <w:szCs w:val="18"/>
                <w:b w:val="1"/>
                <w:bCs w:val="1"/>
                <w:color w:val="auto"/>
                <w:w w:val="86"/>
              </w:rPr>
              <w:t>Average Exercise</w:t>
            </w:r>
          </w:p>
        </w:tc>
        <w:tc>
          <w:tcPr>
            <w:tcW w:w="10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Arial" w:cs="Arial" w:eastAsia="Arial" w:hAnsi="Arial"/>
                <w:sz w:val="18"/>
                <w:szCs w:val="18"/>
                <w:b w:val="1"/>
                <w:bCs w:val="1"/>
                <w:color w:val="auto"/>
                <w:w w:val="91"/>
              </w:rPr>
              <w:t>Contractual</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center"/>
              <w:ind w:right="171"/>
              <w:spacing w:after="0"/>
              <w:rPr>
                <w:sz w:val="20"/>
                <w:szCs w:val="20"/>
                <w:color w:val="auto"/>
              </w:rPr>
            </w:pPr>
            <w:r>
              <w:rPr>
                <w:rFonts w:ascii="Arial" w:cs="Arial" w:eastAsia="Arial" w:hAnsi="Arial"/>
                <w:sz w:val="18"/>
                <w:szCs w:val="18"/>
                <w:b w:val="1"/>
                <w:bCs w:val="1"/>
                <w:color w:val="auto"/>
                <w:w w:val="87"/>
              </w:rPr>
              <w:t>Value</w:t>
            </w:r>
          </w:p>
        </w:tc>
      </w:tr>
      <w:tr>
        <w:trPr>
          <w:trHeight w:val="239"/>
        </w:trPr>
        <w:tc>
          <w:tcPr>
            <w:tcW w:w="3520" w:type="dxa"/>
            <w:vAlign w:val="bottom"/>
            <w:tcBorders>
              <w:bottom w:val="single" w:sz="8" w:color="auto"/>
            </w:tcBorders>
          </w:tcPr>
          <w:p>
            <w:pPr>
              <w:ind w:left="1460"/>
              <w:spacing w:after="0"/>
              <w:rPr>
                <w:sz w:val="20"/>
                <w:szCs w:val="20"/>
                <w:color w:val="auto"/>
              </w:rPr>
            </w:pPr>
            <w:r>
              <w:rPr>
                <w:rFonts w:ascii="Arial" w:cs="Arial" w:eastAsia="Arial" w:hAnsi="Arial"/>
                <w:sz w:val="18"/>
                <w:szCs w:val="18"/>
                <w:b w:val="1"/>
                <w:bCs w:val="1"/>
                <w:color w:val="auto"/>
              </w:rPr>
              <w:t>Options</w:t>
            </w:r>
          </w:p>
        </w:tc>
        <w:tc>
          <w:tcPr>
            <w:tcW w:w="100" w:type="dxa"/>
            <w:vAlign w:val="bottom"/>
          </w:tcPr>
          <w:p>
            <w:pPr>
              <w:spacing w:after="0"/>
              <w:rPr>
                <w:sz w:val="20"/>
                <w:szCs w:val="20"/>
                <w:color w:val="auto"/>
              </w:rPr>
            </w:pPr>
          </w:p>
        </w:tc>
        <w:tc>
          <w:tcPr>
            <w:tcW w:w="1180" w:type="dxa"/>
            <w:vAlign w:val="bottom"/>
            <w:tcBorders>
              <w:bottom w:val="single" w:sz="8" w:color="auto"/>
            </w:tcBorders>
          </w:tcPr>
          <w:p>
            <w:pPr>
              <w:jc w:val="right"/>
              <w:ind w:right="311"/>
              <w:spacing w:after="0"/>
              <w:rPr>
                <w:sz w:val="20"/>
                <w:szCs w:val="20"/>
                <w:color w:val="auto"/>
              </w:rPr>
            </w:pPr>
            <w:r>
              <w:rPr>
                <w:rFonts w:ascii="Arial" w:cs="Arial" w:eastAsia="Arial" w:hAnsi="Arial"/>
                <w:sz w:val="18"/>
                <w:szCs w:val="18"/>
                <w:b w:val="1"/>
                <w:bCs w:val="1"/>
                <w:color w:val="auto"/>
              </w:rPr>
              <w:t>Shares</w:t>
            </w: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center"/>
              <w:ind w:right="111"/>
              <w:spacing w:after="0"/>
              <w:rPr>
                <w:sz w:val="20"/>
                <w:szCs w:val="20"/>
                <w:color w:val="auto"/>
              </w:rPr>
            </w:pPr>
            <w:r>
              <w:rPr>
                <w:rFonts w:ascii="Arial" w:cs="Arial" w:eastAsia="Arial" w:hAnsi="Arial"/>
                <w:sz w:val="18"/>
                <w:szCs w:val="18"/>
                <w:b w:val="1"/>
                <w:bCs w:val="1"/>
                <w:color w:val="auto"/>
                <w:w w:val="90"/>
              </w:rPr>
              <w:t>Price</w:t>
            </w:r>
          </w:p>
        </w:tc>
        <w:tc>
          <w:tcPr>
            <w:tcW w:w="100" w:type="dxa"/>
            <w:vAlign w:val="bottom"/>
          </w:tcPr>
          <w:p>
            <w:pPr>
              <w:spacing w:after="0"/>
              <w:rPr>
                <w:sz w:val="20"/>
                <w:szCs w:val="20"/>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Term (Years)</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ind w:right="151"/>
              <w:spacing w:after="0"/>
              <w:rPr>
                <w:sz w:val="20"/>
                <w:szCs w:val="20"/>
                <w:color w:val="auto"/>
              </w:rPr>
            </w:pPr>
            <w:r>
              <w:rPr>
                <w:rFonts w:ascii="Arial" w:cs="Arial" w:eastAsia="Arial" w:hAnsi="Arial"/>
                <w:sz w:val="18"/>
                <w:szCs w:val="18"/>
                <w:b w:val="1"/>
                <w:bCs w:val="1"/>
                <w:color w:val="auto"/>
                <w:w w:val="92"/>
              </w:rPr>
              <w:t>($000)</w:t>
            </w:r>
          </w:p>
        </w:tc>
      </w:tr>
      <w:tr>
        <w:trPr>
          <w:trHeight w:val="414"/>
        </w:trPr>
        <w:tc>
          <w:tcPr>
            <w:tcW w:w="3520" w:type="dxa"/>
            <w:vAlign w:val="bottom"/>
          </w:tcPr>
          <w:p>
            <w:pPr>
              <w:spacing w:after="0"/>
              <w:rPr>
                <w:sz w:val="20"/>
                <w:szCs w:val="20"/>
                <w:color w:val="auto"/>
              </w:rPr>
            </w:pPr>
            <w:r>
              <w:rPr>
                <w:rFonts w:ascii="Arial" w:cs="Arial" w:eastAsia="Arial" w:hAnsi="Arial"/>
                <w:sz w:val="18"/>
                <w:szCs w:val="18"/>
                <w:color w:val="auto"/>
              </w:rPr>
              <w:t>Outstanding at December 31, 2012</w:t>
            </w:r>
          </w:p>
        </w:tc>
        <w:tc>
          <w:tcPr>
            <w:tcW w:w="1280" w:type="dxa"/>
            <w:vAlign w:val="bottom"/>
            <w:gridSpan w:val="2"/>
          </w:tcPr>
          <w:p>
            <w:pPr>
              <w:jc w:val="right"/>
              <w:ind w:right="11"/>
              <w:spacing w:after="0"/>
              <w:rPr>
                <w:sz w:val="20"/>
                <w:szCs w:val="20"/>
                <w:color w:val="auto"/>
              </w:rPr>
            </w:pPr>
            <w:r>
              <w:rPr>
                <w:rFonts w:ascii="Arial" w:cs="Arial" w:eastAsia="Arial" w:hAnsi="Arial"/>
                <w:sz w:val="18"/>
                <w:szCs w:val="18"/>
                <w:color w:val="auto"/>
              </w:rPr>
              <w:t>482,528</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97.73</w:t>
            </w: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14"/>
        </w:trPr>
        <w:tc>
          <w:tcPr>
            <w:tcW w:w="3520" w:type="dxa"/>
            <w:vAlign w:val="bottom"/>
          </w:tcPr>
          <w:p>
            <w:pPr>
              <w:spacing w:after="0"/>
              <w:rPr>
                <w:sz w:val="20"/>
                <w:szCs w:val="20"/>
                <w:color w:val="auto"/>
              </w:rPr>
            </w:pPr>
            <w:r>
              <w:rPr>
                <w:rFonts w:ascii="Arial" w:cs="Arial" w:eastAsia="Arial" w:hAnsi="Arial"/>
                <w:sz w:val="18"/>
                <w:szCs w:val="18"/>
                <w:color w:val="auto"/>
              </w:rPr>
              <w:t>Forfeited</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(935)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30.23</w:t>
            </w: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35"/>
        </w:trPr>
        <w:tc>
          <w:tcPr>
            <w:tcW w:w="3520" w:type="dxa"/>
            <w:vAlign w:val="bottom"/>
          </w:tcPr>
          <w:p>
            <w:pPr>
              <w:spacing w:after="0"/>
              <w:rPr>
                <w:sz w:val="20"/>
                <w:szCs w:val="20"/>
                <w:color w:val="auto"/>
              </w:rPr>
            </w:pPr>
            <w:r>
              <w:rPr>
                <w:rFonts w:ascii="Arial" w:cs="Arial" w:eastAsia="Arial" w:hAnsi="Arial"/>
                <w:sz w:val="18"/>
                <w:szCs w:val="18"/>
                <w:color w:val="auto"/>
              </w:rPr>
              <w:t>Expired</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(74,221)</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81.21</w:t>
            </w:r>
          </w:p>
        </w:tc>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14"/>
        </w:trPr>
        <w:tc>
          <w:tcPr>
            <w:tcW w:w="3520" w:type="dxa"/>
            <w:vAlign w:val="bottom"/>
          </w:tcPr>
          <w:p>
            <w:pPr>
              <w:spacing w:after="0" w:line="195" w:lineRule="exact"/>
              <w:rPr>
                <w:sz w:val="20"/>
                <w:szCs w:val="20"/>
                <w:color w:val="auto"/>
              </w:rPr>
            </w:pPr>
            <w:r>
              <w:rPr>
                <w:rFonts w:ascii="Arial" w:cs="Arial" w:eastAsia="Arial" w:hAnsi="Arial"/>
                <w:sz w:val="18"/>
                <w:szCs w:val="18"/>
                <w:color w:val="auto"/>
              </w:rPr>
              <w:t>Outstanding at June 30, 2013</w:t>
            </w:r>
          </w:p>
        </w:tc>
        <w:tc>
          <w:tcPr>
            <w:tcW w:w="100" w:type="dxa"/>
            <w:vAlign w:val="bottom"/>
          </w:tcPr>
          <w:p>
            <w:pPr>
              <w:spacing w:after="0"/>
              <w:rPr>
                <w:sz w:val="18"/>
                <w:szCs w:val="18"/>
                <w:color w:val="auto"/>
              </w:rPr>
            </w:pPr>
          </w:p>
        </w:tc>
        <w:tc>
          <w:tcPr>
            <w:tcW w:w="1180" w:type="dxa"/>
            <w:vAlign w:val="bottom"/>
            <w:tcBorders>
              <w:top w:val="single" w:sz="8" w:color="auto"/>
              <w:bottom w:val="single" w:sz="8" w:color="auto"/>
            </w:tcBorders>
          </w:tcPr>
          <w:p>
            <w:pPr>
              <w:jc w:val="right"/>
              <w:ind w:right="11"/>
              <w:spacing w:after="0" w:line="195" w:lineRule="exact"/>
              <w:rPr>
                <w:sz w:val="20"/>
                <w:szCs w:val="20"/>
                <w:color w:val="auto"/>
              </w:rPr>
            </w:pPr>
            <w:r>
              <w:rPr>
                <w:rFonts w:ascii="Arial" w:cs="Arial" w:eastAsia="Arial" w:hAnsi="Arial"/>
                <w:sz w:val="18"/>
                <w:szCs w:val="18"/>
                <w:color w:val="auto"/>
              </w:rPr>
              <w:t>407,372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jc w:val="right"/>
              <w:ind w:right="11"/>
              <w:spacing w:after="0" w:line="195" w:lineRule="exact"/>
              <w:rPr>
                <w:sz w:val="20"/>
                <w:szCs w:val="20"/>
                <w:color w:val="auto"/>
              </w:rPr>
            </w:pPr>
            <w:r>
              <w:rPr>
                <w:rFonts w:ascii="Arial" w:cs="Arial" w:eastAsia="Arial" w:hAnsi="Arial"/>
                <w:sz w:val="18"/>
                <w:szCs w:val="18"/>
                <w:color w:val="auto"/>
              </w:rPr>
              <w:t>100.90</w:t>
            </w:r>
          </w:p>
        </w:tc>
        <w:tc>
          <w:tcPr>
            <w:tcW w:w="1300" w:type="dxa"/>
            <w:vAlign w:val="bottom"/>
            <w:gridSpan w:val="2"/>
          </w:tcPr>
          <w:p>
            <w:pPr>
              <w:jc w:val="right"/>
              <w:ind w:right="11"/>
              <w:spacing w:after="0" w:line="195" w:lineRule="exact"/>
              <w:rPr>
                <w:sz w:val="20"/>
                <w:szCs w:val="20"/>
                <w:color w:val="auto"/>
              </w:rPr>
            </w:pPr>
            <w:r>
              <w:rPr>
                <w:rFonts w:ascii="Arial" w:cs="Arial" w:eastAsia="Arial" w:hAnsi="Arial"/>
                <w:sz w:val="18"/>
                <w:szCs w:val="18"/>
                <w:color w:val="auto"/>
              </w:rPr>
              <w:t>3.2</w:t>
            </w:r>
          </w:p>
        </w:tc>
        <w:tc>
          <w:tcPr>
            <w:tcW w:w="240" w:type="dxa"/>
            <w:vAlign w:val="bottom"/>
            <w:gridSpan w:val="2"/>
          </w:tcPr>
          <w:p>
            <w:pPr>
              <w:jc w:val="right"/>
              <w:ind w:right="60"/>
              <w:spacing w:after="0" w:line="195" w:lineRule="exact"/>
              <w:rPr>
                <w:sz w:val="20"/>
                <w:szCs w:val="20"/>
                <w:color w:val="auto"/>
              </w:rPr>
            </w:pPr>
            <w:r>
              <w:rPr>
                <w:rFonts w:ascii="Arial" w:cs="Arial" w:eastAsia="Arial" w:hAnsi="Arial"/>
                <w:sz w:val="18"/>
                <w:szCs w:val="18"/>
                <w:color w:val="auto"/>
              </w:rPr>
              <w:t>$</w:t>
            </w:r>
          </w:p>
        </w:tc>
        <w:tc>
          <w:tcPr>
            <w:tcW w:w="1120" w:type="dxa"/>
            <w:vAlign w:val="bottom"/>
          </w:tcPr>
          <w:p>
            <w:pPr>
              <w:jc w:val="right"/>
              <w:ind w:right="31"/>
              <w:spacing w:after="0" w:line="195" w:lineRule="exact"/>
              <w:rPr>
                <w:sz w:val="20"/>
                <w:szCs w:val="20"/>
                <w:color w:val="auto"/>
              </w:rPr>
            </w:pPr>
            <w:r>
              <w:rPr>
                <w:rFonts w:ascii="Arial" w:cs="Arial" w:eastAsia="Arial" w:hAnsi="Arial"/>
                <w:sz w:val="18"/>
                <w:szCs w:val="18"/>
                <w:color w:val="auto"/>
              </w:rPr>
              <w:t>12</w:t>
            </w:r>
          </w:p>
        </w:tc>
      </w:tr>
      <w:tr>
        <w:trPr>
          <w:trHeight w:val="20"/>
        </w:trPr>
        <w:tc>
          <w:tcPr>
            <w:tcW w:w="3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421"/>
        </w:trPr>
        <w:tc>
          <w:tcPr>
            <w:tcW w:w="3520" w:type="dxa"/>
            <w:vAlign w:val="bottom"/>
          </w:tcPr>
          <w:p>
            <w:pPr>
              <w:spacing w:after="0"/>
              <w:rPr>
                <w:sz w:val="20"/>
                <w:szCs w:val="20"/>
                <w:color w:val="auto"/>
              </w:rPr>
            </w:pPr>
            <w:r>
              <w:rPr>
                <w:rFonts w:ascii="Arial" w:cs="Arial" w:eastAsia="Arial" w:hAnsi="Arial"/>
                <w:sz w:val="18"/>
                <w:szCs w:val="18"/>
                <w:color w:val="auto"/>
              </w:rPr>
              <w:t>Exercisable at June 30, 2013</w:t>
            </w:r>
          </w:p>
        </w:tc>
        <w:tc>
          <w:tcPr>
            <w:tcW w:w="1280" w:type="dxa"/>
            <w:vAlign w:val="bottom"/>
            <w:gridSpan w:val="2"/>
          </w:tcPr>
          <w:p>
            <w:pPr>
              <w:jc w:val="right"/>
              <w:ind w:right="11"/>
              <w:spacing w:after="0"/>
              <w:rPr>
                <w:sz w:val="20"/>
                <w:szCs w:val="20"/>
                <w:color w:val="auto"/>
              </w:rPr>
            </w:pPr>
            <w:r>
              <w:rPr>
                <w:rFonts w:ascii="Arial" w:cs="Arial" w:eastAsia="Arial" w:hAnsi="Arial"/>
                <w:sz w:val="18"/>
                <w:szCs w:val="18"/>
                <w:color w:val="auto"/>
              </w:rPr>
              <w:t>399,597</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jc w:val="right"/>
              <w:ind w:right="11"/>
              <w:spacing w:after="0"/>
              <w:rPr>
                <w:sz w:val="20"/>
                <w:szCs w:val="20"/>
                <w:color w:val="auto"/>
              </w:rPr>
            </w:pPr>
            <w:r>
              <w:rPr>
                <w:rFonts w:ascii="Arial" w:cs="Arial" w:eastAsia="Arial" w:hAnsi="Arial"/>
                <w:sz w:val="18"/>
                <w:szCs w:val="18"/>
                <w:color w:val="auto"/>
              </w:rPr>
              <w:t>102.64</w:t>
            </w:r>
          </w:p>
        </w:tc>
        <w:tc>
          <w:tcPr>
            <w:tcW w:w="1300" w:type="dxa"/>
            <w:vAlign w:val="bottom"/>
            <w:gridSpan w:val="2"/>
          </w:tcPr>
          <w:p>
            <w:pPr>
              <w:jc w:val="right"/>
              <w:ind w:right="11"/>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3</w:t>
            </w:r>
          </w:p>
        </w:tc>
      </w:tr>
      <w:tr>
        <w:trPr>
          <w:trHeight w:val="21"/>
        </w:trPr>
        <w:tc>
          <w:tcPr>
            <w:tcW w:w="3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bl>
    <w:p>
      <w:pPr>
        <w:spacing w:after="0" w:line="22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fair value of each option is estimated on the date of grant using the Black-Scholes model. No stock options were granted during the six month period ended June 30, 2013. Recent decreases in United’s stock price have rendered most of its outstanding options severely out of the money and potentially worthless to the grantee. Therefore, historical exercise patterns do not provide a reasonable basis for determining the expected life of new option grants. United therefore uses the formula provided by the SEC in Staff Accounting Bulletin No. 107 to determine the expected life of options.</w:t>
      </w:r>
    </w:p>
    <w:p>
      <w:pPr>
        <w:spacing w:after="0" w:line="19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Compensation expense relating to stock options for the six months ended June 30, 2013 was a reduction of expense of $60,000 due to the reversal of previously recognized expense on grants that did not vest. Compensation expense relating to stock options of $131,000 was included in earnings for the six months ended June 30, 2012. The amount of compensation expense for both periods was determined based on the fair value of the options at the time of grant, multiplied by the number of options granted that are expected to vest, which was then amortized over the vesting period. The forfeiture rate for options is estimated to be approximately 3% per year. No options were exercised during the first six months of 2013 or 2012.</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presents the activity in restricted stock and restricted stock unit awards for the first six months of 2013.</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230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tcPr>
          <w:p>
            <w:pPr>
              <w:jc w:val="right"/>
              <w:ind w:right="431"/>
              <w:spacing w:after="0"/>
              <w:rPr>
                <w:sz w:val="20"/>
                <w:szCs w:val="20"/>
                <w:color w:val="auto"/>
              </w:rPr>
            </w:pPr>
            <w:r>
              <w:rPr>
                <w:rFonts w:ascii="Arial" w:cs="Arial" w:eastAsia="Arial" w:hAnsi="Arial"/>
                <w:sz w:val="18"/>
                <w:szCs w:val="18"/>
                <w:b w:val="1"/>
                <w:bCs w:val="1"/>
                <w:color w:val="auto"/>
              </w:rPr>
              <w:t>Weighted-</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30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tcPr>
          <w:p>
            <w:pPr>
              <w:jc w:val="right"/>
              <w:ind w:right="231"/>
              <w:spacing w:after="0"/>
              <w:rPr>
                <w:sz w:val="20"/>
                <w:szCs w:val="20"/>
                <w:color w:val="auto"/>
              </w:rPr>
            </w:pPr>
            <w:r>
              <w:rPr>
                <w:rFonts w:ascii="Arial" w:cs="Arial" w:eastAsia="Arial" w:hAnsi="Arial"/>
                <w:sz w:val="18"/>
                <w:szCs w:val="18"/>
                <w:b w:val="1"/>
                <w:bCs w:val="1"/>
                <w:color w:val="auto"/>
                <w:w w:val="95"/>
              </w:rPr>
              <w:t>Average Grant-</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2300" w:type="dxa"/>
            <w:vAlign w:val="bottom"/>
          </w:tcPr>
          <w:p>
            <w:pPr>
              <w:spacing w:after="0"/>
              <w:rPr>
                <w:sz w:val="20"/>
                <w:szCs w:val="20"/>
                <w:color w:val="auto"/>
              </w:rPr>
            </w:pPr>
          </w:p>
        </w:tc>
        <w:tc>
          <w:tcPr>
            <w:tcW w:w="2920" w:type="dxa"/>
            <w:vAlign w:val="bottom"/>
            <w:tcBorders>
              <w:bottom w:val="single" w:sz="8" w:color="auto"/>
            </w:tcBorders>
          </w:tcPr>
          <w:p>
            <w:pPr>
              <w:ind w:left="1260"/>
              <w:spacing w:after="0"/>
              <w:rPr>
                <w:sz w:val="20"/>
                <w:szCs w:val="20"/>
                <w:color w:val="auto"/>
              </w:rPr>
            </w:pPr>
            <w:r>
              <w:rPr>
                <w:rFonts w:ascii="Arial" w:cs="Arial" w:eastAsia="Arial" w:hAnsi="Arial"/>
                <w:sz w:val="18"/>
                <w:szCs w:val="18"/>
                <w:b w:val="1"/>
                <w:bCs w:val="1"/>
                <w:color w:val="auto"/>
              </w:rPr>
              <w:t>Restricted Stock</w:t>
            </w:r>
          </w:p>
        </w:tc>
        <w:tc>
          <w:tcPr>
            <w:tcW w:w="8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180" w:type="dxa"/>
            <w:vAlign w:val="bottom"/>
            <w:tcBorders>
              <w:bottom w:val="single" w:sz="8" w:color="auto"/>
            </w:tcBorders>
          </w:tcPr>
          <w:p>
            <w:pPr>
              <w:jc w:val="right"/>
              <w:ind w:right="291"/>
              <w:spacing w:after="0"/>
              <w:rPr>
                <w:sz w:val="20"/>
                <w:szCs w:val="20"/>
                <w:color w:val="auto"/>
              </w:rPr>
            </w:pPr>
            <w:r>
              <w:rPr>
                <w:rFonts w:ascii="Arial" w:cs="Arial" w:eastAsia="Arial" w:hAnsi="Arial"/>
                <w:sz w:val="18"/>
                <w:szCs w:val="18"/>
                <w:b w:val="1"/>
                <w:bCs w:val="1"/>
                <w:color w:val="auto"/>
              </w:rPr>
              <w:t>Shares</w:t>
            </w: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ind w:right="231"/>
              <w:spacing w:after="0"/>
              <w:rPr>
                <w:sz w:val="20"/>
                <w:szCs w:val="20"/>
                <w:color w:val="auto"/>
              </w:rPr>
            </w:pPr>
            <w:r>
              <w:rPr>
                <w:rFonts w:ascii="Arial" w:cs="Arial" w:eastAsia="Arial" w:hAnsi="Arial"/>
                <w:sz w:val="18"/>
                <w:szCs w:val="18"/>
                <w:b w:val="1"/>
                <w:bCs w:val="1"/>
                <w:color w:val="auto"/>
                <w:w w:val="95"/>
              </w:rPr>
              <w:t>Date Fair Value</w:t>
            </w:r>
          </w:p>
        </w:tc>
        <w:tc>
          <w:tcPr>
            <w:tcW w:w="2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5220" w:type="dxa"/>
            <w:vAlign w:val="bottom"/>
            <w:gridSpan w:val="2"/>
          </w:tcPr>
          <w:p>
            <w:pPr>
              <w:ind w:left="2300"/>
              <w:spacing w:after="0"/>
              <w:rPr>
                <w:sz w:val="20"/>
                <w:szCs w:val="20"/>
                <w:color w:val="auto"/>
              </w:rPr>
            </w:pPr>
            <w:r>
              <w:rPr>
                <w:rFonts w:ascii="Arial" w:cs="Arial" w:eastAsia="Arial" w:hAnsi="Arial"/>
                <w:sz w:val="18"/>
                <w:szCs w:val="18"/>
                <w:color w:val="auto"/>
              </w:rPr>
              <w:t>Outstanding at December 31, 2012</w:t>
            </w:r>
          </w:p>
        </w:tc>
        <w:tc>
          <w:tcPr>
            <w:tcW w:w="2120" w:type="dxa"/>
            <w:vAlign w:val="bottom"/>
            <w:gridSpan w:val="3"/>
          </w:tcPr>
          <w:p>
            <w:pPr>
              <w:jc w:val="right"/>
              <w:ind w:right="11"/>
              <w:spacing w:after="0"/>
              <w:rPr>
                <w:sz w:val="20"/>
                <w:szCs w:val="20"/>
                <w:color w:val="auto"/>
              </w:rPr>
            </w:pPr>
            <w:r>
              <w:rPr>
                <w:rFonts w:ascii="Arial" w:cs="Arial" w:eastAsia="Arial" w:hAnsi="Arial"/>
                <w:sz w:val="18"/>
                <w:szCs w:val="18"/>
                <w:color w:val="auto"/>
              </w:rPr>
              <w:t>485,584</w:t>
            </w: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31"/>
              <w:spacing w:after="0"/>
              <w:rPr>
                <w:sz w:val="20"/>
                <w:szCs w:val="20"/>
                <w:color w:val="auto"/>
              </w:rPr>
            </w:pPr>
            <w:r>
              <w:rPr>
                <w:rFonts w:ascii="Arial" w:cs="Arial" w:eastAsia="Arial" w:hAnsi="Arial"/>
                <w:sz w:val="18"/>
                <w:szCs w:val="18"/>
                <w:color w:val="auto"/>
              </w:rPr>
              <w:t>10.72</w:t>
            </w: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5220" w:type="dxa"/>
            <w:vAlign w:val="bottom"/>
            <w:gridSpan w:val="2"/>
          </w:tcPr>
          <w:p>
            <w:pPr>
              <w:ind w:left="2300"/>
              <w:spacing w:after="0"/>
              <w:rPr>
                <w:sz w:val="20"/>
                <w:szCs w:val="20"/>
                <w:color w:val="auto"/>
              </w:rPr>
            </w:pPr>
            <w:r>
              <w:rPr>
                <w:rFonts w:ascii="Arial" w:cs="Arial" w:eastAsia="Arial" w:hAnsi="Arial"/>
                <w:sz w:val="18"/>
                <w:szCs w:val="18"/>
                <w:color w:val="auto"/>
              </w:rPr>
              <w:t>Granted</w:t>
            </w:r>
          </w:p>
        </w:tc>
        <w:tc>
          <w:tcPr>
            <w:tcW w:w="2120" w:type="dxa"/>
            <w:vAlign w:val="bottom"/>
            <w:gridSpan w:val="3"/>
          </w:tcPr>
          <w:p>
            <w:pPr>
              <w:jc w:val="right"/>
              <w:ind w:right="11"/>
              <w:spacing w:after="0"/>
              <w:rPr>
                <w:sz w:val="20"/>
                <w:szCs w:val="20"/>
                <w:color w:val="auto"/>
              </w:rPr>
            </w:pPr>
            <w:r>
              <w:rPr>
                <w:rFonts w:ascii="Arial" w:cs="Arial" w:eastAsia="Arial" w:hAnsi="Arial"/>
                <w:sz w:val="18"/>
                <w:szCs w:val="18"/>
                <w:color w:val="auto"/>
              </w:rPr>
              <w:t>80,938</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tcPr>
          <w:p>
            <w:pPr>
              <w:jc w:val="right"/>
              <w:ind w:right="31"/>
              <w:spacing w:after="0"/>
              <w:rPr>
                <w:sz w:val="20"/>
                <w:szCs w:val="20"/>
                <w:color w:val="auto"/>
              </w:rPr>
            </w:pPr>
            <w:r>
              <w:rPr>
                <w:rFonts w:ascii="Arial" w:cs="Arial" w:eastAsia="Arial" w:hAnsi="Arial"/>
                <w:sz w:val="18"/>
                <w:szCs w:val="18"/>
                <w:color w:val="auto"/>
              </w:rPr>
              <w:t>11.24</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220" w:type="dxa"/>
            <w:vAlign w:val="bottom"/>
            <w:gridSpan w:val="2"/>
          </w:tcPr>
          <w:p>
            <w:pPr>
              <w:ind w:left="2300"/>
              <w:spacing w:after="0"/>
              <w:rPr>
                <w:sz w:val="20"/>
                <w:szCs w:val="20"/>
                <w:color w:val="auto"/>
              </w:rPr>
            </w:pPr>
            <w:r>
              <w:rPr>
                <w:rFonts w:ascii="Arial" w:cs="Arial" w:eastAsia="Arial" w:hAnsi="Arial"/>
                <w:sz w:val="18"/>
                <w:szCs w:val="18"/>
                <w:color w:val="auto"/>
              </w:rPr>
              <w:t>Excercised</w:t>
            </w:r>
          </w:p>
        </w:tc>
        <w:tc>
          <w:tcPr>
            <w:tcW w:w="2120" w:type="dxa"/>
            <w:vAlign w:val="bottom"/>
            <w:gridSpan w:val="3"/>
          </w:tcPr>
          <w:p>
            <w:pPr>
              <w:jc w:val="right"/>
              <w:spacing w:after="0"/>
              <w:rPr>
                <w:sz w:val="20"/>
                <w:szCs w:val="20"/>
                <w:color w:val="auto"/>
              </w:rPr>
            </w:pPr>
            <w:r>
              <w:rPr>
                <w:rFonts w:ascii="Arial" w:cs="Arial" w:eastAsia="Arial" w:hAnsi="Arial"/>
                <w:sz w:val="18"/>
                <w:szCs w:val="18"/>
                <w:color w:val="auto"/>
              </w:rPr>
              <w:t>(157,071)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tcPr>
          <w:p>
            <w:pPr>
              <w:jc w:val="right"/>
              <w:ind w:right="31"/>
              <w:spacing w:after="0"/>
              <w:rPr>
                <w:sz w:val="20"/>
                <w:szCs w:val="20"/>
                <w:color w:val="auto"/>
              </w:rPr>
            </w:pPr>
            <w:r>
              <w:rPr>
                <w:rFonts w:ascii="Arial" w:cs="Arial" w:eastAsia="Arial" w:hAnsi="Arial"/>
                <w:sz w:val="18"/>
                <w:szCs w:val="18"/>
                <w:color w:val="auto"/>
              </w:rPr>
              <w:t>13.59</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5220" w:type="dxa"/>
            <w:vAlign w:val="bottom"/>
            <w:gridSpan w:val="2"/>
          </w:tcPr>
          <w:p>
            <w:pPr>
              <w:ind w:left="2300"/>
              <w:spacing w:after="0"/>
              <w:rPr>
                <w:sz w:val="20"/>
                <w:szCs w:val="20"/>
                <w:color w:val="auto"/>
              </w:rPr>
            </w:pPr>
            <w:r>
              <w:rPr>
                <w:rFonts w:ascii="Arial" w:cs="Arial" w:eastAsia="Arial" w:hAnsi="Arial"/>
                <w:sz w:val="18"/>
                <w:szCs w:val="18"/>
                <w:color w:val="auto"/>
              </w:rPr>
              <w:t>Cancelled</w:t>
            </w:r>
          </w:p>
        </w:tc>
        <w:tc>
          <w:tcPr>
            <w:tcW w:w="2120" w:type="dxa"/>
            <w:vAlign w:val="bottom"/>
            <w:gridSpan w:val="3"/>
          </w:tcPr>
          <w:p>
            <w:pPr>
              <w:jc w:val="right"/>
              <w:spacing w:after="0"/>
              <w:rPr>
                <w:sz w:val="20"/>
                <w:szCs w:val="20"/>
                <w:color w:val="auto"/>
              </w:rPr>
            </w:pPr>
            <w:r>
              <w:rPr>
                <w:rFonts w:ascii="Arial" w:cs="Arial" w:eastAsia="Arial" w:hAnsi="Arial"/>
                <w:sz w:val="18"/>
                <w:szCs w:val="18"/>
                <w:color w:val="auto"/>
              </w:rPr>
              <w:t>(15,666)</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80" w:type="dxa"/>
            <w:vAlign w:val="bottom"/>
          </w:tcPr>
          <w:p>
            <w:pPr>
              <w:jc w:val="right"/>
              <w:ind w:right="31"/>
              <w:spacing w:after="0"/>
              <w:rPr>
                <w:sz w:val="20"/>
                <w:szCs w:val="20"/>
                <w:color w:val="auto"/>
              </w:rPr>
            </w:pPr>
            <w:r>
              <w:rPr>
                <w:rFonts w:ascii="Arial" w:cs="Arial" w:eastAsia="Arial" w:hAnsi="Arial"/>
                <w:sz w:val="18"/>
                <w:szCs w:val="18"/>
                <w:color w:val="auto"/>
              </w:rPr>
              <w:t>9.14</w:t>
            </w:r>
          </w:p>
        </w:tc>
        <w:tc>
          <w:tcPr>
            <w:tcW w:w="2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4"/>
        </w:trPr>
        <w:tc>
          <w:tcPr>
            <w:tcW w:w="5220" w:type="dxa"/>
            <w:vAlign w:val="bottom"/>
            <w:gridSpan w:val="2"/>
          </w:tcPr>
          <w:p>
            <w:pPr>
              <w:ind w:left="2300"/>
              <w:spacing w:after="0"/>
              <w:rPr>
                <w:sz w:val="20"/>
                <w:szCs w:val="20"/>
                <w:color w:val="auto"/>
              </w:rPr>
            </w:pPr>
            <w:r>
              <w:rPr>
                <w:rFonts w:ascii="Arial" w:cs="Arial" w:eastAsia="Arial" w:hAnsi="Arial"/>
                <w:sz w:val="18"/>
                <w:szCs w:val="18"/>
                <w:color w:val="auto"/>
              </w:rPr>
              <w:t>Outstanding at June 30, 2013</w:t>
            </w:r>
          </w:p>
        </w:tc>
        <w:tc>
          <w:tcPr>
            <w:tcW w:w="940" w:type="dxa"/>
            <w:vAlign w:val="bottom"/>
            <w:gridSpan w:val="2"/>
          </w:tcPr>
          <w:p>
            <w:pPr>
              <w:spacing w:after="0"/>
              <w:rPr>
                <w:sz w:val="18"/>
                <w:szCs w:val="18"/>
                <w:color w:val="auto"/>
              </w:rPr>
            </w:pPr>
          </w:p>
        </w:tc>
        <w:tc>
          <w:tcPr>
            <w:tcW w:w="11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393,785</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tcPr>
          <w:p>
            <w:pPr>
              <w:jc w:val="right"/>
              <w:ind w:right="31"/>
              <w:spacing w:after="0"/>
              <w:rPr>
                <w:sz w:val="20"/>
                <w:szCs w:val="20"/>
                <w:color w:val="auto"/>
              </w:rPr>
            </w:pPr>
            <w:r>
              <w:rPr>
                <w:rFonts w:ascii="Arial" w:cs="Arial" w:eastAsia="Arial" w:hAnsi="Arial"/>
                <w:sz w:val="18"/>
                <w:szCs w:val="18"/>
                <w:color w:val="auto"/>
              </w:rPr>
              <w:t>9.75</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20" w:type="dxa"/>
            <w:vAlign w:val="bottom"/>
            <w:gridSpan w:val="2"/>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0"/>
        </w:trPr>
        <w:tc>
          <w:tcPr>
            <w:tcW w:w="5220" w:type="dxa"/>
            <w:vAlign w:val="bottom"/>
            <w:gridSpan w:val="2"/>
          </w:tcPr>
          <w:p>
            <w:pPr>
              <w:ind w:left="2300"/>
              <w:spacing w:after="0"/>
              <w:rPr>
                <w:sz w:val="20"/>
                <w:szCs w:val="20"/>
                <w:color w:val="auto"/>
              </w:rPr>
            </w:pPr>
            <w:r>
              <w:rPr>
                <w:rFonts w:ascii="Arial" w:cs="Arial" w:eastAsia="Arial" w:hAnsi="Arial"/>
                <w:sz w:val="18"/>
                <w:szCs w:val="18"/>
                <w:color w:val="auto"/>
              </w:rPr>
              <w:t>Vested at March 31, 2013</w:t>
            </w:r>
          </w:p>
        </w:tc>
        <w:tc>
          <w:tcPr>
            <w:tcW w:w="2120" w:type="dxa"/>
            <w:vAlign w:val="bottom"/>
            <w:gridSpan w:val="3"/>
          </w:tcPr>
          <w:p>
            <w:pPr>
              <w:jc w:val="right"/>
              <w:ind w:right="11"/>
              <w:spacing w:after="0"/>
              <w:rPr>
                <w:sz w:val="20"/>
                <w:szCs w:val="20"/>
                <w:color w:val="auto"/>
              </w:rPr>
            </w:pPr>
            <w:r>
              <w:rPr>
                <w:rFonts w:ascii="Arial" w:cs="Arial" w:eastAsia="Arial" w:hAnsi="Arial"/>
                <w:sz w:val="18"/>
                <w:szCs w:val="18"/>
                <w:color w:val="auto"/>
              </w:rPr>
              <w:t>54,238</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80" w:type="dxa"/>
            <w:vAlign w:val="bottom"/>
          </w:tcPr>
          <w:p>
            <w:pPr>
              <w:jc w:val="right"/>
              <w:ind w:right="31"/>
              <w:spacing w:after="0"/>
              <w:rPr>
                <w:sz w:val="20"/>
                <w:szCs w:val="20"/>
                <w:color w:val="auto"/>
              </w:rPr>
            </w:pPr>
            <w:r>
              <w:rPr>
                <w:rFonts w:ascii="Arial" w:cs="Arial" w:eastAsia="Arial" w:hAnsi="Arial"/>
                <w:sz w:val="18"/>
                <w:szCs w:val="18"/>
                <w:color w:val="auto"/>
              </w:rPr>
              <w:t>11.20</w:t>
            </w: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
        </w:trPr>
        <w:tc>
          <w:tcPr>
            <w:tcW w:w="230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860" w:type="dxa"/>
            <w:vAlign w:val="bottom"/>
            <w:vMerge w:val="restart"/>
          </w:tcPr>
          <w:p>
            <w:pPr>
              <w:jc w:val="right"/>
              <w:ind w:right="191"/>
              <w:spacing w:after="0"/>
              <w:rPr>
                <w:sz w:val="20"/>
                <w:szCs w:val="20"/>
                <w:color w:val="auto"/>
              </w:rPr>
            </w:pPr>
            <w:r>
              <w:rPr>
                <w:rFonts w:ascii="Arial" w:cs="Arial" w:eastAsia="Arial" w:hAnsi="Arial"/>
                <w:sz w:val="18"/>
                <w:szCs w:val="18"/>
                <w:color w:val="auto"/>
              </w:rPr>
              <w:t>28</w:t>
            </w:r>
          </w:p>
        </w:tc>
        <w:tc>
          <w:tcPr>
            <w:tcW w:w="8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1"/>
        </w:trPr>
        <w:tc>
          <w:tcPr>
            <w:tcW w:w="2300" w:type="dxa"/>
            <w:vAlign w:val="bottom"/>
            <w:tcBorders>
              <w:bottom w:val="single" w:sz="8" w:color="DCDCDC"/>
            </w:tcBorders>
          </w:tcPr>
          <w:p>
            <w:pPr>
              <w:spacing w:after="0"/>
              <w:rPr>
                <w:sz w:val="24"/>
                <w:szCs w:val="24"/>
                <w:color w:val="auto"/>
              </w:rPr>
            </w:pPr>
          </w:p>
        </w:tc>
        <w:tc>
          <w:tcPr>
            <w:tcW w:w="2920" w:type="dxa"/>
            <w:vAlign w:val="bottom"/>
            <w:tcBorders>
              <w:bottom w:val="single" w:sz="8" w:color="DCDCDC"/>
            </w:tcBorders>
          </w:tcPr>
          <w:p>
            <w:pPr>
              <w:spacing w:after="0"/>
              <w:rPr>
                <w:sz w:val="24"/>
                <w:szCs w:val="24"/>
                <w:color w:val="auto"/>
              </w:rPr>
            </w:pPr>
          </w:p>
        </w:tc>
        <w:tc>
          <w:tcPr>
            <w:tcW w:w="860" w:type="dxa"/>
            <w:vAlign w:val="bottom"/>
            <w:tcBorders>
              <w:bottom w:val="single" w:sz="8" w:color="DCDCDC"/>
            </w:tcBorders>
            <w:vMerge w:val="continue"/>
          </w:tcPr>
          <w:p>
            <w:pPr>
              <w:spacing w:after="0"/>
              <w:rPr>
                <w:sz w:val="24"/>
                <w:szCs w:val="24"/>
                <w:color w:val="auto"/>
              </w:rPr>
            </w:pPr>
          </w:p>
        </w:tc>
        <w:tc>
          <w:tcPr>
            <w:tcW w:w="80" w:type="dxa"/>
            <w:vAlign w:val="bottom"/>
            <w:tcBorders>
              <w:bottom w:val="single" w:sz="8" w:color="DCDCDC"/>
            </w:tcBorders>
          </w:tcPr>
          <w:p>
            <w:pPr>
              <w:spacing w:after="0"/>
              <w:rPr>
                <w:sz w:val="24"/>
                <w:szCs w:val="24"/>
                <w:color w:val="auto"/>
              </w:rPr>
            </w:pPr>
          </w:p>
        </w:tc>
        <w:tc>
          <w:tcPr>
            <w:tcW w:w="1180" w:type="dxa"/>
            <w:vAlign w:val="bottom"/>
            <w:tcBorders>
              <w:bottom w:val="single" w:sz="8" w:color="DCDCDC"/>
            </w:tcBorders>
          </w:tcPr>
          <w:p>
            <w:pPr>
              <w:spacing w:after="0"/>
              <w:rPr>
                <w:sz w:val="24"/>
                <w:szCs w:val="24"/>
                <w:color w:val="auto"/>
              </w:rPr>
            </w:pPr>
          </w:p>
        </w:tc>
        <w:tc>
          <w:tcPr>
            <w:tcW w:w="80" w:type="dxa"/>
            <w:vAlign w:val="bottom"/>
            <w:tcBorders>
              <w:bottom w:val="single" w:sz="8" w:color="DCDCDC"/>
            </w:tcBorders>
          </w:tcPr>
          <w:p>
            <w:pPr>
              <w:spacing w:after="0"/>
              <w:rPr>
                <w:sz w:val="24"/>
                <w:szCs w:val="24"/>
                <w:color w:val="auto"/>
              </w:rPr>
            </w:pPr>
          </w:p>
        </w:tc>
        <w:tc>
          <w:tcPr>
            <w:tcW w:w="140" w:type="dxa"/>
            <w:vAlign w:val="bottom"/>
            <w:tcBorders>
              <w:bottom w:val="single" w:sz="8" w:color="DCDCDC"/>
            </w:tcBorders>
          </w:tcPr>
          <w:p>
            <w:pPr>
              <w:spacing w:after="0"/>
              <w:rPr>
                <w:sz w:val="24"/>
                <w:szCs w:val="24"/>
                <w:color w:val="auto"/>
              </w:rPr>
            </w:pPr>
          </w:p>
        </w:tc>
        <w:tc>
          <w:tcPr>
            <w:tcW w:w="1580" w:type="dxa"/>
            <w:vAlign w:val="bottom"/>
            <w:tcBorders>
              <w:bottom w:val="single" w:sz="8" w:color="DCDCDC"/>
            </w:tcBorders>
          </w:tcPr>
          <w:p>
            <w:pPr>
              <w:spacing w:after="0"/>
              <w:rPr>
                <w:sz w:val="24"/>
                <w:szCs w:val="24"/>
                <w:color w:val="auto"/>
              </w:rPr>
            </w:pPr>
          </w:p>
        </w:tc>
        <w:tc>
          <w:tcPr>
            <w:tcW w:w="2280" w:type="dxa"/>
            <w:vAlign w:val="bottom"/>
            <w:tcBorders>
              <w:bottom w:val="single" w:sz="8" w:color="DCDCDC"/>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11" w:right="239" w:bottom="1440" w:gutter="0" w:footer="0" w:header="0"/>
        </w:sectPr>
      </w:pPr>
    </w:p>
    <w:bookmarkStart w:id="32" w:name="page33"/>
    <w:bookmarkEnd w:id="32"/>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Compensation expense for restricted stock and restricted stock units is based on the fair value of restricted stock and restricted stock unit awards at the time of grant, which is equal to the value of United’s common stock on the date of grant. The value of restricted stock and restricted stock unit grants that are expected to vest is amortized into expense over the vesting period. For the six months ended June 30, 2013 and 2012, compensation expense of $1.23 million and $815,000, respectively, was recognized related to restricted stock and restricted stock unit awards. In addition, for the six months ended June 30, 2013, $93,000 was recognized in other operating expense for restricted stock units granted to members of United’s board of directors. The total intrinsic value of restricted stock and restricted stock units was $4.89 million at June 30, 2013.</w:t>
      </w:r>
    </w:p>
    <w:p>
      <w:pPr>
        <w:spacing w:after="0" w:line="208" w:lineRule="exact"/>
        <w:rPr>
          <w:sz w:val="20"/>
          <w:szCs w:val="20"/>
          <w:color w:val="auto"/>
        </w:rPr>
      </w:pPr>
    </w:p>
    <w:p>
      <w:pPr>
        <w:jc w:val="both"/>
        <w:spacing w:after="0" w:line="307" w:lineRule="auto"/>
        <w:rPr>
          <w:sz w:val="20"/>
          <w:szCs w:val="20"/>
          <w:color w:val="auto"/>
        </w:rPr>
      </w:pPr>
      <w:r>
        <w:rPr>
          <w:rFonts w:ascii="Arial" w:cs="Arial" w:eastAsia="Arial" w:hAnsi="Arial"/>
          <w:sz w:val="16"/>
          <w:szCs w:val="16"/>
          <w:color w:val="auto"/>
        </w:rPr>
        <w:t>As of June 30, 2013, there was $2.73 million of unrecognized compensation cost related to non-vested stock options and restricted stock and restricted stock unit awards granted under the plan. That cost is expected to be recognized over a weighted-average period of 1.72 years. The aggregate grant date fair value of options and restricted stock and restricted stock unit awards that vested during the six months ended June 30, 2013, was $2.37 million.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Common and Preferred Stock Issued / Common Stock Issuable</w:t>
      </w:r>
    </w:p>
    <w:p>
      <w:pPr>
        <w:spacing w:after="0" w:line="252"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United sponsors a Dividend Reinvestment and Share Purchase Plan (“DRIP”) that allows participants who already own United’s common stock to purchase additional shares directly from the Company. The DRIP also allows participants to automatically reinvest their quarterly dividends in additional shares of common stock without a commission. The DRIP is currently suspended.</w:t>
      </w:r>
    </w:p>
    <w:p>
      <w:pPr>
        <w:spacing w:after="0" w:line="21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United’s 401(k) retirement plan regularly purchases shares of United’s common stock directly from United. In addition, United has an Employee Stock Purchase Program (“ESPP”) that allows eligible employees to purchase shares of common stock at a 5% discount, with no commission charges. For the six months ended June 30, 2013 and 2012, United issued 35,667 and 60,982 shares, respectively, and increased capital by $383,000 and $501,000, respectively, through these programs.</w:t>
      </w:r>
    </w:p>
    <w:p>
      <w:pPr>
        <w:spacing w:after="0" w:line="215"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United offers its common stock as an investment option in its deferred compensation plan. The common stock component of the deferred compensation plan is accounted for as an equity instrument and is reflected in the consolidated financial statements as common stock issuable. The deferred compensation plan does not allow for diversification once an election is made to invest in United stock and settlement must be accomplished in shares at the time the deferral period is completed. At June 30, 2013 and 2012, 271,215 and 94,657 shares, respectively, were issuable under the deferred compensation plan.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Income Taxes</w:t>
      </w:r>
    </w:p>
    <w:p>
      <w:pPr>
        <w:spacing w:after="0" w:line="25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valuation allowance on deferred tax assets was $4.96 million, $270 million and $277 million, respectively, at June 30, 2013, December 31, 2012 and June 30, 2012. Management assesses the valuation allowance recorded against deferred tax assets at each reporting period. The determination of whether a valuation allowance for deferred tax assets is appropriate is subject to considerable judgment and requires an evaluation of all the positive and negative evidence.</w:t>
      </w:r>
    </w:p>
    <w:p>
      <w:pPr>
        <w:spacing w:after="0" w:line="215"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In 2010, United established a full valuation allowance on its deferred tax asset due to the realization of significant losses and uncertainty about United’s future earnings forecasts.</w:t>
      </w:r>
    </w:p>
    <w:p>
      <w:pPr>
        <w:spacing w:after="0" w:line="202"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At June 30, 2013, United remained in a three-year cumulative loss position, which represents negative evidence. However, based on the assessment of all the positive and negative evidence, management has concluded that it is more likely than not that $272 million of the net deferred tax asset will be realized based upon future taxable income and therefore reversed $272 million of the valuation allowance. The valuation allowance of $4.96 million at June 30, 2013 is related to specific state income tax credits that have short carryforward periods and are expected to expire unused. The positive evidence considered by management in arriving at the conclusion to remove the valuation allowance included six consecutive profitable quarters beginning with the fourth quarter of 2011, the strong pre-crisis earnings history and growth in pre-tax, pre-credit earnings, which demonstrate demand for United’s products and services, and the significant improvement in credit measures, which improve both the sustainability of profitability and management’s ability to forecast future credit losses. The negative evidence considered by management includes the fact that the company remains in a three-year cumulative loss position and the Memorandums of Understanding with the banking regulatory agencies.</w:t>
      </w:r>
    </w:p>
    <w:p>
      <w:pPr>
        <w:spacing w:after="0" w:line="20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United expects to realize the $272 million in net deferred tax assets well in advance of the statutory carryforward period. At June 30, 2013, $39.7 million of existing deferred tax assets were not related to net operating losses or credits and therefore, have no expiration date. Approximately $200 million of the remaining deferred tax assets relate to federal net operating losses which will expire in annual installments beginning in 2029. Additionally, $27.7 million of the deferred tax assets relate to state net operating losses which will expire in annual installments beginning in 2023. Tax credit carryforwards at June 30, 2013 include federal alternative minimum tax credits totaling $2.94 million which have an unlimited carryforward period. Other federal and state tax credits at June 30, 2013 total $7.14 million and will expire beginning in 2013.</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13970</wp:posOffset>
            </wp:positionV>
            <wp:extent cx="724789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7890" cy="8255"/>
                    </a:xfrm>
                    <a:prstGeom prst="rect">
                      <a:avLst/>
                    </a:prstGeom>
                    <a:noFill/>
                  </pic:spPr>
                </pic:pic>
              </a:graphicData>
            </a:graphic>
          </wp:anchor>
        </w:drawing>
      </w:r>
    </w:p>
    <w:p>
      <w:pPr>
        <w:sectPr>
          <w:pgSz w:w="11900" w:h="16838" w:orient="portrait"/>
          <w:cols w:equalWidth="0" w:num="1">
            <w:col w:w="11420"/>
          </w:cols>
          <w:pgMar w:left="240" w:top="911" w:right="239" w:bottom="1440" w:gutter="0" w:footer="0" w:header="0"/>
        </w:sectPr>
      </w:pPr>
    </w:p>
    <w:bookmarkStart w:id="33" w:name="page34"/>
    <w:bookmarkEnd w:id="33"/>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valuation allowance could fluctuate in future periods based on the assessment of the positive and negative evidence. Management’s conclusion at June 30, 2013 that it is more likely than not that the net deferred tax assets of $272 million will be realized is based upon management’s estimate of future taxable income. Management’s estimate of future taxable income is based on internal forecasts which consider historical performance, various internal estimates and assumptions, as well as certain external data all of which management believes to be reasonable although inherently subject to significant judgment. If actual results differ significantly from the current estimates of future taxable income, even if caused by adverse macro-economic conditions, the valuation allowance may need to be increased for some or all of the deferred tax asset. Such an increase to the deferred tax asset valuation allowance could have a material adverse effect on United’s financial condition and results of operations.</w:t>
      </w:r>
    </w:p>
    <w:p>
      <w:pPr>
        <w:spacing w:after="0" w:line="20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United is subject to income taxation in the United States and various state jurisdictions. United’s federal and state income tax returns are filed on a consolidated basis. Currently, no years for which United filed a federal income tax return are under examination by the IRS, and there are no state tax examinations currently in progress. United is no longer subject to income tax examinations from state and local income tax authorities for years before 2009. Although United is unable to determine the ultimate outcome of future examinations, United believes that the liability recorded for uncertain tax positions is appropriate.</w:t>
      </w:r>
    </w:p>
    <w:p>
      <w:pPr>
        <w:spacing w:after="0" w:line="218"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At June 30, 2013, December 31, 2012 and June 30, 2012, unrecognized income tax benefits totaled $5.18 million, $5.07 million and $6.33 million, respectively.</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Assets and Liabilities Measured at Fair Value</w:t>
      </w:r>
    </w:p>
    <w:p>
      <w:pPr>
        <w:spacing w:after="0" w:line="25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 xml:space="preserve">Fair value measurements are determined based on the assumptions that market participants would use in pricing the asset or liability. As a basis for considering market participant assumptions in fair value measurements, the Financial Accounting Standards Board’s Accounting Standards Codification Topic 820 (“ASC 820”) </w:t>
      </w:r>
      <w:r>
        <w:rPr>
          <w:rFonts w:ascii="Arial" w:cs="Arial" w:eastAsia="Arial" w:hAnsi="Arial"/>
          <w:sz w:val="16"/>
          <w:szCs w:val="16"/>
          <w:i w:val="1"/>
          <w:iCs w:val="1"/>
          <w:color w:val="auto"/>
        </w:rPr>
        <w:t>Fair Value Measurements and Disclosures</w:t>
      </w:r>
      <w:r>
        <w:rPr>
          <w:rFonts w:ascii="Arial" w:cs="Arial" w:eastAsia="Arial" w:hAnsi="Arial"/>
          <w:sz w:val="16"/>
          <w:szCs w:val="16"/>
          <w:color w:val="auto"/>
        </w:rPr>
        <w:t xml:space="preserve"> establishes a fair value hierarchy that distinguishes between market participant assumptions based on market data obtained from sources independent of the reporting entity (observable inputs that are classified within Levels 1 and 2 of the hierarchy) and the reporting entity’s own assumptions about market participant assumptions (unobservable inputs classified within Level 3 of the hierarchy).</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Fair Value Hierarchy</w:t>
      </w:r>
    </w:p>
    <w:p>
      <w:pPr>
        <w:spacing w:after="0" w:line="248" w:lineRule="exact"/>
        <w:rPr>
          <w:sz w:val="20"/>
          <w:szCs w:val="20"/>
          <w:color w:val="auto"/>
        </w:rPr>
      </w:pPr>
    </w:p>
    <w:p>
      <w:pPr>
        <w:ind w:left="580"/>
        <w:spacing w:after="0"/>
        <w:rPr>
          <w:sz w:val="20"/>
          <w:szCs w:val="20"/>
          <w:color w:val="auto"/>
        </w:rPr>
      </w:pPr>
      <w:r>
        <w:rPr>
          <w:rFonts w:ascii="Arial" w:cs="Arial" w:eastAsia="Arial" w:hAnsi="Arial"/>
          <w:sz w:val="16"/>
          <w:szCs w:val="16"/>
          <w:i w:val="1"/>
          <w:iCs w:val="1"/>
          <w:color w:val="auto"/>
        </w:rPr>
        <w:t xml:space="preserve">Level 1 </w:t>
      </w:r>
      <w:r>
        <w:rPr>
          <w:rFonts w:ascii="Arial" w:cs="Arial" w:eastAsia="Arial" w:hAnsi="Arial"/>
          <w:sz w:val="16"/>
          <w:szCs w:val="16"/>
          <w:color w:val="auto"/>
        </w:rPr>
        <w:t>Valuation is based upon quoted prices (unadjusted) in active markets for identical assets or liabilities that United has the ability to access.</w:t>
      </w:r>
    </w:p>
    <w:p>
      <w:pPr>
        <w:spacing w:after="0" w:line="271" w:lineRule="exact"/>
        <w:rPr>
          <w:sz w:val="20"/>
          <w:szCs w:val="20"/>
          <w:color w:val="auto"/>
        </w:rPr>
      </w:pPr>
    </w:p>
    <w:p>
      <w:pPr>
        <w:jc w:val="both"/>
        <w:ind w:left="580"/>
        <w:spacing w:after="0" w:line="335" w:lineRule="auto"/>
        <w:rPr>
          <w:sz w:val="20"/>
          <w:szCs w:val="20"/>
          <w:color w:val="auto"/>
        </w:rPr>
      </w:pPr>
      <w:r>
        <w:rPr>
          <w:rFonts w:ascii="Arial" w:cs="Arial" w:eastAsia="Arial" w:hAnsi="Arial"/>
          <w:sz w:val="16"/>
          <w:szCs w:val="16"/>
          <w:i w:val="1"/>
          <w:iCs w:val="1"/>
          <w:color w:val="auto"/>
        </w:rPr>
        <w:t xml:space="preserve">Level 2 </w:t>
      </w:r>
      <w:r>
        <w:rPr>
          <w:rFonts w:ascii="Arial" w:cs="Arial" w:eastAsia="Arial" w:hAnsi="Arial"/>
          <w:sz w:val="16"/>
          <w:szCs w:val="16"/>
          <w:color w:val="auto"/>
        </w:rPr>
        <w:t>Valuation is based upon quoted prices for similar assets and liabilities in active markets, as well as inputs that are observable for the asset or</w:t>
      </w:r>
      <w:r>
        <w:rPr>
          <w:rFonts w:ascii="Arial" w:cs="Arial" w:eastAsia="Arial" w:hAnsi="Arial"/>
          <w:sz w:val="16"/>
          <w:szCs w:val="16"/>
          <w:i w:val="1"/>
          <w:iCs w:val="1"/>
          <w:color w:val="auto"/>
        </w:rPr>
        <w:t xml:space="preserve"> </w:t>
      </w:r>
      <w:r>
        <w:rPr>
          <w:rFonts w:ascii="Arial" w:cs="Arial" w:eastAsia="Arial" w:hAnsi="Arial"/>
          <w:sz w:val="16"/>
          <w:szCs w:val="16"/>
          <w:color w:val="auto"/>
        </w:rPr>
        <w:t>liability (other than quoted prices), such as interest rates, foreign exchange rates, and yield curves that are observable at commonly quoted intervals.</w:t>
      </w:r>
    </w:p>
    <w:p>
      <w:pPr>
        <w:spacing w:after="0" w:line="156" w:lineRule="exact"/>
        <w:rPr>
          <w:sz w:val="20"/>
          <w:szCs w:val="20"/>
          <w:color w:val="auto"/>
        </w:rPr>
      </w:pPr>
    </w:p>
    <w:p>
      <w:pPr>
        <w:jc w:val="both"/>
        <w:ind w:left="580"/>
        <w:spacing w:after="0" w:line="253" w:lineRule="auto"/>
        <w:rPr>
          <w:sz w:val="20"/>
          <w:szCs w:val="20"/>
          <w:color w:val="auto"/>
        </w:rPr>
      </w:pPr>
      <w:r>
        <w:rPr>
          <w:rFonts w:ascii="Arial" w:cs="Arial" w:eastAsia="Arial" w:hAnsi="Arial"/>
          <w:sz w:val="18"/>
          <w:szCs w:val="18"/>
          <w:i w:val="1"/>
          <w:iCs w:val="1"/>
          <w:color w:val="auto"/>
        </w:rPr>
        <w:t xml:space="preserve">Level 3 </w:t>
      </w:r>
      <w:r>
        <w:rPr>
          <w:rFonts w:ascii="Arial" w:cs="Arial" w:eastAsia="Arial" w:hAnsi="Arial"/>
          <w:sz w:val="18"/>
          <w:szCs w:val="18"/>
          <w:color w:val="auto"/>
        </w:rPr>
        <w:t>Valuation is generated from model-based techniques that use at least one significant assumption based on unobservable inputs for the asset or</w:t>
      </w:r>
      <w:r>
        <w:rPr>
          <w:rFonts w:ascii="Arial" w:cs="Arial" w:eastAsia="Arial" w:hAnsi="Arial"/>
          <w:sz w:val="18"/>
          <w:szCs w:val="18"/>
          <w:i w:val="1"/>
          <w:iCs w:val="1"/>
          <w:color w:val="auto"/>
        </w:rPr>
        <w:t xml:space="preserve"> </w:t>
      </w:r>
      <w:r>
        <w:rPr>
          <w:rFonts w:ascii="Arial" w:cs="Arial" w:eastAsia="Arial" w:hAnsi="Arial"/>
          <w:sz w:val="18"/>
          <w:szCs w:val="18"/>
          <w:color w:val="auto"/>
        </w:rPr>
        <w:t>liability, which are typically based on an entity’s own assumptions, as there is little, if any, related market activity. In instances where the determination of the fair value measurement is based on inputs from different levels of the fair value hierarchy, the level in the fair value hierarchy within which the entire fair value measurement falls is based on the lowest level input that is significant to the fair value measurement in its entirety. United’s assessment of the significance of a particular input to the fair value measurement in its entirety requires judgment, and considers factors specific to the asset or liability.</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description of the valuation methodologies used for assets and liabilities recorded at fair value.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Securities Available-for-Sale</w:t>
      </w:r>
    </w:p>
    <w:p>
      <w:pPr>
        <w:spacing w:after="0" w:line="248"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Investment securities available-for-sale are recorded at fair value on a recurring basis. Fair value measurement is based upon quoted prices, if available. If quoted prices are not available, fair values are measured using independent pricing models or other model-based valuation techniques such as the present value of future cash flows, adjusted for the security’s credit rating, prepayment assumptions and other factors such as credit loss assumptions. Level 1 securities include those traded on an active exchange, such as the New York Stock Exchange, U.S. Treasury securities that are traded by dealers or brokers in active over-the-counter markets and money market funds. Level 2 securities include mortgage-backed securities issued by government sponsored entities, municipal bonds and corporate debt securities. Securities classified as Level 3 include asset-backed securities in less liquid markets.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13970</wp:posOffset>
            </wp:positionV>
            <wp:extent cx="724789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7890" cy="8255"/>
                    </a:xfrm>
                    <a:prstGeom prst="rect">
                      <a:avLst/>
                    </a:prstGeom>
                    <a:noFill/>
                  </pic:spPr>
                </pic:pic>
              </a:graphicData>
            </a:graphic>
          </wp:anchor>
        </w:drawing>
      </w:r>
    </w:p>
    <w:p>
      <w:pPr>
        <w:sectPr>
          <w:pgSz w:w="11900" w:h="16838" w:orient="portrait"/>
          <w:cols w:equalWidth="0" w:num="1">
            <w:col w:w="11420"/>
          </w:cols>
          <w:pgMar w:left="240" w:top="911" w:right="239" w:bottom="1440" w:gutter="0" w:footer="0" w:header="0"/>
        </w:sectPr>
      </w:pPr>
    </w:p>
    <w:bookmarkStart w:id="34" w:name="page35"/>
    <w:bookmarkEnd w:id="34"/>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Deferred Compensation Plan Assets and Liabilities</w:t>
      </w:r>
    </w:p>
    <w:p>
      <w:pPr>
        <w:spacing w:after="0" w:line="248" w:lineRule="exact"/>
        <w:rPr>
          <w:sz w:val="20"/>
          <w:szCs w:val="20"/>
          <w:color w:val="auto"/>
        </w:rPr>
      </w:pPr>
    </w:p>
    <w:p>
      <w:pPr>
        <w:jc w:val="both"/>
        <w:spacing w:after="0" w:line="307" w:lineRule="auto"/>
        <w:rPr>
          <w:sz w:val="20"/>
          <w:szCs w:val="20"/>
          <w:color w:val="auto"/>
        </w:rPr>
      </w:pPr>
      <w:r>
        <w:rPr>
          <w:rFonts w:ascii="Arial" w:cs="Arial" w:eastAsia="Arial" w:hAnsi="Arial"/>
          <w:sz w:val="16"/>
          <w:szCs w:val="16"/>
          <w:color w:val="auto"/>
        </w:rPr>
        <w:t>Included in other assets in the Consolidated Balance Sheet are assets related to employee deferred compensation plans. The assets associated with these plans are invested in mutual funds and classified as Level 1. Deferred compensation liabilities, also classified as Level 1, are carried at the fair value of the obligation to the employee, which mirrors the fair value of the invested assets and is included in other liabilities in the consolidated balance sheet.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Mortgage Loans Held for Sale</w:t>
      </w:r>
    </w:p>
    <w:p>
      <w:pPr>
        <w:spacing w:after="0" w:line="2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Mortgage loans held for sale are carried at the lower of cost or market value. The fair value of mortgage loans held for sale is based on what secondary markets are currently offering for portfolios with similar characteristics. Generally, book value approximates fair value.</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Loans</w:t>
      </w:r>
    </w:p>
    <w:p>
      <w:pPr>
        <w:spacing w:after="0" w:line="20"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United does not record loans at fair value on a recurring basis. However, from time to time, a loan is considered impaired and an allowance for loan losses is established. Loans for which it is probable that payment of interest and principal will not be made in accordance with the contractual terms of the loan agreement are considered impaired. Once a loan is identified as individually impaired, management measures impairment based on the present value of expected future cash flows discounted at the loan’s effective interest rate, except that as a practical expedient, a creditor may measure impairment based on a loan’s observable market price, or the fair value of the collateral if repayment of the loan is dependent upon the sale of the underlying collateral. Those impaired loans not requiring an allowance represent loans for which the fair value of the expected repayments or collateral exceed the recorded investments in such loans. In accordance with ASC 820, impaired loans where an allowance is established based on the fair value of collateral require classification in the fair value hierarchy. When the fair value of the collateral is based on an observable market price or a current appraised value, United records the impaired loan as nonrecurring Level 2. When an appraised value is not available or management determines the fair value of the collateral is further impaired below the appraised value and there is no observable market price, United records the impaired loan as nonrecurring Level 3.</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Foreclosed Assets</w:t>
      </w:r>
    </w:p>
    <w:p>
      <w:pPr>
        <w:spacing w:after="0" w:line="248"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Foreclosed assets are adjusted to fair value, less cost to sell, upon transfer of the loans to foreclosed assets. Subsequently, foreclosed assets are carried at the lower of carrying value or fair value. Fair value is based upon independent market prices, appraised values of the collateral or management’s estimation of the value of the collateral. When the fair value of the collateral is based on an observable market price or a current appraised value, United records the foreclosed asset as nonrecurring Level 2. When an appraised value is not available or management determines the fair value of the collateral is further impaired below the appraised value and there is no observable market price, United records the foreclosed asset as nonrecurring Level 3.</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Goodwill and Other Intangible Assets</w:t>
      </w:r>
    </w:p>
    <w:p>
      <w:pPr>
        <w:spacing w:after="0" w:line="24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Goodwill and identified intangible assets are subject to impairment testing. United’s approach to testing goodwill for impairment is to compare the business unit’s carrying value to the implied fair value based on multiples of earnings and tangible book value for recently completed merger transactions. In the event the fair value is determined to be less than the carrying value, the asset is recorded at fair value as determined by the valuation model. As such, United classifies goodwill and other intangible assets subjected to nonrecurring fair value adjustments as Level 3.</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Derivative Financial Instruments</w:t>
      </w:r>
    </w:p>
    <w:p>
      <w:pPr>
        <w:spacing w:after="0" w:line="20"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United uses interest rate swaps and interest rate floors to manage its interest rate risk. The valuation of these instruments is determined using widely accepted valuation techniques including discounted cash flow analysis on the expected cash flows of each derivative. This analysis reflects the contractual terms of the derivatives, including the period to maturity, and uses observable market-based inputs, including interest rate curves and implied volatilities. The fair values of interest rate swaps are determined using the market standard methodology of netting the discounted future fixed cash receipts and the discounted expected variable cash payments. The variable cash payments are based on an expectation of future interest rates (forward curves) derived from observable market interest rate curves.</w:t>
      </w:r>
    </w:p>
    <w:p>
      <w:pPr>
        <w:spacing w:after="0" w:line="22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fair values of interest rate options are determined using the market standard methodology of discounting the future expected cash receipts that would occur if variable interest rates fell below the strike rate of the floors. The variable interest rates used in the calculation of projected receipts on the floor are based on an expectation of future interest rates derived from observable market interest rate curves and volatilities. To comply with the provisions of ASC 820, United incorporates credit valuation adjustments to appropriately reflect both its own nonperformance risk and the respective counterparty’s nonperformance risk in the fair value measurements. In adjusting the fair value of its derivative contracts for the effect of nonperformance risk, United has considered the effect of netting and any applicable credit enhancements, such as collateral postings, thresholds, mutual puts, and guarantees.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13970</wp:posOffset>
            </wp:positionV>
            <wp:extent cx="724789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7890" cy="8255"/>
                    </a:xfrm>
                    <a:prstGeom prst="rect">
                      <a:avLst/>
                    </a:prstGeom>
                    <a:noFill/>
                  </pic:spPr>
                </pic:pic>
              </a:graphicData>
            </a:graphic>
          </wp:anchor>
        </w:drawing>
      </w:r>
    </w:p>
    <w:p>
      <w:pPr>
        <w:sectPr>
          <w:pgSz w:w="11900" w:h="16838" w:orient="portrait"/>
          <w:cols w:equalWidth="0" w:num="1">
            <w:col w:w="11420"/>
          </w:cols>
          <w:pgMar w:left="240" w:top="885" w:right="239" w:bottom="1440" w:gutter="0" w:footer="0" w:header="0"/>
        </w:sectPr>
      </w:pPr>
    </w:p>
    <w:bookmarkStart w:id="35" w:name="page36"/>
    <w:bookmarkEnd w:id="35"/>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6"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Although United has determined that the majority of the inputs used to value its derivatives fall within Level 2 of the fair value hierarchy, the credit valuation adjustments associated with its derivatives utilize Level 3 inputs, such as estimates of current credit spreads to evaluate the likelihood of default by itself and its counterparties. However, as of June 30, 2013, United had assessed the significance of the effect of the credit valuation adjustments on the overall valuation of its derivative positions and has determined that the credit valuation adjustments are not significant to the overall valuation of its derivatives. As a result, United has determined that its derivative valuations in their entirety are classified in Level 2 of the fair value hierarchy.</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Assets and Liabilities Measured at Fair Value on a Recurring Basis</w:t>
      </w:r>
    </w:p>
    <w:p>
      <w:pPr>
        <w:spacing w:after="0" w:line="252"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 xml:space="preserve">The table below presents United’s assets and liabilities measured at fair value on a recurring basis as of June 30, 2013, December 31, 2012 and June 30, 2012, aggregated by the level in the fair value hierarchy within which those measurements fall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59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June 30, 2013</w:t>
            </w: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31"/>
              <w:spacing w:after="0"/>
              <w:rPr>
                <w:sz w:val="20"/>
                <w:szCs w:val="20"/>
                <w:color w:val="auto"/>
              </w:rPr>
            </w:pPr>
            <w:r>
              <w:rPr>
                <w:rFonts w:ascii="Arial" w:cs="Arial" w:eastAsia="Arial" w:hAnsi="Arial"/>
                <w:sz w:val="18"/>
                <w:szCs w:val="18"/>
                <w:b w:val="1"/>
                <w:bCs w:val="1"/>
                <w:color w:val="auto"/>
              </w:rPr>
              <w:t>Level 1</w:t>
            </w: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31"/>
              <w:spacing w:after="0"/>
              <w:rPr>
                <w:sz w:val="20"/>
                <w:szCs w:val="20"/>
                <w:color w:val="auto"/>
              </w:rPr>
            </w:pPr>
            <w:r>
              <w:rPr>
                <w:rFonts w:ascii="Arial" w:cs="Arial" w:eastAsia="Arial" w:hAnsi="Arial"/>
                <w:sz w:val="18"/>
                <w:szCs w:val="18"/>
                <w:b w:val="1"/>
                <w:bCs w:val="1"/>
                <w:color w:val="auto"/>
              </w:rPr>
              <w:t>Level 2</w:t>
            </w:r>
          </w:p>
        </w:tc>
        <w:tc>
          <w:tcPr>
            <w:tcW w:w="100" w:type="dxa"/>
            <w:vAlign w:val="bottom"/>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Level 3</w:t>
            </w:r>
          </w:p>
        </w:tc>
        <w:tc>
          <w:tcPr>
            <w:tcW w:w="3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91"/>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00"/>
        </w:trPr>
        <w:tc>
          <w:tcPr>
            <w:tcW w:w="5960" w:type="dxa"/>
            <w:vAlign w:val="bottom"/>
          </w:tcPr>
          <w:p>
            <w:pPr>
              <w:spacing w:after="0" w:line="200" w:lineRule="exact"/>
              <w:rPr>
                <w:sz w:val="20"/>
                <w:szCs w:val="20"/>
                <w:color w:val="auto"/>
              </w:rPr>
            </w:pPr>
            <w:r>
              <w:rPr>
                <w:rFonts w:ascii="Arial" w:cs="Arial" w:eastAsia="Arial" w:hAnsi="Arial"/>
                <w:sz w:val="18"/>
                <w:szCs w:val="18"/>
                <w:b w:val="1"/>
                <w:bCs w:val="1"/>
                <w:color w:val="auto"/>
              </w:rPr>
              <w:t>Assets:</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5960" w:type="dxa"/>
            <w:vAlign w:val="bottom"/>
          </w:tcPr>
          <w:p>
            <w:pPr>
              <w:ind w:left="140"/>
              <w:spacing w:after="0"/>
              <w:rPr>
                <w:sz w:val="20"/>
                <w:szCs w:val="20"/>
                <w:color w:val="auto"/>
              </w:rPr>
            </w:pPr>
            <w:r>
              <w:rPr>
                <w:rFonts w:ascii="Arial" w:cs="Arial" w:eastAsia="Arial" w:hAnsi="Arial"/>
                <w:sz w:val="18"/>
                <w:szCs w:val="18"/>
                <w:color w:val="auto"/>
              </w:rPr>
              <w:t>Securities available for sale:</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960" w:type="dxa"/>
            <w:vAlign w:val="bottom"/>
          </w:tcPr>
          <w:p>
            <w:pPr>
              <w:ind w:left="260"/>
              <w:spacing w:after="0"/>
              <w:rPr>
                <w:sz w:val="20"/>
                <w:szCs w:val="20"/>
                <w:color w:val="auto"/>
              </w:rPr>
            </w:pPr>
            <w:r>
              <w:rPr>
                <w:rFonts w:ascii="Arial" w:cs="Arial" w:eastAsia="Arial" w:hAnsi="Arial"/>
                <w:sz w:val="18"/>
                <w:szCs w:val="18"/>
                <w:color w:val="auto"/>
              </w:rPr>
              <w:t>State and political subdivisions</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23,440</w:t>
            </w:r>
          </w:p>
        </w:tc>
        <w:tc>
          <w:tcPr>
            <w:tcW w:w="960" w:type="dxa"/>
            <w:vAlign w:val="bottom"/>
            <w:gridSpan w:val="2"/>
          </w:tcPr>
          <w:p>
            <w:pPr>
              <w:jc w:val="right"/>
              <w:ind w:right="671"/>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23,440</w:t>
            </w:r>
          </w:p>
        </w:tc>
        <w:tc>
          <w:tcPr>
            <w:tcW w:w="0" w:type="dxa"/>
            <w:vAlign w:val="bottom"/>
          </w:tcPr>
          <w:p>
            <w:pPr>
              <w:spacing w:after="0"/>
              <w:rPr>
                <w:sz w:val="1"/>
                <w:szCs w:val="1"/>
                <w:color w:val="auto"/>
              </w:rPr>
            </w:pPr>
          </w:p>
        </w:tc>
      </w:tr>
      <w:tr>
        <w:trPr>
          <w:trHeight w:val="214"/>
        </w:trPr>
        <w:tc>
          <w:tcPr>
            <w:tcW w:w="5960" w:type="dxa"/>
            <w:vAlign w:val="bottom"/>
          </w:tcPr>
          <w:p>
            <w:pPr>
              <w:ind w:left="260"/>
              <w:spacing w:after="0"/>
              <w:rPr>
                <w:sz w:val="20"/>
                <w:szCs w:val="20"/>
                <w:color w:val="auto"/>
              </w:rPr>
            </w:pPr>
            <w:r>
              <w:rPr>
                <w:rFonts w:ascii="Arial" w:cs="Arial" w:eastAsia="Arial" w:hAnsi="Arial"/>
                <w:sz w:val="18"/>
                <w:szCs w:val="18"/>
                <w:color w:val="auto"/>
              </w:rPr>
              <w:t>Mortgage-backed securities</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1,412,586</w:t>
            </w: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1,412,586</w:t>
            </w:r>
          </w:p>
        </w:tc>
        <w:tc>
          <w:tcPr>
            <w:tcW w:w="0" w:type="dxa"/>
            <w:vAlign w:val="bottom"/>
          </w:tcPr>
          <w:p>
            <w:pPr>
              <w:spacing w:after="0"/>
              <w:rPr>
                <w:sz w:val="1"/>
                <w:szCs w:val="1"/>
                <w:color w:val="auto"/>
              </w:rPr>
            </w:pPr>
          </w:p>
        </w:tc>
      </w:tr>
      <w:tr>
        <w:trPr>
          <w:trHeight w:val="214"/>
        </w:trPr>
        <w:tc>
          <w:tcPr>
            <w:tcW w:w="5960" w:type="dxa"/>
            <w:vAlign w:val="bottom"/>
          </w:tcPr>
          <w:p>
            <w:pPr>
              <w:ind w:left="260"/>
              <w:spacing w:after="0"/>
              <w:rPr>
                <w:sz w:val="20"/>
                <w:szCs w:val="20"/>
                <w:color w:val="auto"/>
              </w:rPr>
            </w:pPr>
            <w:r>
              <w:rPr>
                <w:rFonts w:ascii="Arial" w:cs="Arial" w:eastAsia="Arial" w:hAnsi="Arial"/>
                <w:sz w:val="18"/>
                <w:szCs w:val="18"/>
                <w:color w:val="auto"/>
              </w:rPr>
              <w:t>Corporate bonds</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253,518</w:t>
            </w: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80" w:type="dxa"/>
            <w:vAlign w:val="bottom"/>
          </w:tcPr>
          <w:p>
            <w:pPr>
              <w:jc w:val="right"/>
              <w:ind w:right="11"/>
              <w:spacing w:after="0"/>
              <w:rPr>
                <w:sz w:val="20"/>
                <w:szCs w:val="20"/>
                <w:color w:val="auto"/>
              </w:rPr>
            </w:pPr>
            <w:r>
              <w:rPr>
                <w:rFonts w:ascii="Arial" w:cs="Arial" w:eastAsia="Arial" w:hAnsi="Arial"/>
                <w:sz w:val="18"/>
                <w:szCs w:val="18"/>
                <w:color w:val="auto"/>
                <w:w w:val="86"/>
              </w:rPr>
              <w:t>350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253,868</w:t>
            </w:r>
          </w:p>
        </w:tc>
        <w:tc>
          <w:tcPr>
            <w:tcW w:w="0" w:type="dxa"/>
            <w:vAlign w:val="bottom"/>
          </w:tcPr>
          <w:p>
            <w:pPr>
              <w:spacing w:after="0"/>
              <w:rPr>
                <w:sz w:val="1"/>
                <w:szCs w:val="1"/>
                <w:color w:val="auto"/>
              </w:rPr>
            </w:pPr>
          </w:p>
        </w:tc>
      </w:tr>
      <w:tr>
        <w:trPr>
          <w:trHeight w:val="214"/>
        </w:trPr>
        <w:tc>
          <w:tcPr>
            <w:tcW w:w="5960" w:type="dxa"/>
            <w:vAlign w:val="bottom"/>
          </w:tcPr>
          <w:p>
            <w:pPr>
              <w:ind w:left="260"/>
              <w:spacing w:after="0"/>
              <w:rPr>
                <w:sz w:val="20"/>
                <w:szCs w:val="20"/>
                <w:color w:val="auto"/>
              </w:rPr>
            </w:pPr>
            <w:r>
              <w:rPr>
                <w:rFonts w:ascii="Arial" w:cs="Arial" w:eastAsia="Arial" w:hAnsi="Arial"/>
                <w:sz w:val="18"/>
                <w:szCs w:val="18"/>
                <w:color w:val="auto"/>
              </w:rPr>
              <w:t>Asset-backed securities</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244,844</w:t>
            </w: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244,844</w:t>
            </w:r>
          </w:p>
        </w:tc>
        <w:tc>
          <w:tcPr>
            <w:tcW w:w="0" w:type="dxa"/>
            <w:vAlign w:val="bottom"/>
          </w:tcPr>
          <w:p>
            <w:pPr>
              <w:spacing w:after="0"/>
              <w:rPr>
                <w:sz w:val="1"/>
                <w:szCs w:val="1"/>
                <w:color w:val="auto"/>
              </w:rPr>
            </w:pPr>
          </w:p>
        </w:tc>
      </w:tr>
      <w:tr>
        <w:trPr>
          <w:trHeight w:val="214"/>
        </w:trPr>
        <w:tc>
          <w:tcPr>
            <w:tcW w:w="5960" w:type="dxa"/>
            <w:vAlign w:val="bottom"/>
          </w:tcPr>
          <w:p>
            <w:pPr>
              <w:ind w:left="260"/>
              <w:spacing w:after="0"/>
              <w:rPr>
                <w:sz w:val="20"/>
                <w:szCs w:val="20"/>
                <w:color w:val="auto"/>
              </w:rPr>
            </w:pPr>
            <w:r>
              <w:rPr>
                <w:rFonts w:ascii="Arial" w:cs="Arial" w:eastAsia="Arial" w:hAnsi="Arial"/>
                <w:sz w:val="18"/>
                <w:szCs w:val="18"/>
                <w:color w:val="auto"/>
              </w:rPr>
              <w:t>Other</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2,526</w:t>
            </w: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2,526</w:t>
            </w:r>
          </w:p>
        </w:tc>
        <w:tc>
          <w:tcPr>
            <w:tcW w:w="0" w:type="dxa"/>
            <w:vAlign w:val="bottom"/>
          </w:tcPr>
          <w:p>
            <w:pPr>
              <w:spacing w:after="0"/>
              <w:rPr>
                <w:sz w:val="1"/>
                <w:szCs w:val="1"/>
                <w:color w:val="auto"/>
              </w:rPr>
            </w:pPr>
          </w:p>
        </w:tc>
      </w:tr>
      <w:tr>
        <w:trPr>
          <w:trHeight w:val="214"/>
        </w:trPr>
        <w:tc>
          <w:tcPr>
            <w:tcW w:w="5960" w:type="dxa"/>
            <w:vAlign w:val="bottom"/>
          </w:tcPr>
          <w:p>
            <w:pPr>
              <w:ind w:left="140"/>
              <w:spacing w:after="0"/>
              <w:rPr>
                <w:sz w:val="20"/>
                <w:szCs w:val="20"/>
                <w:color w:val="auto"/>
              </w:rPr>
            </w:pPr>
            <w:r>
              <w:rPr>
                <w:rFonts w:ascii="Arial" w:cs="Arial" w:eastAsia="Arial" w:hAnsi="Arial"/>
                <w:sz w:val="18"/>
                <w:szCs w:val="18"/>
                <w:color w:val="auto"/>
              </w:rPr>
              <w:t>Deferred compensation plan assets</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3,074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3,074</w:t>
            </w:r>
          </w:p>
        </w:tc>
        <w:tc>
          <w:tcPr>
            <w:tcW w:w="0" w:type="dxa"/>
            <w:vAlign w:val="bottom"/>
          </w:tcPr>
          <w:p>
            <w:pPr>
              <w:spacing w:after="0"/>
              <w:rPr>
                <w:sz w:val="1"/>
                <w:szCs w:val="1"/>
                <w:color w:val="auto"/>
              </w:rPr>
            </w:pPr>
          </w:p>
        </w:tc>
      </w:tr>
      <w:tr>
        <w:trPr>
          <w:trHeight w:val="235"/>
        </w:trPr>
        <w:tc>
          <w:tcPr>
            <w:tcW w:w="5960" w:type="dxa"/>
            <w:vAlign w:val="bottom"/>
          </w:tcPr>
          <w:p>
            <w:pPr>
              <w:ind w:left="140"/>
              <w:spacing w:after="0"/>
              <w:rPr>
                <w:sz w:val="20"/>
                <w:szCs w:val="20"/>
                <w:color w:val="auto"/>
              </w:rPr>
            </w:pPr>
            <w:r>
              <w:rPr>
                <w:rFonts w:ascii="Arial" w:cs="Arial" w:eastAsia="Arial" w:hAnsi="Arial"/>
                <w:sz w:val="18"/>
                <w:szCs w:val="18"/>
                <w:color w:val="auto"/>
              </w:rPr>
              <w:t>Derivative financial instruments</w:t>
            </w: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9,017</w:t>
            </w:r>
          </w:p>
        </w:tc>
        <w:tc>
          <w:tcPr>
            <w:tcW w:w="100" w:type="dxa"/>
            <w:vAlign w:val="bottom"/>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9,017</w:t>
            </w:r>
          </w:p>
        </w:tc>
        <w:tc>
          <w:tcPr>
            <w:tcW w:w="0" w:type="dxa"/>
            <w:vAlign w:val="bottom"/>
          </w:tcPr>
          <w:p>
            <w:pPr>
              <w:spacing w:after="0"/>
              <w:rPr>
                <w:sz w:val="1"/>
                <w:szCs w:val="1"/>
                <w:color w:val="auto"/>
              </w:rPr>
            </w:pPr>
          </w:p>
        </w:tc>
      </w:tr>
      <w:tr>
        <w:trPr>
          <w:trHeight w:val="427"/>
        </w:trPr>
        <w:tc>
          <w:tcPr>
            <w:tcW w:w="5960" w:type="dxa"/>
            <w:vAlign w:val="bottom"/>
          </w:tcPr>
          <w:p>
            <w:pPr>
              <w:ind w:left="460"/>
              <w:spacing w:after="0"/>
              <w:rPr>
                <w:sz w:val="20"/>
                <w:szCs w:val="20"/>
                <w:color w:val="auto"/>
              </w:rPr>
            </w:pPr>
            <w:r>
              <w:rPr>
                <w:rFonts w:ascii="Arial" w:cs="Arial" w:eastAsia="Arial" w:hAnsi="Arial"/>
                <w:sz w:val="18"/>
                <w:szCs w:val="18"/>
                <w:color w:val="auto"/>
              </w:rPr>
              <w:t>Total assets</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3,074</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1,945,931</w:t>
            </w:r>
          </w:p>
        </w:tc>
        <w:tc>
          <w:tcPr>
            <w:tcW w:w="960" w:type="dxa"/>
            <w:vAlign w:val="bottom"/>
            <w:gridSpan w:val="2"/>
          </w:tcPr>
          <w:p>
            <w:pPr>
              <w:jc w:val="right"/>
              <w:ind w:right="671"/>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11"/>
              <w:spacing w:after="0"/>
              <w:rPr>
                <w:sz w:val="20"/>
                <w:szCs w:val="20"/>
                <w:color w:val="auto"/>
              </w:rPr>
            </w:pPr>
            <w:r>
              <w:rPr>
                <w:rFonts w:ascii="Arial" w:cs="Arial" w:eastAsia="Arial" w:hAnsi="Arial"/>
                <w:sz w:val="18"/>
                <w:szCs w:val="18"/>
                <w:color w:val="auto"/>
                <w:w w:val="86"/>
              </w:rPr>
              <w:t>350</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1,949,355</w:t>
            </w:r>
          </w:p>
        </w:tc>
        <w:tc>
          <w:tcPr>
            <w:tcW w:w="0" w:type="dxa"/>
            <w:vAlign w:val="bottom"/>
          </w:tcPr>
          <w:p>
            <w:pPr>
              <w:spacing w:after="0"/>
              <w:rPr>
                <w:sz w:val="1"/>
                <w:szCs w:val="1"/>
                <w:color w:val="auto"/>
              </w:rPr>
            </w:pPr>
          </w:p>
        </w:tc>
      </w:tr>
      <w:tr>
        <w:trPr>
          <w:trHeight w:val="22"/>
        </w:trPr>
        <w:tc>
          <w:tcPr>
            <w:tcW w:w="5960" w:type="dxa"/>
            <w:vAlign w:val="bottom"/>
            <w:vMerge w:val="restart"/>
          </w:tcPr>
          <w:p>
            <w:pPr>
              <w:spacing w:after="0"/>
              <w:rPr>
                <w:sz w:val="20"/>
                <w:szCs w:val="20"/>
                <w:color w:val="auto"/>
              </w:rPr>
            </w:pPr>
            <w:r>
              <w:rPr>
                <w:rFonts w:ascii="Arial" w:cs="Arial" w:eastAsia="Arial" w:hAnsi="Arial"/>
                <w:sz w:val="18"/>
                <w:szCs w:val="18"/>
                <w:b w:val="1"/>
                <w:bCs w:val="1"/>
                <w:color w:val="auto"/>
              </w:rPr>
              <w:t>Liabilities:</w:t>
            </w: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08"/>
        </w:trPr>
        <w:tc>
          <w:tcPr>
            <w:tcW w:w="596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5960" w:type="dxa"/>
            <w:vAlign w:val="bottom"/>
          </w:tcPr>
          <w:p>
            <w:pPr>
              <w:ind w:left="140"/>
              <w:spacing w:after="0"/>
              <w:rPr>
                <w:sz w:val="20"/>
                <w:szCs w:val="20"/>
                <w:color w:val="auto"/>
              </w:rPr>
            </w:pPr>
            <w:r>
              <w:rPr>
                <w:rFonts w:ascii="Arial" w:cs="Arial" w:eastAsia="Arial" w:hAnsi="Arial"/>
                <w:sz w:val="18"/>
                <w:szCs w:val="18"/>
                <w:color w:val="auto"/>
              </w:rPr>
              <w:t>Deferred compensation plan liability</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3,074</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671"/>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3,074</w:t>
            </w:r>
          </w:p>
        </w:tc>
        <w:tc>
          <w:tcPr>
            <w:tcW w:w="0" w:type="dxa"/>
            <w:vAlign w:val="bottom"/>
          </w:tcPr>
          <w:p>
            <w:pPr>
              <w:spacing w:after="0"/>
              <w:rPr>
                <w:sz w:val="1"/>
                <w:szCs w:val="1"/>
                <w:color w:val="auto"/>
              </w:rPr>
            </w:pPr>
          </w:p>
        </w:tc>
      </w:tr>
      <w:tr>
        <w:trPr>
          <w:trHeight w:val="214"/>
        </w:trPr>
        <w:tc>
          <w:tcPr>
            <w:tcW w:w="5960" w:type="dxa"/>
            <w:vAlign w:val="bottom"/>
          </w:tcPr>
          <w:p>
            <w:pPr>
              <w:ind w:left="140"/>
              <w:spacing w:after="0"/>
              <w:rPr>
                <w:sz w:val="20"/>
                <w:szCs w:val="20"/>
                <w:color w:val="auto"/>
              </w:rPr>
            </w:pPr>
            <w:r>
              <w:rPr>
                <w:rFonts w:ascii="Arial" w:cs="Arial" w:eastAsia="Arial" w:hAnsi="Arial"/>
                <w:sz w:val="18"/>
                <w:szCs w:val="18"/>
                <w:color w:val="auto"/>
              </w:rPr>
              <w:t>Brokered certificates of deposit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261,288</w:t>
            </w: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261,288</w:t>
            </w:r>
          </w:p>
        </w:tc>
        <w:tc>
          <w:tcPr>
            <w:tcW w:w="0" w:type="dxa"/>
            <w:vAlign w:val="bottom"/>
          </w:tcPr>
          <w:p>
            <w:pPr>
              <w:spacing w:after="0"/>
              <w:rPr>
                <w:sz w:val="1"/>
                <w:szCs w:val="1"/>
                <w:color w:val="auto"/>
              </w:rPr>
            </w:pPr>
          </w:p>
        </w:tc>
      </w:tr>
      <w:tr>
        <w:trPr>
          <w:trHeight w:val="235"/>
        </w:trPr>
        <w:tc>
          <w:tcPr>
            <w:tcW w:w="5960" w:type="dxa"/>
            <w:vAlign w:val="bottom"/>
          </w:tcPr>
          <w:p>
            <w:pPr>
              <w:ind w:left="140"/>
              <w:spacing w:after="0"/>
              <w:rPr>
                <w:sz w:val="20"/>
                <w:szCs w:val="20"/>
                <w:color w:val="auto"/>
              </w:rPr>
            </w:pPr>
            <w:r>
              <w:rPr>
                <w:rFonts w:ascii="Arial" w:cs="Arial" w:eastAsia="Arial" w:hAnsi="Arial"/>
                <w:sz w:val="18"/>
                <w:szCs w:val="18"/>
                <w:color w:val="auto"/>
              </w:rPr>
              <w:t>Derivative financial instruments</w:t>
            </w: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29,330</w:t>
            </w:r>
          </w:p>
        </w:tc>
        <w:tc>
          <w:tcPr>
            <w:tcW w:w="100" w:type="dxa"/>
            <w:vAlign w:val="bottom"/>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29,330</w:t>
            </w:r>
          </w:p>
        </w:tc>
        <w:tc>
          <w:tcPr>
            <w:tcW w:w="0" w:type="dxa"/>
            <w:vAlign w:val="bottom"/>
          </w:tcPr>
          <w:p>
            <w:pPr>
              <w:spacing w:after="0"/>
              <w:rPr>
                <w:sz w:val="1"/>
                <w:szCs w:val="1"/>
                <w:color w:val="auto"/>
              </w:rPr>
            </w:pPr>
          </w:p>
        </w:tc>
      </w:tr>
      <w:tr>
        <w:trPr>
          <w:trHeight w:val="428"/>
        </w:trPr>
        <w:tc>
          <w:tcPr>
            <w:tcW w:w="5960" w:type="dxa"/>
            <w:vAlign w:val="bottom"/>
          </w:tcPr>
          <w:p>
            <w:pPr>
              <w:ind w:left="460"/>
              <w:spacing w:after="0"/>
              <w:rPr>
                <w:sz w:val="20"/>
                <w:szCs w:val="20"/>
                <w:color w:val="auto"/>
              </w:rPr>
            </w:pPr>
            <w:r>
              <w:rPr>
                <w:rFonts w:ascii="Arial" w:cs="Arial" w:eastAsia="Arial" w:hAnsi="Arial"/>
                <w:sz w:val="18"/>
                <w:szCs w:val="18"/>
                <w:color w:val="auto"/>
              </w:rPr>
              <w:t>Total liabilities</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3,074</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290,618</w:t>
            </w:r>
          </w:p>
        </w:tc>
        <w:tc>
          <w:tcPr>
            <w:tcW w:w="960" w:type="dxa"/>
            <w:vAlign w:val="bottom"/>
            <w:gridSpan w:val="2"/>
          </w:tcPr>
          <w:p>
            <w:pPr>
              <w:jc w:val="right"/>
              <w:ind w:right="671"/>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293,692</w:t>
            </w:r>
          </w:p>
        </w:tc>
        <w:tc>
          <w:tcPr>
            <w:tcW w:w="0" w:type="dxa"/>
            <w:vAlign w:val="bottom"/>
          </w:tcPr>
          <w:p>
            <w:pPr>
              <w:spacing w:after="0"/>
              <w:rPr>
                <w:sz w:val="1"/>
                <w:szCs w:val="1"/>
                <w:color w:val="auto"/>
              </w:rPr>
            </w:pPr>
          </w:p>
        </w:tc>
      </w:tr>
      <w:tr>
        <w:trPr>
          <w:trHeight w:val="21"/>
        </w:trPr>
        <w:tc>
          <w:tcPr>
            <w:tcW w:w="5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41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December 31, 2012</w:t>
            </w:r>
          </w:p>
        </w:tc>
        <w:tc>
          <w:tcPr>
            <w:tcW w:w="17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31"/>
              <w:spacing w:after="0"/>
              <w:rPr>
                <w:sz w:val="20"/>
                <w:szCs w:val="20"/>
                <w:color w:val="auto"/>
              </w:rPr>
            </w:pPr>
            <w:r>
              <w:rPr>
                <w:rFonts w:ascii="Arial" w:cs="Arial" w:eastAsia="Arial" w:hAnsi="Arial"/>
                <w:sz w:val="18"/>
                <w:szCs w:val="18"/>
                <w:b w:val="1"/>
                <w:bCs w:val="1"/>
                <w:color w:val="auto"/>
              </w:rPr>
              <w:t>Level 1</w:t>
            </w: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31"/>
              <w:spacing w:after="0"/>
              <w:rPr>
                <w:sz w:val="20"/>
                <w:szCs w:val="20"/>
                <w:color w:val="auto"/>
              </w:rPr>
            </w:pPr>
            <w:r>
              <w:rPr>
                <w:rFonts w:ascii="Arial" w:cs="Arial" w:eastAsia="Arial" w:hAnsi="Arial"/>
                <w:sz w:val="18"/>
                <w:szCs w:val="18"/>
                <w:b w:val="1"/>
                <w:bCs w:val="1"/>
                <w:color w:val="auto"/>
              </w:rPr>
              <w:t>Level 2</w:t>
            </w: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11"/>
              <w:spacing w:after="0"/>
              <w:rPr>
                <w:sz w:val="20"/>
                <w:szCs w:val="20"/>
                <w:color w:val="auto"/>
              </w:rPr>
            </w:pPr>
            <w:r>
              <w:rPr>
                <w:rFonts w:ascii="Arial" w:cs="Arial" w:eastAsia="Arial" w:hAnsi="Arial"/>
                <w:sz w:val="18"/>
                <w:szCs w:val="18"/>
                <w:b w:val="1"/>
                <w:bCs w:val="1"/>
                <w:color w:val="auto"/>
              </w:rPr>
              <w:t>Level 3</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91"/>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00"/>
        </w:trPr>
        <w:tc>
          <w:tcPr>
            <w:tcW w:w="4180" w:type="dxa"/>
            <w:vAlign w:val="bottom"/>
          </w:tcPr>
          <w:p>
            <w:pPr>
              <w:spacing w:after="0" w:line="200" w:lineRule="exact"/>
              <w:rPr>
                <w:sz w:val="20"/>
                <w:szCs w:val="20"/>
                <w:color w:val="auto"/>
              </w:rPr>
            </w:pPr>
            <w:r>
              <w:rPr>
                <w:rFonts w:ascii="Arial" w:cs="Arial" w:eastAsia="Arial" w:hAnsi="Arial"/>
                <w:sz w:val="18"/>
                <w:szCs w:val="18"/>
                <w:b w:val="1"/>
                <w:bCs w:val="1"/>
                <w:color w:val="auto"/>
              </w:rPr>
              <w:t>Assets:</w:t>
            </w:r>
          </w:p>
        </w:tc>
        <w:tc>
          <w:tcPr>
            <w:tcW w:w="1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4180" w:type="dxa"/>
            <w:vAlign w:val="bottom"/>
          </w:tcPr>
          <w:p>
            <w:pPr>
              <w:ind w:left="140"/>
              <w:spacing w:after="0"/>
              <w:rPr>
                <w:sz w:val="20"/>
                <w:szCs w:val="20"/>
                <w:color w:val="auto"/>
              </w:rPr>
            </w:pPr>
            <w:r>
              <w:rPr>
                <w:rFonts w:ascii="Arial" w:cs="Arial" w:eastAsia="Arial" w:hAnsi="Arial"/>
                <w:sz w:val="18"/>
                <w:szCs w:val="18"/>
                <w:color w:val="auto"/>
              </w:rPr>
              <w:t>Securities available for sale</w:t>
            </w:r>
          </w:p>
        </w:tc>
        <w:tc>
          <w:tcPr>
            <w:tcW w:w="1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180" w:type="dxa"/>
            <w:vAlign w:val="bottom"/>
          </w:tcPr>
          <w:p>
            <w:pPr>
              <w:ind w:left="260"/>
              <w:spacing w:after="0"/>
              <w:rPr>
                <w:sz w:val="20"/>
                <w:szCs w:val="20"/>
                <w:color w:val="auto"/>
              </w:rPr>
            </w:pPr>
            <w:r>
              <w:rPr>
                <w:rFonts w:ascii="Arial" w:cs="Arial" w:eastAsia="Arial" w:hAnsi="Arial"/>
                <w:sz w:val="18"/>
                <w:szCs w:val="18"/>
                <w:color w:val="auto"/>
              </w:rPr>
              <w:t>State and political subdivisions</w:t>
            </w:r>
          </w:p>
        </w:tc>
        <w:tc>
          <w:tcPr>
            <w:tcW w:w="210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29,052</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29,052</w:t>
            </w:r>
          </w:p>
        </w:tc>
        <w:tc>
          <w:tcPr>
            <w:tcW w:w="0" w:type="dxa"/>
            <w:vAlign w:val="bottom"/>
          </w:tcPr>
          <w:p>
            <w:pPr>
              <w:spacing w:after="0"/>
              <w:rPr>
                <w:sz w:val="1"/>
                <w:szCs w:val="1"/>
                <w:color w:val="auto"/>
              </w:rPr>
            </w:pPr>
          </w:p>
        </w:tc>
      </w:tr>
      <w:tr>
        <w:trPr>
          <w:trHeight w:val="214"/>
        </w:trPr>
        <w:tc>
          <w:tcPr>
            <w:tcW w:w="4180" w:type="dxa"/>
            <w:vAlign w:val="bottom"/>
          </w:tcPr>
          <w:p>
            <w:pPr>
              <w:ind w:left="260"/>
              <w:spacing w:after="0"/>
              <w:rPr>
                <w:sz w:val="20"/>
                <w:szCs w:val="20"/>
                <w:color w:val="auto"/>
              </w:rPr>
            </w:pPr>
            <w:r>
              <w:rPr>
                <w:rFonts w:ascii="Arial" w:cs="Arial" w:eastAsia="Arial" w:hAnsi="Arial"/>
                <w:sz w:val="18"/>
                <w:szCs w:val="18"/>
                <w:color w:val="auto"/>
              </w:rPr>
              <w:t>Mortgage-backed securities</w:t>
            </w:r>
          </w:p>
        </w:tc>
        <w:tc>
          <w:tcPr>
            <w:tcW w:w="1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1,428,502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1,428,502</w:t>
            </w:r>
          </w:p>
        </w:tc>
        <w:tc>
          <w:tcPr>
            <w:tcW w:w="0" w:type="dxa"/>
            <w:vAlign w:val="bottom"/>
          </w:tcPr>
          <w:p>
            <w:pPr>
              <w:spacing w:after="0"/>
              <w:rPr>
                <w:sz w:val="1"/>
                <w:szCs w:val="1"/>
                <w:color w:val="auto"/>
              </w:rPr>
            </w:pPr>
          </w:p>
        </w:tc>
      </w:tr>
      <w:tr>
        <w:trPr>
          <w:trHeight w:val="214"/>
        </w:trPr>
        <w:tc>
          <w:tcPr>
            <w:tcW w:w="4180" w:type="dxa"/>
            <w:vAlign w:val="bottom"/>
          </w:tcPr>
          <w:p>
            <w:pPr>
              <w:ind w:left="260"/>
              <w:spacing w:after="0"/>
              <w:rPr>
                <w:sz w:val="20"/>
                <w:szCs w:val="20"/>
                <w:color w:val="auto"/>
              </w:rPr>
            </w:pPr>
            <w:r>
              <w:rPr>
                <w:rFonts w:ascii="Arial" w:cs="Arial" w:eastAsia="Arial" w:hAnsi="Arial"/>
                <w:sz w:val="18"/>
                <w:szCs w:val="18"/>
                <w:color w:val="auto"/>
              </w:rPr>
              <w:t>Corporate bonds</w:t>
            </w:r>
          </w:p>
        </w:tc>
        <w:tc>
          <w:tcPr>
            <w:tcW w:w="1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163,312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350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163,662</w:t>
            </w:r>
          </w:p>
        </w:tc>
        <w:tc>
          <w:tcPr>
            <w:tcW w:w="0" w:type="dxa"/>
            <w:vAlign w:val="bottom"/>
          </w:tcPr>
          <w:p>
            <w:pPr>
              <w:spacing w:after="0"/>
              <w:rPr>
                <w:sz w:val="1"/>
                <w:szCs w:val="1"/>
                <w:color w:val="auto"/>
              </w:rPr>
            </w:pPr>
          </w:p>
        </w:tc>
      </w:tr>
      <w:tr>
        <w:trPr>
          <w:trHeight w:val="214"/>
        </w:trPr>
        <w:tc>
          <w:tcPr>
            <w:tcW w:w="4180" w:type="dxa"/>
            <w:vAlign w:val="bottom"/>
          </w:tcPr>
          <w:p>
            <w:pPr>
              <w:ind w:left="260"/>
              <w:spacing w:after="0"/>
              <w:rPr>
                <w:sz w:val="20"/>
                <w:szCs w:val="20"/>
                <w:color w:val="auto"/>
              </w:rPr>
            </w:pPr>
            <w:r>
              <w:rPr>
                <w:rFonts w:ascii="Arial" w:cs="Arial" w:eastAsia="Arial" w:hAnsi="Arial"/>
                <w:sz w:val="18"/>
                <w:szCs w:val="18"/>
                <w:color w:val="auto"/>
              </w:rPr>
              <w:t>Asset-backed securities</w:t>
            </w:r>
          </w:p>
        </w:tc>
        <w:tc>
          <w:tcPr>
            <w:tcW w:w="1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210,556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210,556</w:t>
            </w:r>
          </w:p>
        </w:tc>
        <w:tc>
          <w:tcPr>
            <w:tcW w:w="0" w:type="dxa"/>
            <w:vAlign w:val="bottom"/>
          </w:tcPr>
          <w:p>
            <w:pPr>
              <w:spacing w:after="0"/>
              <w:rPr>
                <w:sz w:val="1"/>
                <w:szCs w:val="1"/>
                <w:color w:val="auto"/>
              </w:rPr>
            </w:pPr>
          </w:p>
        </w:tc>
      </w:tr>
      <w:tr>
        <w:trPr>
          <w:trHeight w:val="214"/>
        </w:trPr>
        <w:tc>
          <w:tcPr>
            <w:tcW w:w="4180" w:type="dxa"/>
            <w:vAlign w:val="bottom"/>
          </w:tcPr>
          <w:p>
            <w:pPr>
              <w:ind w:left="260"/>
              <w:spacing w:after="0"/>
              <w:rPr>
                <w:sz w:val="20"/>
                <w:szCs w:val="20"/>
                <w:color w:val="auto"/>
              </w:rPr>
            </w:pPr>
            <w:r>
              <w:rPr>
                <w:rFonts w:ascii="Arial" w:cs="Arial" w:eastAsia="Arial" w:hAnsi="Arial"/>
                <w:sz w:val="18"/>
                <w:szCs w:val="18"/>
                <w:color w:val="auto"/>
              </w:rPr>
              <w:t>Other</w:t>
            </w:r>
          </w:p>
        </w:tc>
        <w:tc>
          <w:tcPr>
            <w:tcW w:w="1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2,821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2,821</w:t>
            </w:r>
          </w:p>
        </w:tc>
        <w:tc>
          <w:tcPr>
            <w:tcW w:w="0" w:type="dxa"/>
            <w:vAlign w:val="bottom"/>
          </w:tcPr>
          <w:p>
            <w:pPr>
              <w:spacing w:after="0"/>
              <w:rPr>
                <w:sz w:val="1"/>
                <w:szCs w:val="1"/>
                <w:color w:val="auto"/>
              </w:rPr>
            </w:pPr>
          </w:p>
        </w:tc>
      </w:tr>
      <w:tr>
        <w:trPr>
          <w:trHeight w:val="214"/>
        </w:trPr>
        <w:tc>
          <w:tcPr>
            <w:tcW w:w="4180" w:type="dxa"/>
            <w:vAlign w:val="bottom"/>
          </w:tcPr>
          <w:p>
            <w:pPr>
              <w:ind w:left="140"/>
              <w:spacing w:after="0"/>
              <w:rPr>
                <w:sz w:val="20"/>
                <w:szCs w:val="20"/>
                <w:color w:val="auto"/>
              </w:rPr>
            </w:pPr>
            <w:r>
              <w:rPr>
                <w:rFonts w:ascii="Arial" w:cs="Arial" w:eastAsia="Arial" w:hAnsi="Arial"/>
                <w:sz w:val="18"/>
                <w:szCs w:val="18"/>
                <w:color w:val="auto"/>
              </w:rPr>
              <w:t>Deferred compensation plan assets</w:t>
            </w:r>
          </w:p>
        </w:tc>
        <w:tc>
          <w:tcPr>
            <w:tcW w:w="1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3,101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3,101</w:t>
            </w:r>
          </w:p>
        </w:tc>
        <w:tc>
          <w:tcPr>
            <w:tcW w:w="0" w:type="dxa"/>
            <w:vAlign w:val="bottom"/>
          </w:tcPr>
          <w:p>
            <w:pPr>
              <w:spacing w:after="0"/>
              <w:rPr>
                <w:sz w:val="1"/>
                <w:szCs w:val="1"/>
                <w:color w:val="auto"/>
              </w:rPr>
            </w:pPr>
          </w:p>
        </w:tc>
      </w:tr>
      <w:tr>
        <w:trPr>
          <w:trHeight w:val="235"/>
        </w:trPr>
        <w:tc>
          <w:tcPr>
            <w:tcW w:w="4180" w:type="dxa"/>
            <w:vAlign w:val="bottom"/>
          </w:tcPr>
          <w:p>
            <w:pPr>
              <w:ind w:left="140"/>
              <w:spacing w:after="0"/>
              <w:rPr>
                <w:sz w:val="20"/>
                <w:szCs w:val="20"/>
                <w:color w:val="auto"/>
              </w:rPr>
            </w:pPr>
            <w:r>
              <w:rPr>
                <w:rFonts w:ascii="Arial" w:cs="Arial" w:eastAsia="Arial" w:hAnsi="Arial"/>
                <w:sz w:val="18"/>
                <w:szCs w:val="18"/>
                <w:color w:val="auto"/>
              </w:rPr>
              <w:t>Derivative financial instruments</w:t>
            </w:r>
          </w:p>
        </w:tc>
        <w:tc>
          <w:tcPr>
            <w:tcW w:w="1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658</w:t>
            </w: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658</w:t>
            </w:r>
          </w:p>
        </w:tc>
        <w:tc>
          <w:tcPr>
            <w:tcW w:w="0" w:type="dxa"/>
            <w:vAlign w:val="bottom"/>
          </w:tcPr>
          <w:p>
            <w:pPr>
              <w:spacing w:after="0"/>
              <w:rPr>
                <w:sz w:val="1"/>
                <w:szCs w:val="1"/>
                <w:color w:val="auto"/>
              </w:rPr>
            </w:pPr>
          </w:p>
        </w:tc>
      </w:tr>
      <w:tr>
        <w:trPr>
          <w:trHeight w:val="427"/>
        </w:trPr>
        <w:tc>
          <w:tcPr>
            <w:tcW w:w="4180" w:type="dxa"/>
            <w:vAlign w:val="bottom"/>
          </w:tcPr>
          <w:p>
            <w:pPr>
              <w:ind w:left="460"/>
              <w:spacing w:after="0"/>
              <w:rPr>
                <w:sz w:val="20"/>
                <w:szCs w:val="20"/>
                <w:color w:val="auto"/>
              </w:rPr>
            </w:pPr>
            <w:r>
              <w:rPr>
                <w:rFonts w:ascii="Arial" w:cs="Arial" w:eastAsia="Arial" w:hAnsi="Arial"/>
                <w:sz w:val="18"/>
                <w:szCs w:val="18"/>
                <w:color w:val="auto"/>
              </w:rPr>
              <w:t>Total assets</w:t>
            </w:r>
          </w:p>
        </w:tc>
        <w:tc>
          <w:tcPr>
            <w:tcW w:w="210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3,101</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1,834,901</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350</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1,838,352</w:t>
            </w:r>
          </w:p>
        </w:tc>
        <w:tc>
          <w:tcPr>
            <w:tcW w:w="0" w:type="dxa"/>
            <w:vAlign w:val="bottom"/>
          </w:tcPr>
          <w:p>
            <w:pPr>
              <w:spacing w:after="0"/>
              <w:rPr>
                <w:sz w:val="1"/>
                <w:szCs w:val="1"/>
                <w:color w:val="auto"/>
              </w:rPr>
            </w:pPr>
          </w:p>
        </w:tc>
      </w:tr>
      <w:tr>
        <w:trPr>
          <w:trHeight w:val="22"/>
        </w:trPr>
        <w:tc>
          <w:tcPr>
            <w:tcW w:w="4180" w:type="dxa"/>
            <w:vAlign w:val="bottom"/>
            <w:vMerge w:val="restart"/>
          </w:tcPr>
          <w:p>
            <w:pPr>
              <w:spacing w:after="0"/>
              <w:rPr>
                <w:sz w:val="20"/>
                <w:szCs w:val="20"/>
                <w:color w:val="auto"/>
              </w:rPr>
            </w:pPr>
            <w:r>
              <w:rPr>
                <w:rFonts w:ascii="Arial" w:cs="Arial" w:eastAsia="Arial" w:hAnsi="Arial"/>
                <w:sz w:val="18"/>
                <w:szCs w:val="18"/>
                <w:b w:val="1"/>
                <w:bCs w:val="1"/>
                <w:color w:val="auto"/>
              </w:rPr>
              <w:t>Liabilities:</w:t>
            </w:r>
          </w:p>
        </w:tc>
        <w:tc>
          <w:tcPr>
            <w:tcW w:w="1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08"/>
        </w:trPr>
        <w:tc>
          <w:tcPr>
            <w:tcW w:w="4180" w:type="dxa"/>
            <w:vAlign w:val="bottom"/>
            <w:vMerge w:val="continue"/>
          </w:tcPr>
          <w:p>
            <w:pPr>
              <w:spacing w:after="0"/>
              <w:rPr>
                <w:sz w:val="24"/>
                <w:szCs w:val="24"/>
                <w:color w:val="auto"/>
              </w:rPr>
            </w:pPr>
          </w:p>
        </w:tc>
        <w:tc>
          <w:tcPr>
            <w:tcW w:w="1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4180" w:type="dxa"/>
            <w:vAlign w:val="bottom"/>
          </w:tcPr>
          <w:p>
            <w:pPr>
              <w:ind w:left="140"/>
              <w:spacing w:after="0"/>
              <w:rPr>
                <w:sz w:val="20"/>
                <w:szCs w:val="20"/>
                <w:color w:val="auto"/>
              </w:rPr>
            </w:pPr>
            <w:r>
              <w:rPr>
                <w:rFonts w:ascii="Arial" w:cs="Arial" w:eastAsia="Arial" w:hAnsi="Arial"/>
                <w:sz w:val="18"/>
                <w:szCs w:val="18"/>
                <w:color w:val="auto"/>
              </w:rPr>
              <w:t>Deferred compensation plan liability</w:t>
            </w:r>
          </w:p>
        </w:tc>
        <w:tc>
          <w:tcPr>
            <w:tcW w:w="210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3,101</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3,101</w:t>
            </w:r>
          </w:p>
        </w:tc>
        <w:tc>
          <w:tcPr>
            <w:tcW w:w="0" w:type="dxa"/>
            <w:vAlign w:val="bottom"/>
          </w:tcPr>
          <w:p>
            <w:pPr>
              <w:spacing w:after="0"/>
              <w:rPr>
                <w:sz w:val="1"/>
                <w:szCs w:val="1"/>
                <w:color w:val="auto"/>
              </w:rPr>
            </w:pPr>
          </w:p>
        </w:tc>
      </w:tr>
      <w:tr>
        <w:trPr>
          <w:trHeight w:val="214"/>
        </w:trPr>
        <w:tc>
          <w:tcPr>
            <w:tcW w:w="4180" w:type="dxa"/>
            <w:vAlign w:val="bottom"/>
          </w:tcPr>
          <w:p>
            <w:pPr>
              <w:ind w:left="140"/>
              <w:spacing w:after="0"/>
              <w:rPr>
                <w:sz w:val="20"/>
                <w:szCs w:val="20"/>
                <w:color w:val="auto"/>
              </w:rPr>
            </w:pPr>
            <w:r>
              <w:rPr>
                <w:rFonts w:ascii="Arial" w:cs="Arial" w:eastAsia="Arial" w:hAnsi="Arial"/>
                <w:sz w:val="18"/>
                <w:szCs w:val="18"/>
                <w:color w:val="auto"/>
              </w:rPr>
              <w:t>Brokered certificates of deposit</w:t>
            </w:r>
          </w:p>
        </w:tc>
        <w:tc>
          <w:tcPr>
            <w:tcW w:w="1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154,641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154,641</w:t>
            </w:r>
          </w:p>
        </w:tc>
        <w:tc>
          <w:tcPr>
            <w:tcW w:w="0" w:type="dxa"/>
            <w:vAlign w:val="bottom"/>
          </w:tcPr>
          <w:p>
            <w:pPr>
              <w:spacing w:after="0"/>
              <w:rPr>
                <w:sz w:val="1"/>
                <w:szCs w:val="1"/>
                <w:color w:val="auto"/>
              </w:rPr>
            </w:pPr>
          </w:p>
        </w:tc>
      </w:tr>
      <w:tr>
        <w:trPr>
          <w:trHeight w:val="235"/>
        </w:trPr>
        <w:tc>
          <w:tcPr>
            <w:tcW w:w="4180" w:type="dxa"/>
            <w:vAlign w:val="bottom"/>
          </w:tcPr>
          <w:p>
            <w:pPr>
              <w:ind w:left="140"/>
              <w:spacing w:after="0"/>
              <w:rPr>
                <w:sz w:val="20"/>
                <w:szCs w:val="20"/>
                <w:color w:val="auto"/>
              </w:rPr>
            </w:pPr>
            <w:r>
              <w:rPr>
                <w:rFonts w:ascii="Arial" w:cs="Arial" w:eastAsia="Arial" w:hAnsi="Arial"/>
                <w:sz w:val="18"/>
                <w:szCs w:val="18"/>
                <w:color w:val="auto"/>
              </w:rPr>
              <w:t>Derivative financial instruments</w:t>
            </w:r>
          </w:p>
        </w:tc>
        <w:tc>
          <w:tcPr>
            <w:tcW w:w="1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12,543</w:t>
            </w: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12,543</w:t>
            </w:r>
          </w:p>
        </w:tc>
        <w:tc>
          <w:tcPr>
            <w:tcW w:w="0" w:type="dxa"/>
            <w:vAlign w:val="bottom"/>
          </w:tcPr>
          <w:p>
            <w:pPr>
              <w:spacing w:after="0"/>
              <w:rPr>
                <w:sz w:val="1"/>
                <w:szCs w:val="1"/>
                <w:color w:val="auto"/>
              </w:rPr>
            </w:pPr>
          </w:p>
        </w:tc>
      </w:tr>
      <w:tr>
        <w:trPr>
          <w:trHeight w:val="427"/>
        </w:trPr>
        <w:tc>
          <w:tcPr>
            <w:tcW w:w="4180" w:type="dxa"/>
            <w:vAlign w:val="bottom"/>
          </w:tcPr>
          <w:p>
            <w:pPr>
              <w:ind w:left="460"/>
              <w:spacing w:after="0"/>
              <w:rPr>
                <w:sz w:val="20"/>
                <w:szCs w:val="20"/>
                <w:color w:val="auto"/>
              </w:rPr>
            </w:pPr>
            <w:r>
              <w:rPr>
                <w:rFonts w:ascii="Arial" w:cs="Arial" w:eastAsia="Arial" w:hAnsi="Arial"/>
                <w:sz w:val="18"/>
                <w:szCs w:val="18"/>
                <w:color w:val="auto"/>
              </w:rPr>
              <w:t>Total liabilities</w:t>
            </w:r>
          </w:p>
        </w:tc>
        <w:tc>
          <w:tcPr>
            <w:tcW w:w="210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3,101</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167,184</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170,285</w:t>
            </w:r>
          </w:p>
        </w:tc>
        <w:tc>
          <w:tcPr>
            <w:tcW w:w="0" w:type="dxa"/>
            <w:vAlign w:val="bottom"/>
          </w:tcPr>
          <w:p>
            <w:pPr>
              <w:spacing w:after="0"/>
              <w:rPr>
                <w:sz w:val="1"/>
                <w:szCs w:val="1"/>
                <w:color w:val="auto"/>
              </w:rPr>
            </w:pPr>
          </w:p>
        </w:tc>
      </w:tr>
      <w:tr>
        <w:trPr>
          <w:trHeight w:val="22"/>
        </w:trPr>
        <w:tc>
          <w:tcPr>
            <w:tcW w:w="4180" w:type="dxa"/>
            <w:vAlign w:val="bottom"/>
          </w:tcPr>
          <w:p>
            <w:pPr>
              <w:spacing w:after="0" w:line="20" w:lineRule="exact"/>
              <w:rPr>
                <w:sz w:val="1"/>
                <w:szCs w:val="1"/>
                <w:color w:val="auto"/>
              </w:rPr>
            </w:pPr>
          </w:p>
        </w:tc>
        <w:tc>
          <w:tcPr>
            <w:tcW w:w="1780" w:type="dxa"/>
            <w:vAlign w:val="bottom"/>
            <w:vMerge w:val="restart"/>
          </w:tcPr>
          <w:p>
            <w:pPr>
              <w:jc w:val="right"/>
              <w:ind w:right="71"/>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1"/>
        </w:trPr>
        <w:tc>
          <w:tcPr>
            <w:tcW w:w="4180" w:type="dxa"/>
            <w:vAlign w:val="bottom"/>
            <w:tcBorders>
              <w:bottom w:val="single" w:sz="8" w:color="DCDCDC"/>
            </w:tcBorders>
          </w:tcPr>
          <w:p>
            <w:pPr>
              <w:spacing w:after="0"/>
              <w:rPr>
                <w:sz w:val="24"/>
                <w:szCs w:val="24"/>
                <w:color w:val="auto"/>
              </w:rPr>
            </w:pPr>
          </w:p>
        </w:tc>
        <w:tc>
          <w:tcPr>
            <w:tcW w:w="1780" w:type="dxa"/>
            <w:vAlign w:val="bottom"/>
            <w:tcBorders>
              <w:bottom w:val="single" w:sz="8" w:color="DCDCDC"/>
            </w:tcBorders>
            <w:vMerge w:val="continue"/>
          </w:tcPr>
          <w:p>
            <w:pPr>
              <w:spacing w:after="0"/>
              <w:rPr>
                <w:sz w:val="24"/>
                <w:szCs w:val="24"/>
                <w:color w:val="auto"/>
              </w:rPr>
            </w:pPr>
          </w:p>
        </w:tc>
        <w:tc>
          <w:tcPr>
            <w:tcW w:w="120" w:type="dxa"/>
            <w:vAlign w:val="bottom"/>
            <w:tcBorders>
              <w:bottom w:val="single" w:sz="8" w:color="DCDCDC"/>
            </w:tcBorders>
          </w:tcPr>
          <w:p>
            <w:pPr>
              <w:spacing w:after="0"/>
              <w:rPr>
                <w:sz w:val="24"/>
                <w:szCs w:val="24"/>
                <w:color w:val="auto"/>
              </w:rPr>
            </w:pPr>
          </w:p>
        </w:tc>
        <w:tc>
          <w:tcPr>
            <w:tcW w:w="200" w:type="dxa"/>
            <w:vAlign w:val="bottom"/>
            <w:tcBorders>
              <w:bottom w:val="single" w:sz="8" w:color="DCDCDC"/>
            </w:tcBorders>
          </w:tcPr>
          <w:p>
            <w:pPr>
              <w:spacing w:after="0"/>
              <w:rPr>
                <w:sz w:val="24"/>
                <w:szCs w:val="24"/>
                <w:color w:val="auto"/>
              </w:rPr>
            </w:pPr>
          </w:p>
        </w:tc>
        <w:tc>
          <w:tcPr>
            <w:tcW w:w="1060" w:type="dxa"/>
            <w:vAlign w:val="bottom"/>
            <w:tcBorders>
              <w:bottom w:val="single" w:sz="8" w:color="DCDCDC"/>
            </w:tcBorders>
          </w:tcPr>
          <w:p>
            <w:pPr>
              <w:spacing w:after="0"/>
              <w:rPr>
                <w:sz w:val="24"/>
                <w:szCs w:val="24"/>
                <w:color w:val="auto"/>
              </w:rPr>
            </w:pPr>
          </w:p>
        </w:tc>
        <w:tc>
          <w:tcPr>
            <w:tcW w:w="120" w:type="dxa"/>
            <w:vAlign w:val="bottom"/>
            <w:tcBorders>
              <w:bottom w:val="single" w:sz="8" w:color="DCDCDC"/>
            </w:tcBorders>
          </w:tcPr>
          <w:p>
            <w:pPr>
              <w:spacing w:after="0"/>
              <w:rPr>
                <w:sz w:val="24"/>
                <w:szCs w:val="24"/>
                <w:color w:val="auto"/>
              </w:rPr>
            </w:pPr>
          </w:p>
        </w:tc>
        <w:tc>
          <w:tcPr>
            <w:tcW w:w="200" w:type="dxa"/>
            <w:vAlign w:val="bottom"/>
            <w:tcBorders>
              <w:bottom w:val="single" w:sz="8" w:color="DCDCDC"/>
            </w:tcBorders>
          </w:tcPr>
          <w:p>
            <w:pPr>
              <w:spacing w:after="0"/>
              <w:rPr>
                <w:sz w:val="24"/>
                <w:szCs w:val="24"/>
                <w:color w:val="auto"/>
              </w:rPr>
            </w:pPr>
          </w:p>
        </w:tc>
        <w:tc>
          <w:tcPr>
            <w:tcW w:w="1080" w:type="dxa"/>
            <w:vAlign w:val="bottom"/>
            <w:tcBorders>
              <w:bottom w:val="single" w:sz="8" w:color="DCDCDC"/>
            </w:tcBorders>
          </w:tcPr>
          <w:p>
            <w:pPr>
              <w:spacing w:after="0"/>
              <w:rPr>
                <w:sz w:val="24"/>
                <w:szCs w:val="24"/>
                <w:color w:val="auto"/>
              </w:rPr>
            </w:pPr>
          </w:p>
        </w:tc>
        <w:tc>
          <w:tcPr>
            <w:tcW w:w="100" w:type="dxa"/>
            <w:vAlign w:val="bottom"/>
            <w:tcBorders>
              <w:bottom w:val="single" w:sz="8" w:color="DCDCDC"/>
            </w:tcBorders>
          </w:tcPr>
          <w:p>
            <w:pPr>
              <w:spacing w:after="0"/>
              <w:rPr>
                <w:sz w:val="24"/>
                <w:szCs w:val="24"/>
                <w:color w:val="auto"/>
              </w:rPr>
            </w:pPr>
          </w:p>
        </w:tc>
        <w:tc>
          <w:tcPr>
            <w:tcW w:w="200" w:type="dxa"/>
            <w:vAlign w:val="bottom"/>
            <w:tcBorders>
              <w:bottom w:val="single" w:sz="8" w:color="DCDCDC"/>
            </w:tcBorders>
          </w:tcPr>
          <w:p>
            <w:pPr>
              <w:spacing w:after="0"/>
              <w:rPr>
                <w:sz w:val="24"/>
                <w:szCs w:val="24"/>
                <w:color w:val="auto"/>
              </w:rPr>
            </w:pPr>
          </w:p>
        </w:tc>
        <w:tc>
          <w:tcPr>
            <w:tcW w:w="1040" w:type="dxa"/>
            <w:vAlign w:val="bottom"/>
            <w:tcBorders>
              <w:bottom w:val="single" w:sz="8" w:color="DCDCDC"/>
            </w:tcBorders>
          </w:tcPr>
          <w:p>
            <w:pPr>
              <w:spacing w:after="0"/>
              <w:rPr>
                <w:sz w:val="24"/>
                <w:szCs w:val="24"/>
                <w:color w:val="auto"/>
              </w:rPr>
            </w:pPr>
          </w:p>
        </w:tc>
        <w:tc>
          <w:tcPr>
            <w:tcW w:w="100" w:type="dxa"/>
            <w:vAlign w:val="bottom"/>
            <w:tcBorders>
              <w:bottom w:val="single" w:sz="8" w:color="DCDCDC"/>
            </w:tcBorders>
          </w:tcPr>
          <w:p>
            <w:pPr>
              <w:spacing w:after="0"/>
              <w:rPr>
                <w:sz w:val="24"/>
                <w:szCs w:val="24"/>
                <w:color w:val="auto"/>
              </w:rPr>
            </w:pPr>
          </w:p>
        </w:tc>
        <w:tc>
          <w:tcPr>
            <w:tcW w:w="240" w:type="dxa"/>
            <w:vAlign w:val="bottom"/>
            <w:tcBorders>
              <w:bottom w:val="single" w:sz="8" w:color="DCDCDC"/>
            </w:tcBorders>
          </w:tcPr>
          <w:p>
            <w:pPr>
              <w:spacing w:after="0"/>
              <w:rPr>
                <w:sz w:val="24"/>
                <w:szCs w:val="24"/>
                <w:color w:val="auto"/>
              </w:rPr>
            </w:pPr>
          </w:p>
        </w:tc>
        <w:tc>
          <w:tcPr>
            <w:tcW w:w="1000" w:type="dxa"/>
            <w:vAlign w:val="bottom"/>
            <w:tcBorders>
              <w:bottom w:val="single" w:sz="8" w:color="DCDCDC"/>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85" w:right="239" w:bottom="1440" w:gutter="0" w:footer="0" w:header="0"/>
        </w:sectPr>
      </w:pPr>
    </w:p>
    <w:bookmarkStart w:id="36" w:name="page37"/>
    <w:bookmarkEnd w:id="36"/>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59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June 30, 2012</w:t>
            </w: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31"/>
              <w:spacing w:after="0"/>
              <w:rPr>
                <w:sz w:val="20"/>
                <w:szCs w:val="20"/>
                <w:color w:val="auto"/>
              </w:rPr>
            </w:pPr>
            <w:r>
              <w:rPr>
                <w:rFonts w:ascii="Arial" w:cs="Arial" w:eastAsia="Arial" w:hAnsi="Arial"/>
                <w:sz w:val="18"/>
                <w:szCs w:val="18"/>
                <w:b w:val="1"/>
                <w:bCs w:val="1"/>
                <w:color w:val="auto"/>
              </w:rPr>
              <w:t>Level 1</w:t>
            </w: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31"/>
              <w:spacing w:after="0"/>
              <w:rPr>
                <w:sz w:val="20"/>
                <w:szCs w:val="20"/>
                <w:color w:val="auto"/>
              </w:rPr>
            </w:pPr>
            <w:r>
              <w:rPr>
                <w:rFonts w:ascii="Arial" w:cs="Arial" w:eastAsia="Arial" w:hAnsi="Arial"/>
                <w:sz w:val="18"/>
                <w:szCs w:val="18"/>
                <w:b w:val="1"/>
                <w:bCs w:val="1"/>
                <w:color w:val="auto"/>
              </w:rPr>
              <w:t>Level 2</w:t>
            </w:r>
          </w:p>
        </w:tc>
        <w:tc>
          <w:tcPr>
            <w:tcW w:w="100" w:type="dxa"/>
            <w:vAlign w:val="bottom"/>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Level 3</w:t>
            </w:r>
          </w:p>
        </w:tc>
        <w:tc>
          <w:tcPr>
            <w:tcW w:w="3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91"/>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00"/>
        </w:trPr>
        <w:tc>
          <w:tcPr>
            <w:tcW w:w="5960" w:type="dxa"/>
            <w:vAlign w:val="bottom"/>
          </w:tcPr>
          <w:p>
            <w:pPr>
              <w:spacing w:after="0" w:line="200" w:lineRule="exact"/>
              <w:rPr>
                <w:sz w:val="20"/>
                <w:szCs w:val="20"/>
                <w:color w:val="auto"/>
              </w:rPr>
            </w:pPr>
            <w:r>
              <w:rPr>
                <w:rFonts w:ascii="Arial" w:cs="Arial" w:eastAsia="Arial" w:hAnsi="Arial"/>
                <w:sz w:val="18"/>
                <w:szCs w:val="18"/>
                <w:b w:val="1"/>
                <w:bCs w:val="1"/>
                <w:color w:val="auto"/>
              </w:rPr>
              <w:t>Assets:</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5960" w:type="dxa"/>
            <w:vAlign w:val="bottom"/>
          </w:tcPr>
          <w:p>
            <w:pPr>
              <w:ind w:left="160"/>
              <w:spacing w:after="0"/>
              <w:rPr>
                <w:sz w:val="20"/>
                <w:szCs w:val="20"/>
                <w:color w:val="auto"/>
              </w:rPr>
            </w:pPr>
            <w:r>
              <w:rPr>
                <w:rFonts w:ascii="Arial" w:cs="Arial" w:eastAsia="Arial" w:hAnsi="Arial"/>
                <w:sz w:val="18"/>
                <w:szCs w:val="18"/>
                <w:color w:val="auto"/>
              </w:rPr>
              <w:t>Securities available for sale:</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960" w:type="dxa"/>
            <w:vAlign w:val="bottom"/>
          </w:tcPr>
          <w:p>
            <w:pPr>
              <w:ind w:left="300"/>
              <w:spacing w:after="0"/>
              <w:rPr>
                <w:sz w:val="20"/>
                <w:szCs w:val="20"/>
                <w:color w:val="auto"/>
              </w:rPr>
            </w:pPr>
            <w:r>
              <w:rPr>
                <w:rFonts w:ascii="Arial" w:cs="Arial" w:eastAsia="Arial" w:hAnsi="Arial"/>
                <w:sz w:val="18"/>
                <w:szCs w:val="18"/>
                <w:color w:val="auto"/>
              </w:rPr>
              <w:t>U.S. Government agencies</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43,874</w:t>
            </w:r>
          </w:p>
        </w:tc>
        <w:tc>
          <w:tcPr>
            <w:tcW w:w="960" w:type="dxa"/>
            <w:vAlign w:val="bottom"/>
            <w:gridSpan w:val="2"/>
          </w:tcPr>
          <w:p>
            <w:pPr>
              <w:jc w:val="right"/>
              <w:ind w:right="671"/>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43,874</w:t>
            </w:r>
          </w:p>
        </w:tc>
        <w:tc>
          <w:tcPr>
            <w:tcW w:w="0" w:type="dxa"/>
            <w:vAlign w:val="bottom"/>
          </w:tcPr>
          <w:p>
            <w:pPr>
              <w:spacing w:after="0"/>
              <w:rPr>
                <w:sz w:val="1"/>
                <w:szCs w:val="1"/>
                <w:color w:val="auto"/>
              </w:rPr>
            </w:pPr>
          </w:p>
        </w:tc>
      </w:tr>
      <w:tr>
        <w:trPr>
          <w:trHeight w:val="214"/>
        </w:trPr>
        <w:tc>
          <w:tcPr>
            <w:tcW w:w="5960" w:type="dxa"/>
            <w:vAlign w:val="bottom"/>
          </w:tcPr>
          <w:p>
            <w:pPr>
              <w:ind w:left="300"/>
              <w:spacing w:after="0"/>
              <w:rPr>
                <w:sz w:val="20"/>
                <w:szCs w:val="20"/>
                <w:color w:val="auto"/>
              </w:rPr>
            </w:pPr>
            <w:r>
              <w:rPr>
                <w:rFonts w:ascii="Arial" w:cs="Arial" w:eastAsia="Arial" w:hAnsi="Arial"/>
                <w:sz w:val="18"/>
                <w:szCs w:val="18"/>
                <w:color w:val="auto"/>
              </w:rPr>
              <w:t>State and political subdivisions</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27,159</w:t>
            </w: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27,159</w:t>
            </w:r>
          </w:p>
        </w:tc>
        <w:tc>
          <w:tcPr>
            <w:tcW w:w="0" w:type="dxa"/>
            <w:vAlign w:val="bottom"/>
          </w:tcPr>
          <w:p>
            <w:pPr>
              <w:spacing w:after="0"/>
              <w:rPr>
                <w:sz w:val="1"/>
                <w:szCs w:val="1"/>
                <w:color w:val="auto"/>
              </w:rPr>
            </w:pPr>
          </w:p>
        </w:tc>
      </w:tr>
      <w:tr>
        <w:trPr>
          <w:trHeight w:val="214"/>
        </w:trPr>
        <w:tc>
          <w:tcPr>
            <w:tcW w:w="5960" w:type="dxa"/>
            <w:vAlign w:val="bottom"/>
          </w:tcPr>
          <w:p>
            <w:pPr>
              <w:ind w:left="300"/>
              <w:spacing w:after="0"/>
              <w:rPr>
                <w:sz w:val="20"/>
                <w:szCs w:val="20"/>
                <w:color w:val="auto"/>
              </w:rPr>
            </w:pPr>
            <w:r>
              <w:rPr>
                <w:rFonts w:ascii="Arial" w:cs="Arial" w:eastAsia="Arial" w:hAnsi="Arial"/>
                <w:sz w:val="18"/>
                <w:szCs w:val="18"/>
                <w:color w:val="auto"/>
              </w:rPr>
              <w:t>Mortgage-backed securities</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1,433,431</w:t>
            </w: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1,433,431</w:t>
            </w:r>
          </w:p>
        </w:tc>
        <w:tc>
          <w:tcPr>
            <w:tcW w:w="0" w:type="dxa"/>
            <w:vAlign w:val="bottom"/>
          </w:tcPr>
          <w:p>
            <w:pPr>
              <w:spacing w:after="0"/>
              <w:rPr>
                <w:sz w:val="1"/>
                <w:szCs w:val="1"/>
                <w:color w:val="auto"/>
              </w:rPr>
            </w:pPr>
          </w:p>
        </w:tc>
      </w:tr>
      <w:tr>
        <w:trPr>
          <w:trHeight w:val="214"/>
        </w:trPr>
        <w:tc>
          <w:tcPr>
            <w:tcW w:w="5960" w:type="dxa"/>
            <w:vAlign w:val="bottom"/>
          </w:tcPr>
          <w:p>
            <w:pPr>
              <w:ind w:left="300"/>
              <w:spacing w:after="0"/>
              <w:rPr>
                <w:sz w:val="20"/>
                <w:szCs w:val="20"/>
                <w:color w:val="auto"/>
              </w:rPr>
            </w:pPr>
            <w:r>
              <w:rPr>
                <w:rFonts w:ascii="Arial" w:cs="Arial" w:eastAsia="Arial" w:hAnsi="Arial"/>
                <w:sz w:val="18"/>
                <w:szCs w:val="18"/>
                <w:color w:val="auto"/>
              </w:rPr>
              <w:t>Corporate bonds</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109,688</w:t>
            </w: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80" w:type="dxa"/>
            <w:vAlign w:val="bottom"/>
          </w:tcPr>
          <w:p>
            <w:pPr>
              <w:jc w:val="right"/>
              <w:ind w:right="11"/>
              <w:spacing w:after="0"/>
              <w:rPr>
                <w:sz w:val="20"/>
                <w:szCs w:val="20"/>
                <w:color w:val="auto"/>
              </w:rPr>
            </w:pPr>
            <w:r>
              <w:rPr>
                <w:rFonts w:ascii="Arial" w:cs="Arial" w:eastAsia="Arial" w:hAnsi="Arial"/>
                <w:sz w:val="18"/>
                <w:szCs w:val="18"/>
                <w:color w:val="auto"/>
                <w:w w:val="86"/>
              </w:rPr>
              <w:t>350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110,038</w:t>
            </w:r>
          </w:p>
        </w:tc>
        <w:tc>
          <w:tcPr>
            <w:tcW w:w="0" w:type="dxa"/>
            <w:vAlign w:val="bottom"/>
          </w:tcPr>
          <w:p>
            <w:pPr>
              <w:spacing w:after="0"/>
              <w:rPr>
                <w:sz w:val="1"/>
                <w:szCs w:val="1"/>
                <w:color w:val="auto"/>
              </w:rPr>
            </w:pPr>
          </w:p>
        </w:tc>
      </w:tr>
      <w:tr>
        <w:trPr>
          <w:trHeight w:val="214"/>
        </w:trPr>
        <w:tc>
          <w:tcPr>
            <w:tcW w:w="5960" w:type="dxa"/>
            <w:vAlign w:val="bottom"/>
          </w:tcPr>
          <w:p>
            <w:pPr>
              <w:ind w:left="300"/>
              <w:spacing w:after="0"/>
              <w:rPr>
                <w:sz w:val="20"/>
                <w:szCs w:val="20"/>
                <w:color w:val="auto"/>
              </w:rPr>
            </w:pPr>
            <w:r>
              <w:rPr>
                <w:rFonts w:ascii="Arial" w:cs="Arial" w:eastAsia="Arial" w:hAnsi="Arial"/>
                <w:sz w:val="18"/>
                <w:szCs w:val="18"/>
                <w:color w:val="auto"/>
              </w:rPr>
              <w:t>Asset-backed securities</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84,498</w:t>
            </w: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84,498</w:t>
            </w:r>
          </w:p>
        </w:tc>
        <w:tc>
          <w:tcPr>
            <w:tcW w:w="0" w:type="dxa"/>
            <w:vAlign w:val="bottom"/>
          </w:tcPr>
          <w:p>
            <w:pPr>
              <w:spacing w:after="0"/>
              <w:rPr>
                <w:sz w:val="1"/>
                <w:szCs w:val="1"/>
                <w:color w:val="auto"/>
              </w:rPr>
            </w:pPr>
          </w:p>
        </w:tc>
      </w:tr>
      <w:tr>
        <w:trPr>
          <w:trHeight w:val="214"/>
        </w:trPr>
        <w:tc>
          <w:tcPr>
            <w:tcW w:w="5960" w:type="dxa"/>
            <w:vAlign w:val="bottom"/>
          </w:tcPr>
          <w:p>
            <w:pPr>
              <w:ind w:left="300"/>
              <w:spacing w:after="0"/>
              <w:rPr>
                <w:sz w:val="20"/>
                <w:szCs w:val="20"/>
                <w:color w:val="auto"/>
              </w:rPr>
            </w:pPr>
            <w:r>
              <w:rPr>
                <w:rFonts w:ascii="Arial" w:cs="Arial" w:eastAsia="Arial" w:hAnsi="Arial"/>
                <w:sz w:val="18"/>
                <w:szCs w:val="18"/>
                <w:color w:val="auto"/>
              </w:rPr>
              <w:t>Other</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2,583</w:t>
            </w: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2,583</w:t>
            </w:r>
          </w:p>
        </w:tc>
        <w:tc>
          <w:tcPr>
            <w:tcW w:w="0" w:type="dxa"/>
            <w:vAlign w:val="bottom"/>
          </w:tcPr>
          <w:p>
            <w:pPr>
              <w:spacing w:after="0"/>
              <w:rPr>
                <w:sz w:val="1"/>
                <w:szCs w:val="1"/>
                <w:color w:val="auto"/>
              </w:rPr>
            </w:pPr>
          </w:p>
        </w:tc>
      </w:tr>
      <w:tr>
        <w:trPr>
          <w:trHeight w:val="214"/>
        </w:trPr>
        <w:tc>
          <w:tcPr>
            <w:tcW w:w="5960" w:type="dxa"/>
            <w:vAlign w:val="bottom"/>
          </w:tcPr>
          <w:p>
            <w:pPr>
              <w:ind w:left="160"/>
              <w:spacing w:after="0"/>
              <w:rPr>
                <w:sz w:val="20"/>
                <w:szCs w:val="20"/>
                <w:color w:val="auto"/>
              </w:rPr>
            </w:pPr>
            <w:r>
              <w:rPr>
                <w:rFonts w:ascii="Arial" w:cs="Arial" w:eastAsia="Arial" w:hAnsi="Arial"/>
                <w:sz w:val="18"/>
                <w:szCs w:val="18"/>
                <w:color w:val="auto"/>
              </w:rPr>
              <w:t>Deferred compensation plan assets</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2,895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2,895</w:t>
            </w:r>
          </w:p>
        </w:tc>
        <w:tc>
          <w:tcPr>
            <w:tcW w:w="0" w:type="dxa"/>
            <w:vAlign w:val="bottom"/>
          </w:tcPr>
          <w:p>
            <w:pPr>
              <w:spacing w:after="0"/>
              <w:rPr>
                <w:sz w:val="1"/>
                <w:szCs w:val="1"/>
                <w:color w:val="auto"/>
              </w:rPr>
            </w:pPr>
          </w:p>
        </w:tc>
      </w:tr>
      <w:tr>
        <w:trPr>
          <w:trHeight w:val="235"/>
        </w:trPr>
        <w:tc>
          <w:tcPr>
            <w:tcW w:w="5960" w:type="dxa"/>
            <w:vAlign w:val="bottom"/>
          </w:tcPr>
          <w:p>
            <w:pPr>
              <w:ind w:left="160"/>
              <w:spacing w:after="0"/>
              <w:rPr>
                <w:sz w:val="20"/>
                <w:szCs w:val="20"/>
                <w:color w:val="auto"/>
              </w:rPr>
            </w:pPr>
            <w:r>
              <w:rPr>
                <w:rFonts w:ascii="Arial" w:cs="Arial" w:eastAsia="Arial" w:hAnsi="Arial"/>
                <w:sz w:val="18"/>
                <w:szCs w:val="18"/>
                <w:color w:val="auto"/>
              </w:rPr>
              <w:t>Derivative financial instruments</w:t>
            </w: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223</w:t>
            </w:r>
          </w:p>
        </w:tc>
        <w:tc>
          <w:tcPr>
            <w:tcW w:w="100" w:type="dxa"/>
            <w:vAlign w:val="bottom"/>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223</w:t>
            </w:r>
          </w:p>
        </w:tc>
        <w:tc>
          <w:tcPr>
            <w:tcW w:w="0" w:type="dxa"/>
            <w:vAlign w:val="bottom"/>
          </w:tcPr>
          <w:p>
            <w:pPr>
              <w:spacing w:after="0"/>
              <w:rPr>
                <w:sz w:val="1"/>
                <w:szCs w:val="1"/>
                <w:color w:val="auto"/>
              </w:rPr>
            </w:pPr>
          </w:p>
        </w:tc>
      </w:tr>
      <w:tr>
        <w:trPr>
          <w:trHeight w:val="427"/>
        </w:trPr>
        <w:tc>
          <w:tcPr>
            <w:tcW w:w="5960" w:type="dxa"/>
            <w:vAlign w:val="bottom"/>
          </w:tcPr>
          <w:p>
            <w:pPr>
              <w:ind w:left="460"/>
              <w:spacing w:after="0"/>
              <w:rPr>
                <w:sz w:val="20"/>
                <w:szCs w:val="20"/>
                <w:color w:val="auto"/>
              </w:rPr>
            </w:pPr>
            <w:r>
              <w:rPr>
                <w:rFonts w:ascii="Arial" w:cs="Arial" w:eastAsia="Arial" w:hAnsi="Arial"/>
                <w:sz w:val="18"/>
                <w:szCs w:val="18"/>
                <w:color w:val="auto"/>
              </w:rPr>
              <w:t>Total assets</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2,895</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1,701,456</w:t>
            </w:r>
          </w:p>
        </w:tc>
        <w:tc>
          <w:tcPr>
            <w:tcW w:w="960" w:type="dxa"/>
            <w:vAlign w:val="bottom"/>
            <w:gridSpan w:val="2"/>
          </w:tcPr>
          <w:p>
            <w:pPr>
              <w:jc w:val="right"/>
              <w:ind w:right="671"/>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11"/>
              <w:spacing w:after="0"/>
              <w:rPr>
                <w:sz w:val="20"/>
                <w:szCs w:val="20"/>
                <w:color w:val="auto"/>
              </w:rPr>
            </w:pPr>
            <w:r>
              <w:rPr>
                <w:rFonts w:ascii="Arial" w:cs="Arial" w:eastAsia="Arial" w:hAnsi="Arial"/>
                <w:sz w:val="18"/>
                <w:szCs w:val="18"/>
                <w:color w:val="auto"/>
                <w:w w:val="86"/>
              </w:rPr>
              <w:t>350</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1,704,701</w:t>
            </w:r>
          </w:p>
        </w:tc>
        <w:tc>
          <w:tcPr>
            <w:tcW w:w="0" w:type="dxa"/>
            <w:vAlign w:val="bottom"/>
          </w:tcPr>
          <w:p>
            <w:pPr>
              <w:spacing w:after="0"/>
              <w:rPr>
                <w:sz w:val="1"/>
                <w:szCs w:val="1"/>
                <w:color w:val="auto"/>
              </w:rPr>
            </w:pPr>
          </w:p>
        </w:tc>
      </w:tr>
      <w:tr>
        <w:trPr>
          <w:trHeight w:val="22"/>
        </w:trPr>
        <w:tc>
          <w:tcPr>
            <w:tcW w:w="5960" w:type="dxa"/>
            <w:vAlign w:val="bottom"/>
            <w:vMerge w:val="restart"/>
          </w:tcPr>
          <w:p>
            <w:pPr>
              <w:spacing w:after="0"/>
              <w:rPr>
                <w:sz w:val="20"/>
                <w:szCs w:val="20"/>
                <w:color w:val="auto"/>
              </w:rPr>
            </w:pPr>
            <w:r>
              <w:rPr>
                <w:rFonts w:ascii="Arial" w:cs="Arial" w:eastAsia="Arial" w:hAnsi="Arial"/>
                <w:sz w:val="18"/>
                <w:szCs w:val="18"/>
                <w:b w:val="1"/>
                <w:bCs w:val="1"/>
                <w:color w:val="auto"/>
              </w:rPr>
              <w:t>Liabilities:</w:t>
            </w: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08"/>
        </w:trPr>
        <w:tc>
          <w:tcPr>
            <w:tcW w:w="596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5960" w:type="dxa"/>
            <w:vAlign w:val="bottom"/>
          </w:tcPr>
          <w:p>
            <w:pPr>
              <w:ind w:left="160"/>
              <w:spacing w:after="0"/>
              <w:rPr>
                <w:sz w:val="20"/>
                <w:szCs w:val="20"/>
                <w:color w:val="auto"/>
              </w:rPr>
            </w:pPr>
            <w:r>
              <w:rPr>
                <w:rFonts w:ascii="Arial" w:cs="Arial" w:eastAsia="Arial" w:hAnsi="Arial"/>
                <w:sz w:val="18"/>
                <w:szCs w:val="18"/>
                <w:color w:val="auto"/>
              </w:rPr>
              <w:t>Deferred compensation plan liability</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2,895</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671"/>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2,895</w:t>
            </w:r>
          </w:p>
        </w:tc>
        <w:tc>
          <w:tcPr>
            <w:tcW w:w="0" w:type="dxa"/>
            <w:vAlign w:val="bottom"/>
          </w:tcPr>
          <w:p>
            <w:pPr>
              <w:spacing w:after="0"/>
              <w:rPr>
                <w:sz w:val="1"/>
                <w:szCs w:val="1"/>
                <w:color w:val="auto"/>
              </w:rPr>
            </w:pPr>
          </w:p>
        </w:tc>
      </w:tr>
      <w:tr>
        <w:trPr>
          <w:trHeight w:val="214"/>
        </w:trPr>
        <w:tc>
          <w:tcPr>
            <w:tcW w:w="5960" w:type="dxa"/>
            <w:vAlign w:val="bottom"/>
          </w:tcPr>
          <w:p>
            <w:pPr>
              <w:ind w:left="160"/>
              <w:spacing w:after="0"/>
              <w:rPr>
                <w:sz w:val="20"/>
                <w:szCs w:val="20"/>
                <w:color w:val="auto"/>
              </w:rPr>
            </w:pPr>
            <w:r>
              <w:rPr>
                <w:rFonts w:ascii="Arial" w:cs="Arial" w:eastAsia="Arial" w:hAnsi="Arial"/>
                <w:sz w:val="18"/>
                <w:szCs w:val="18"/>
                <w:color w:val="auto"/>
              </w:rPr>
              <w:t>Brokered certificates of deposit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102,879</w:t>
            </w: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102,879</w:t>
            </w:r>
          </w:p>
        </w:tc>
        <w:tc>
          <w:tcPr>
            <w:tcW w:w="0" w:type="dxa"/>
            <w:vAlign w:val="bottom"/>
          </w:tcPr>
          <w:p>
            <w:pPr>
              <w:spacing w:after="0"/>
              <w:rPr>
                <w:sz w:val="1"/>
                <w:szCs w:val="1"/>
                <w:color w:val="auto"/>
              </w:rPr>
            </w:pPr>
          </w:p>
        </w:tc>
      </w:tr>
      <w:tr>
        <w:trPr>
          <w:trHeight w:val="235"/>
        </w:trPr>
        <w:tc>
          <w:tcPr>
            <w:tcW w:w="5960" w:type="dxa"/>
            <w:vAlign w:val="bottom"/>
          </w:tcPr>
          <w:p>
            <w:pPr>
              <w:ind w:left="160"/>
              <w:spacing w:after="0"/>
              <w:rPr>
                <w:sz w:val="20"/>
                <w:szCs w:val="20"/>
                <w:color w:val="auto"/>
              </w:rPr>
            </w:pPr>
            <w:r>
              <w:rPr>
                <w:rFonts w:ascii="Arial" w:cs="Arial" w:eastAsia="Arial" w:hAnsi="Arial"/>
                <w:sz w:val="18"/>
                <w:szCs w:val="18"/>
                <w:color w:val="auto"/>
              </w:rPr>
              <w:t>Derivative financial instruments</w:t>
            </w: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6,142</w:t>
            </w:r>
          </w:p>
        </w:tc>
        <w:tc>
          <w:tcPr>
            <w:tcW w:w="100" w:type="dxa"/>
            <w:vAlign w:val="bottom"/>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6,142</w:t>
            </w:r>
          </w:p>
        </w:tc>
        <w:tc>
          <w:tcPr>
            <w:tcW w:w="0" w:type="dxa"/>
            <w:vAlign w:val="bottom"/>
          </w:tcPr>
          <w:p>
            <w:pPr>
              <w:spacing w:after="0"/>
              <w:rPr>
                <w:sz w:val="1"/>
                <w:szCs w:val="1"/>
                <w:color w:val="auto"/>
              </w:rPr>
            </w:pPr>
          </w:p>
        </w:tc>
      </w:tr>
      <w:tr>
        <w:trPr>
          <w:trHeight w:val="428"/>
        </w:trPr>
        <w:tc>
          <w:tcPr>
            <w:tcW w:w="5960" w:type="dxa"/>
            <w:vAlign w:val="bottom"/>
          </w:tcPr>
          <w:p>
            <w:pPr>
              <w:ind w:left="460"/>
              <w:spacing w:after="0"/>
              <w:rPr>
                <w:sz w:val="20"/>
                <w:szCs w:val="20"/>
                <w:color w:val="auto"/>
              </w:rPr>
            </w:pPr>
            <w:r>
              <w:rPr>
                <w:rFonts w:ascii="Arial" w:cs="Arial" w:eastAsia="Arial" w:hAnsi="Arial"/>
                <w:sz w:val="18"/>
                <w:szCs w:val="18"/>
                <w:color w:val="auto"/>
              </w:rPr>
              <w:t>Total liabilities</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2,895</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109,021</w:t>
            </w:r>
          </w:p>
        </w:tc>
        <w:tc>
          <w:tcPr>
            <w:tcW w:w="960" w:type="dxa"/>
            <w:vAlign w:val="bottom"/>
            <w:gridSpan w:val="2"/>
          </w:tcPr>
          <w:p>
            <w:pPr>
              <w:jc w:val="right"/>
              <w:ind w:right="671"/>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111,916</w:t>
            </w:r>
          </w:p>
        </w:tc>
        <w:tc>
          <w:tcPr>
            <w:tcW w:w="0" w:type="dxa"/>
            <w:vAlign w:val="bottom"/>
          </w:tcPr>
          <w:p>
            <w:pPr>
              <w:spacing w:after="0"/>
              <w:rPr>
                <w:sz w:val="1"/>
                <w:szCs w:val="1"/>
                <w:color w:val="auto"/>
              </w:rPr>
            </w:pPr>
          </w:p>
        </w:tc>
      </w:tr>
      <w:tr>
        <w:trPr>
          <w:trHeight w:val="21"/>
        </w:trPr>
        <w:tc>
          <w:tcPr>
            <w:tcW w:w="5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7"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 xml:space="preserve">The following table shows a reconciliation of the beginning and ending balances for assets measured at fair value on a recurring basis using significant unobservable inputs that are classified as Level 3 values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72" w:lineRule="exact"/>
        <w:rPr>
          <w:sz w:val="20"/>
          <w:szCs w:val="20"/>
          <w:color w:val="auto"/>
        </w:rPr>
      </w:pPr>
    </w:p>
    <w:tbl>
      <w:tblPr>
        <w:tblLayout w:type="fixed"/>
        <w:tblInd w:w="300" w:type="dxa"/>
        <w:tblCellMar>
          <w:top w:w="0" w:type="dxa"/>
          <w:left w:w="0" w:type="dxa"/>
          <w:bottom w:w="0" w:type="dxa"/>
          <w:right w:w="0" w:type="dxa"/>
        </w:tblCellMar>
      </w:tblPr>
      <w:tr>
        <w:trPr>
          <w:trHeight w:val="214"/>
        </w:trPr>
        <w:tc>
          <w:tcPr>
            <w:tcW w:w="5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60" w:type="dxa"/>
            <w:vAlign w:val="bottom"/>
            <w:gridSpan w:val="4"/>
          </w:tcPr>
          <w:p>
            <w:pPr>
              <w:jc w:val="center"/>
              <w:ind w:right="151"/>
              <w:spacing w:after="0"/>
              <w:rPr>
                <w:sz w:val="20"/>
                <w:szCs w:val="20"/>
                <w:color w:val="auto"/>
              </w:rPr>
            </w:pPr>
            <w:r>
              <w:rPr>
                <w:rFonts w:ascii="Arial" w:cs="Arial" w:eastAsia="Arial" w:hAnsi="Arial"/>
                <w:sz w:val="18"/>
                <w:szCs w:val="18"/>
                <w:b w:val="1"/>
                <w:bCs w:val="1"/>
                <w:color w:val="auto"/>
                <w:w w:val="88"/>
              </w:rPr>
              <w:t>Securities Available for Sale</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520" w:type="dxa"/>
            <w:vAlign w:val="bottom"/>
            <w:gridSpan w:val="4"/>
          </w:tcPr>
          <w:p>
            <w:pPr>
              <w:jc w:val="center"/>
              <w:ind w:right="171"/>
              <w:spacing w:after="0"/>
              <w:rPr>
                <w:sz w:val="20"/>
                <w:szCs w:val="20"/>
                <w:color w:val="auto"/>
              </w:rPr>
            </w:pPr>
            <w:r>
              <w:rPr>
                <w:rFonts w:ascii="Arial" w:cs="Arial" w:eastAsia="Arial" w:hAnsi="Arial"/>
                <w:sz w:val="18"/>
                <w:szCs w:val="18"/>
                <w:b w:val="1"/>
                <w:bCs w:val="1"/>
                <w:color w:val="auto"/>
                <w:w w:val="88"/>
              </w:rPr>
              <w:t>Securities Available for Sale</w:t>
            </w:r>
          </w:p>
        </w:tc>
      </w:tr>
      <w:tr>
        <w:trPr>
          <w:trHeight w:val="214"/>
        </w:trPr>
        <w:tc>
          <w:tcPr>
            <w:tcW w:w="5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60" w:type="dxa"/>
            <w:vAlign w:val="bottom"/>
            <w:gridSpan w:val="4"/>
          </w:tcPr>
          <w:p>
            <w:pPr>
              <w:jc w:val="center"/>
              <w:ind w:right="151"/>
              <w:spacing w:after="0"/>
              <w:rPr>
                <w:sz w:val="20"/>
                <w:szCs w:val="20"/>
                <w:color w:val="auto"/>
              </w:rPr>
            </w:pPr>
            <w:r>
              <w:rPr>
                <w:rFonts w:ascii="Arial" w:cs="Arial" w:eastAsia="Arial" w:hAnsi="Arial"/>
                <w:sz w:val="18"/>
                <w:szCs w:val="18"/>
                <w:b w:val="1"/>
                <w:bCs w:val="1"/>
                <w:color w:val="auto"/>
                <w:w w:val="90"/>
              </w:rPr>
              <w:t>Three Months Ended</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520" w:type="dxa"/>
            <w:vAlign w:val="bottom"/>
            <w:gridSpan w:val="4"/>
          </w:tcPr>
          <w:p>
            <w:pPr>
              <w:jc w:val="center"/>
              <w:ind w:right="171"/>
              <w:spacing w:after="0"/>
              <w:rPr>
                <w:sz w:val="20"/>
                <w:szCs w:val="20"/>
                <w:color w:val="auto"/>
              </w:rPr>
            </w:pPr>
            <w:r>
              <w:rPr>
                <w:rFonts w:ascii="Arial" w:cs="Arial" w:eastAsia="Arial" w:hAnsi="Arial"/>
                <w:sz w:val="18"/>
                <w:szCs w:val="18"/>
                <w:b w:val="1"/>
                <w:bCs w:val="1"/>
                <w:color w:val="auto"/>
                <w:w w:val="90"/>
              </w:rPr>
              <w:t>Six Months Ended</w:t>
            </w:r>
          </w:p>
        </w:tc>
      </w:tr>
      <w:tr>
        <w:trPr>
          <w:trHeight w:val="239"/>
        </w:trPr>
        <w:tc>
          <w:tcPr>
            <w:tcW w:w="5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3"/>
          </w:tcPr>
          <w:p>
            <w:pPr>
              <w:jc w:val="center"/>
              <w:ind w:left="591"/>
              <w:spacing w:after="0"/>
              <w:rPr>
                <w:sz w:val="20"/>
                <w:szCs w:val="20"/>
                <w:color w:val="auto"/>
              </w:rPr>
            </w:pPr>
            <w:r>
              <w:rPr>
                <w:rFonts w:ascii="Arial" w:cs="Arial" w:eastAsia="Arial" w:hAnsi="Arial"/>
                <w:sz w:val="18"/>
                <w:szCs w:val="18"/>
                <w:b w:val="1"/>
                <w:bCs w:val="1"/>
                <w:color w:val="auto"/>
                <w:w w:val="88"/>
              </w:rPr>
              <w:t>June 30,</w:t>
            </w:r>
          </w:p>
        </w:tc>
        <w:tc>
          <w:tcPr>
            <w:tcW w:w="9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3"/>
          </w:tcPr>
          <w:p>
            <w:pPr>
              <w:jc w:val="center"/>
              <w:ind w:left="611"/>
              <w:spacing w:after="0"/>
              <w:rPr>
                <w:sz w:val="20"/>
                <w:szCs w:val="20"/>
                <w:color w:val="auto"/>
              </w:rPr>
            </w:pPr>
            <w:r>
              <w:rPr>
                <w:rFonts w:ascii="Arial" w:cs="Arial" w:eastAsia="Arial" w:hAnsi="Arial"/>
                <w:sz w:val="18"/>
                <w:szCs w:val="18"/>
                <w:b w:val="1"/>
                <w:bCs w:val="1"/>
                <w:color w:val="auto"/>
                <w:w w:val="88"/>
              </w:rPr>
              <w:t>June 30,</w:t>
            </w:r>
          </w:p>
        </w:tc>
        <w:tc>
          <w:tcPr>
            <w:tcW w:w="980" w:type="dxa"/>
            <w:vAlign w:val="bottom"/>
            <w:tcBorders>
              <w:bottom w:val="single" w:sz="8" w:color="auto"/>
            </w:tcBorders>
          </w:tcPr>
          <w:p>
            <w:pPr>
              <w:spacing w:after="0"/>
              <w:rPr>
                <w:sz w:val="20"/>
                <w:szCs w:val="20"/>
                <w:color w:val="auto"/>
              </w:rPr>
            </w:pPr>
          </w:p>
        </w:tc>
      </w:tr>
      <w:tr>
        <w:trPr>
          <w:trHeight w:val="221"/>
        </w:trPr>
        <w:tc>
          <w:tcPr>
            <w:tcW w:w="53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Securities Available for Sale</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11"/>
              <w:spacing w:after="0"/>
              <w:rPr>
                <w:sz w:val="20"/>
                <w:szCs w:val="20"/>
                <w:color w:val="auto"/>
              </w:rPr>
            </w:pPr>
            <w:r>
              <w:rPr>
                <w:rFonts w:ascii="Arial" w:cs="Arial" w:eastAsia="Arial" w:hAnsi="Arial"/>
                <w:sz w:val="18"/>
                <w:szCs w:val="18"/>
                <w:b w:val="1"/>
                <w:bCs w:val="1"/>
                <w:color w:val="auto"/>
              </w:rPr>
              <w:t>2013</w:t>
            </w:r>
          </w:p>
        </w:tc>
        <w:tc>
          <w:tcPr>
            <w:tcW w:w="1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411"/>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31"/>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51"/>
              <w:spacing w:after="0"/>
              <w:rPr>
                <w:sz w:val="20"/>
                <w:szCs w:val="20"/>
                <w:color w:val="auto"/>
              </w:rPr>
            </w:pPr>
            <w:r>
              <w:rPr>
                <w:rFonts w:ascii="Arial" w:cs="Arial" w:eastAsia="Arial" w:hAnsi="Arial"/>
                <w:sz w:val="18"/>
                <w:szCs w:val="18"/>
                <w:b w:val="1"/>
                <w:bCs w:val="1"/>
                <w:color w:val="auto"/>
              </w:rPr>
              <w:t>2012</w:t>
            </w:r>
          </w:p>
        </w:tc>
      </w:tr>
      <w:tr>
        <w:trPr>
          <w:trHeight w:val="414"/>
        </w:trPr>
        <w:tc>
          <w:tcPr>
            <w:tcW w:w="5380" w:type="dxa"/>
            <w:vAlign w:val="bottom"/>
          </w:tcPr>
          <w:p>
            <w:pPr>
              <w:spacing w:after="0"/>
              <w:rPr>
                <w:sz w:val="20"/>
                <w:szCs w:val="20"/>
                <w:color w:val="auto"/>
              </w:rPr>
            </w:pPr>
            <w:r>
              <w:rPr>
                <w:rFonts w:ascii="Arial" w:cs="Arial" w:eastAsia="Arial" w:hAnsi="Arial"/>
                <w:sz w:val="18"/>
                <w:szCs w:val="18"/>
                <w:color w:val="auto"/>
              </w:rPr>
              <w:t>Balance at beginning of period</w:t>
            </w:r>
          </w:p>
        </w:tc>
        <w:tc>
          <w:tcPr>
            <w:tcW w:w="24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350</w:t>
            </w: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350</w:t>
            </w: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350</w:t>
            </w:r>
          </w:p>
        </w:tc>
        <w:tc>
          <w:tcPr>
            <w:tcW w:w="4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350</w:t>
            </w:r>
          </w:p>
        </w:tc>
      </w:tr>
      <w:tr>
        <w:trPr>
          <w:trHeight w:val="214"/>
        </w:trPr>
        <w:tc>
          <w:tcPr>
            <w:tcW w:w="5380" w:type="dxa"/>
            <w:vAlign w:val="bottom"/>
          </w:tcPr>
          <w:p>
            <w:pPr>
              <w:ind w:left="120"/>
              <w:spacing w:after="0"/>
              <w:rPr>
                <w:sz w:val="20"/>
                <w:szCs w:val="20"/>
                <w:color w:val="auto"/>
              </w:rPr>
            </w:pPr>
            <w:r>
              <w:rPr>
                <w:rFonts w:ascii="Arial" w:cs="Arial" w:eastAsia="Arial" w:hAnsi="Arial"/>
                <w:sz w:val="18"/>
                <w:szCs w:val="18"/>
                <w:color w:val="auto"/>
              </w:rPr>
              <w:t>Amounts included in earnings</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w:t>
            </w:r>
          </w:p>
        </w:tc>
      </w:tr>
      <w:tr>
        <w:trPr>
          <w:trHeight w:val="235"/>
        </w:trPr>
        <w:tc>
          <w:tcPr>
            <w:tcW w:w="5380" w:type="dxa"/>
            <w:vAlign w:val="bottom"/>
          </w:tcPr>
          <w:p>
            <w:pPr>
              <w:ind w:left="120"/>
              <w:spacing w:after="0"/>
              <w:rPr>
                <w:sz w:val="20"/>
                <w:szCs w:val="20"/>
                <w:color w:val="auto"/>
              </w:rPr>
            </w:pPr>
            <w:r>
              <w:rPr>
                <w:rFonts w:ascii="Arial" w:cs="Arial" w:eastAsia="Arial" w:hAnsi="Arial"/>
                <w:sz w:val="18"/>
                <w:szCs w:val="18"/>
                <w:color w:val="auto"/>
              </w:rPr>
              <w:t>Paydowns</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w:t>
            </w:r>
          </w:p>
        </w:tc>
      </w:tr>
      <w:tr>
        <w:trPr>
          <w:trHeight w:val="428"/>
        </w:trPr>
        <w:tc>
          <w:tcPr>
            <w:tcW w:w="5380" w:type="dxa"/>
            <w:vAlign w:val="bottom"/>
          </w:tcPr>
          <w:p>
            <w:pPr>
              <w:spacing w:after="0"/>
              <w:rPr>
                <w:sz w:val="20"/>
                <w:szCs w:val="20"/>
                <w:color w:val="auto"/>
              </w:rPr>
            </w:pPr>
            <w:r>
              <w:rPr>
                <w:rFonts w:ascii="Arial" w:cs="Arial" w:eastAsia="Arial" w:hAnsi="Arial"/>
                <w:sz w:val="18"/>
                <w:szCs w:val="18"/>
                <w:color w:val="auto"/>
              </w:rPr>
              <w:t>Balance at end of period</w:t>
            </w:r>
          </w:p>
        </w:tc>
        <w:tc>
          <w:tcPr>
            <w:tcW w:w="24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350</w:t>
            </w: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350</w:t>
            </w: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350</w:t>
            </w:r>
          </w:p>
        </w:tc>
        <w:tc>
          <w:tcPr>
            <w:tcW w:w="4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350</w:t>
            </w:r>
          </w:p>
        </w:tc>
      </w:tr>
      <w:tr>
        <w:trPr>
          <w:trHeight w:val="21"/>
        </w:trPr>
        <w:tc>
          <w:tcPr>
            <w:tcW w:w="5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22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United has two securities that have Level 3 valuations. They are trust preferred securities in community banks that have shown deteriorating financial condition during the financial crisis, and both are currently deferring interest payments. Since both investments are not actively traded, there is no recent trade activity upon which to assess value. The values assigned to the investments are based on sales price estimates from brokers. Both investments have a par amount of $1 million. One was considered impaired in 2010 and was written down to $50,000 with a $950,000 impairment charge to earnings. The other is carried at its original cost basis of $1 million with a $700,000 negative mark to fair value through other comprehensive income. United does not consider this investment to be other than temporarily impaired, as the community bank was recapitalized by a private equity investment that management believes will result in full payment at maturity.</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13970</wp:posOffset>
            </wp:positionV>
            <wp:extent cx="724789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7890" cy="8255"/>
                    </a:xfrm>
                    <a:prstGeom prst="rect">
                      <a:avLst/>
                    </a:prstGeom>
                    <a:noFill/>
                  </pic:spPr>
                </pic:pic>
              </a:graphicData>
            </a:graphic>
          </wp:anchor>
        </w:drawing>
      </w:r>
    </w:p>
    <w:p>
      <w:pPr>
        <w:sectPr>
          <w:pgSz w:w="11900" w:h="16838" w:orient="portrait"/>
          <w:cols w:equalWidth="0" w:num="1">
            <w:col w:w="11420"/>
          </w:cols>
          <w:pgMar w:left="240" w:top="911" w:right="239" w:bottom="1440" w:gutter="0" w:footer="0" w:header="0"/>
        </w:sectPr>
      </w:pPr>
    </w:p>
    <w:bookmarkStart w:id="37" w:name="page38"/>
    <w:bookmarkEnd w:id="37"/>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Assets and Liabilities Measured at Fair Value on a Nonrecurring Basis</w:t>
      </w:r>
    </w:p>
    <w:p>
      <w:pPr>
        <w:spacing w:after="0" w:line="25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 xml:space="preserve">United may be required, from time to time, to measure certain assets at fair value on a nonrecurring basis. These include assets that are measured at the lower of cost or market that were recognized at fair value below cost at the end of the period. The table below presents United’s assets and liabilities measured at fair value on a nonrecurring basis as of June 30, 2013, December 31, 2012 and June 30, 2012, aggregated by the level in the fair value hierarchy within which those measurements fall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59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June 30, 2013</w:t>
            </w: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31"/>
              <w:spacing w:after="0"/>
              <w:rPr>
                <w:sz w:val="20"/>
                <w:szCs w:val="20"/>
                <w:color w:val="auto"/>
              </w:rPr>
            </w:pPr>
            <w:r>
              <w:rPr>
                <w:rFonts w:ascii="Arial" w:cs="Arial" w:eastAsia="Arial" w:hAnsi="Arial"/>
                <w:sz w:val="18"/>
                <w:szCs w:val="18"/>
                <w:b w:val="1"/>
                <w:bCs w:val="1"/>
                <w:color w:val="auto"/>
              </w:rPr>
              <w:t>Level 1</w:t>
            </w: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31"/>
              <w:spacing w:after="0"/>
              <w:rPr>
                <w:sz w:val="20"/>
                <w:szCs w:val="20"/>
                <w:color w:val="auto"/>
              </w:rPr>
            </w:pPr>
            <w:r>
              <w:rPr>
                <w:rFonts w:ascii="Arial" w:cs="Arial" w:eastAsia="Arial" w:hAnsi="Arial"/>
                <w:sz w:val="18"/>
                <w:szCs w:val="18"/>
                <w:b w:val="1"/>
                <w:bCs w:val="1"/>
                <w:color w:val="auto"/>
              </w:rPr>
              <w:t>Level 2</w:t>
            </w: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11"/>
              <w:spacing w:after="0"/>
              <w:rPr>
                <w:sz w:val="20"/>
                <w:szCs w:val="20"/>
                <w:color w:val="auto"/>
              </w:rPr>
            </w:pPr>
            <w:r>
              <w:rPr>
                <w:rFonts w:ascii="Arial" w:cs="Arial" w:eastAsia="Arial" w:hAnsi="Arial"/>
                <w:sz w:val="18"/>
                <w:szCs w:val="18"/>
                <w:b w:val="1"/>
                <w:bCs w:val="1"/>
                <w:color w:val="auto"/>
              </w:rPr>
              <w:t>Level 3</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91"/>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00"/>
        </w:trPr>
        <w:tc>
          <w:tcPr>
            <w:tcW w:w="5960" w:type="dxa"/>
            <w:vAlign w:val="bottom"/>
          </w:tcPr>
          <w:p>
            <w:pPr>
              <w:spacing w:after="0" w:line="200" w:lineRule="exact"/>
              <w:rPr>
                <w:sz w:val="20"/>
                <w:szCs w:val="20"/>
                <w:color w:val="auto"/>
              </w:rPr>
            </w:pPr>
            <w:r>
              <w:rPr>
                <w:rFonts w:ascii="Arial" w:cs="Arial" w:eastAsia="Arial" w:hAnsi="Arial"/>
                <w:sz w:val="18"/>
                <w:szCs w:val="18"/>
                <w:b w:val="1"/>
                <w:bCs w:val="1"/>
                <w:color w:val="auto"/>
              </w:rPr>
              <w:t>Assets</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5960" w:type="dxa"/>
            <w:vAlign w:val="bottom"/>
          </w:tcPr>
          <w:p>
            <w:pPr>
              <w:ind w:left="160"/>
              <w:spacing w:after="0"/>
              <w:rPr>
                <w:sz w:val="20"/>
                <w:szCs w:val="20"/>
                <w:color w:val="auto"/>
              </w:rPr>
            </w:pPr>
            <w:r>
              <w:rPr>
                <w:rFonts w:ascii="Arial" w:cs="Arial" w:eastAsia="Arial" w:hAnsi="Arial"/>
                <w:sz w:val="18"/>
                <w:szCs w:val="18"/>
                <w:color w:val="auto"/>
              </w:rPr>
              <w:t>Loans</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74,685</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74,685</w:t>
            </w:r>
          </w:p>
        </w:tc>
        <w:tc>
          <w:tcPr>
            <w:tcW w:w="0" w:type="dxa"/>
            <w:vAlign w:val="bottom"/>
          </w:tcPr>
          <w:p>
            <w:pPr>
              <w:spacing w:after="0"/>
              <w:rPr>
                <w:sz w:val="1"/>
                <w:szCs w:val="1"/>
                <w:color w:val="auto"/>
              </w:rPr>
            </w:pPr>
          </w:p>
        </w:tc>
      </w:tr>
      <w:tr>
        <w:trPr>
          <w:trHeight w:val="235"/>
        </w:trPr>
        <w:tc>
          <w:tcPr>
            <w:tcW w:w="5960" w:type="dxa"/>
            <w:vAlign w:val="bottom"/>
          </w:tcPr>
          <w:p>
            <w:pPr>
              <w:ind w:left="160"/>
              <w:spacing w:after="0"/>
              <w:rPr>
                <w:sz w:val="20"/>
                <w:szCs w:val="20"/>
                <w:color w:val="auto"/>
              </w:rPr>
            </w:pPr>
            <w:r>
              <w:rPr>
                <w:rFonts w:ascii="Arial" w:cs="Arial" w:eastAsia="Arial" w:hAnsi="Arial"/>
                <w:sz w:val="18"/>
                <w:szCs w:val="18"/>
                <w:color w:val="auto"/>
              </w:rPr>
              <w:t>Foreclosed properties</w:t>
            </w: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3,802</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3,802</w:t>
            </w:r>
          </w:p>
        </w:tc>
        <w:tc>
          <w:tcPr>
            <w:tcW w:w="0" w:type="dxa"/>
            <w:vAlign w:val="bottom"/>
          </w:tcPr>
          <w:p>
            <w:pPr>
              <w:spacing w:after="0"/>
              <w:rPr>
                <w:sz w:val="1"/>
                <w:szCs w:val="1"/>
                <w:color w:val="auto"/>
              </w:rPr>
            </w:pPr>
          </w:p>
        </w:tc>
      </w:tr>
      <w:tr>
        <w:trPr>
          <w:trHeight w:val="427"/>
        </w:trPr>
        <w:tc>
          <w:tcPr>
            <w:tcW w:w="5960" w:type="dxa"/>
            <w:vAlign w:val="bottom"/>
          </w:tcPr>
          <w:p>
            <w:pPr>
              <w:spacing w:after="0"/>
              <w:rPr>
                <w:sz w:val="20"/>
                <w:szCs w:val="20"/>
                <w:color w:val="auto"/>
              </w:rPr>
            </w:pPr>
            <w:r>
              <w:rPr>
                <w:rFonts w:ascii="Arial" w:cs="Arial" w:eastAsia="Arial" w:hAnsi="Arial"/>
                <w:sz w:val="18"/>
                <w:szCs w:val="18"/>
                <w:color w:val="auto"/>
              </w:rPr>
              <w:t>Total</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78,487</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78,487</w:t>
            </w:r>
          </w:p>
        </w:tc>
        <w:tc>
          <w:tcPr>
            <w:tcW w:w="0" w:type="dxa"/>
            <w:vAlign w:val="bottom"/>
          </w:tcPr>
          <w:p>
            <w:pPr>
              <w:spacing w:after="0"/>
              <w:rPr>
                <w:sz w:val="1"/>
                <w:szCs w:val="1"/>
                <w:color w:val="auto"/>
              </w:rPr>
            </w:pPr>
          </w:p>
        </w:tc>
      </w:tr>
      <w:tr>
        <w:trPr>
          <w:trHeight w:val="22"/>
        </w:trPr>
        <w:tc>
          <w:tcPr>
            <w:tcW w:w="5960" w:type="dxa"/>
            <w:vAlign w:val="bottom"/>
            <w:vMerge w:val="restart"/>
          </w:tcPr>
          <w:p>
            <w:pPr>
              <w:spacing w:after="0"/>
              <w:rPr>
                <w:sz w:val="20"/>
                <w:szCs w:val="20"/>
                <w:color w:val="auto"/>
              </w:rPr>
            </w:pPr>
            <w:r>
              <w:rPr>
                <w:rFonts w:ascii="Arial" w:cs="Arial" w:eastAsia="Arial" w:hAnsi="Arial"/>
                <w:sz w:val="18"/>
                <w:szCs w:val="18"/>
                <w:b w:val="1"/>
                <w:bCs w:val="1"/>
                <w:color w:val="auto"/>
              </w:rPr>
              <w:t>December 31, 2012</w:t>
            </w: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4"/>
        </w:trPr>
        <w:tc>
          <w:tcPr>
            <w:tcW w:w="5960" w:type="dxa"/>
            <w:vAlign w:val="bottom"/>
            <w:tcBorders>
              <w:bottom w:val="single" w:sz="8" w:color="auto"/>
            </w:tcBorders>
            <w:vMerge w:val="continue"/>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5960" w:type="dxa"/>
            <w:vAlign w:val="bottom"/>
          </w:tcPr>
          <w:p>
            <w:pPr>
              <w:spacing w:after="0" w:line="200" w:lineRule="exact"/>
              <w:rPr>
                <w:sz w:val="20"/>
                <w:szCs w:val="20"/>
                <w:color w:val="auto"/>
              </w:rPr>
            </w:pPr>
            <w:r>
              <w:rPr>
                <w:rFonts w:ascii="Arial" w:cs="Arial" w:eastAsia="Arial" w:hAnsi="Arial"/>
                <w:sz w:val="18"/>
                <w:szCs w:val="18"/>
                <w:b w:val="1"/>
                <w:bCs w:val="1"/>
                <w:color w:val="auto"/>
              </w:rPr>
              <w:t>Assets</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5960" w:type="dxa"/>
            <w:vAlign w:val="bottom"/>
          </w:tcPr>
          <w:p>
            <w:pPr>
              <w:ind w:left="160"/>
              <w:spacing w:after="0"/>
              <w:rPr>
                <w:sz w:val="20"/>
                <w:szCs w:val="20"/>
                <w:color w:val="auto"/>
              </w:rPr>
            </w:pPr>
            <w:r>
              <w:rPr>
                <w:rFonts w:ascii="Arial" w:cs="Arial" w:eastAsia="Arial" w:hAnsi="Arial"/>
                <w:sz w:val="18"/>
                <w:szCs w:val="18"/>
                <w:color w:val="auto"/>
              </w:rPr>
              <w:t>Loans</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165,751</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165,751</w:t>
            </w:r>
          </w:p>
        </w:tc>
        <w:tc>
          <w:tcPr>
            <w:tcW w:w="0" w:type="dxa"/>
            <w:vAlign w:val="bottom"/>
          </w:tcPr>
          <w:p>
            <w:pPr>
              <w:spacing w:after="0"/>
              <w:rPr>
                <w:sz w:val="1"/>
                <w:szCs w:val="1"/>
                <w:color w:val="auto"/>
              </w:rPr>
            </w:pPr>
          </w:p>
        </w:tc>
      </w:tr>
      <w:tr>
        <w:trPr>
          <w:trHeight w:val="235"/>
        </w:trPr>
        <w:tc>
          <w:tcPr>
            <w:tcW w:w="5960" w:type="dxa"/>
            <w:vAlign w:val="bottom"/>
          </w:tcPr>
          <w:p>
            <w:pPr>
              <w:ind w:left="160"/>
              <w:spacing w:after="0"/>
              <w:rPr>
                <w:sz w:val="20"/>
                <w:szCs w:val="20"/>
                <w:color w:val="auto"/>
              </w:rPr>
            </w:pPr>
            <w:r>
              <w:rPr>
                <w:rFonts w:ascii="Arial" w:cs="Arial" w:eastAsia="Arial" w:hAnsi="Arial"/>
                <w:sz w:val="18"/>
                <w:szCs w:val="18"/>
                <w:color w:val="auto"/>
              </w:rPr>
              <w:t>Foreclosed properties</w:t>
            </w: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14,788</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14,788</w:t>
            </w:r>
          </w:p>
        </w:tc>
        <w:tc>
          <w:tcPr>
            <w:tcW w:w="0" w:type="dxa"/>
            <w:vAlign w:val="bottom"/>
          </w:tcPr>
          <w:p>
            <w:pPr>
              <w:spacing w:after="0"/>
              <w:rPr>
                <w:sz w:val="1"/>
                <w:szCs w:val="1"/>
                <w:color w:val="auto"/>
              </w:rPr>
            </w:pPr>
          </w:p>
        </w:tc>
      </w:tr>
      <w:tr>
        <w:trPr>
          <w:trHeight w:val="427"/>
        </w:trPr>
        <w:tc>
          <w:tcPr>
            <w:tcW w:w="5960" w:type="dxa"/>
            <w:vAlign w:val="bottom"/>
          </w:tcPr>
          <w:p>
            <w:pPr>
              <w:spacing w:after="0"/>
              <w:rPr>
                <w:sz w:val="20"/>
                <w:szCs w:val="20"/>
                <w:color w:val="auto"/>
              </w:rPr>
            </w:pPr>
            <w:r>
              <w:rPr>
                <w:rFonts w:ascii="Arial" w:cs="Arial" w:eastAsia="Arial" w:hAnsi="Arial"/>
                <w:sz w:val="18"/>
                <w:szCs w:val="18"/>
                <w:color w:val="auto"/>
              </w:rPr>
              <w:t>Total</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180,539</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180,539</w:t>
            </w:r>
          </w:p>
        </w:tc>
        <w:tc>
          <w:tcPr>
            <w:tcW w:w="0" w:type="dxa"/>
            <w:vAlign w:val="bottom"/>
          </w:tcPr>
          <w:p>
            <w:pPr>
              <w:spacing w:after="0"/>
              <w:rPr>
                <w:sz w:val="1"/>
                <w:szCs w:val="1"/>
                <w:color w:val="auto"/>
              </w:rPr>
            </w:pPr>
          </w:p>
        </w:tc>
      </w:tr>
      <w:tr>
        <w:trPr>
          <w:trHeight w:val="22"/>
        </w:trPr>
        <w:tc>
          <w:tcPr>
            <w:tcW w:w="5960" w:type="dxa"/>
            <w:vAlign w:val="bottom"/>
            <w:vMerge w:val="restart"/>
          </w:tcPr>
          <w:p>
            <w:pPr>
              <w:spacing w:after="0"/>
              <w:rPr>
                <w:sz w:val="20"/>
                <w:szCs w:val="20"/>
                <w:color w:val="auto"/>
              </w:rPr>
            </w:pPr>
            <w:r>
              <w:rPr>
                <w:rFonts w:ascii="Arial" w:cs="Arial" w:eastAsia="Arial" w:hAnsi="Arial"/>
                <w:sz w:val="18"/>
                <w:szCs w:val="18"/>
                <w:b w:val="1"/>
                <w:bCs w:val="1"/>
                <w:color w:val="auto"/>
              </w:rPr>
              <w:t>June 30, 2012</w:t>
            </w: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4"/>
        </w:trPr>
        <w:tc>
          <w:tcPr>
            <w:tcW w:w="5960" w:type="dxa"/>
            <w:vAlign w:val="bottom"/>
            <w:tcBorders>
              <w:bottom w:val="single" w:sz="8" w:color="auto"/>
            </w:tcBorders>
            <w:vMerge w:val="continue"/>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5960" w:type="dxa"/>
            <w:vAlign w:val="bottom"/>
          </w:tcPr>
          <w:p>
            <w:pPr>
              <w:spacing w:after="0" w:line="200" w:lineRule="exact"/>
              <w:rPr>
                <w:sz w:val="20"/>
                <w:szCs w:val="20"/>
                <w:color w:val="auto"/>
              </w:rPr>
            </w:pPr>
            <w:r>
              <w:rPr>
                <w:rFonts w:ascii="Arial" w:cs="Arial" w:eastAsia="Arial" w:hAnsi="Arial"/>
                <w:sz w:val="18"/>
                <w:szCs w:val="18"/>
                <w:b w:val="1"/>
                <w:bCs w:val="1"/>
                <w:color w:val="auto"/>
              </w:rPr>
              <w:t>Assets</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5960" w:type="dxa"/>
            <w:vAlign w:val="bottom"/>
          </w:tcPr>
          <w:p>
            <w:pPr>
              <w:ind w:left="160"/>
              <w:spacing w:after="0"/>
              <w:rPr>
                <w:sz w:val="20"/>
                <w:szCs w:val="20"/>
                <w:color w:val="auto"/>
              </w:rPr>
            </w:pPr>
            <w:r>
              <w:rPr>
                <w:rFonts w:ascii="Arial" w:cs="Arial" w:eastAsia="Arial" w:hAnsi="Arial"/>
                <w:sz w:val="18"/>
                <w:szCs w:val="18"/>
                <w:color w:val="auto"/>
              </w:rPr>
              <w:t>Loans</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160,266</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160,266</w:t>
            </w:r>
          </w:p>
        </w:tc>
        <w:tc>
          <w:tcPr>
            <w:tcW w:w="0" w:type="dxa"/>
            <w:vAlign w:val="bottom"/>
          </w:tcPr>
          <w:p>
            <w:pPr>
              <w:spacing w:after="0"/>
              <w:rPr>
                <w:sz w:val="1"/>
                <w:szCs w:val="1"/>
                <w:color w:val="auto"/>
              </w:rPr>
            </w:pPr>
          </w:p>
        </w:tc>
      </w:tr>
      <w:tr>
        <w:trPr>
          <w:trHeight w:val="235"/>
        </w:trPr>
        <w:tc>
          <w:tcPr>
            <w:tcW w:w="5960" w:type="dxa"/>
            <w:vAlign w:val="bottom"/>
          </w:tcPr>
          <w:p>
            <w:pPr>
              <w:ind w:left="160"/>
              <w:spacing w:after="0"/>
              <w:rPr>
                <w:sz w:val="20"/>
                <w:szCs w:val="20"/>
                <w:color w:val="auto"/>
              </w:rPr>
            </w:pPr>
            <w:r>
              <w:rPr>
                <w:rFonts w:ascii="Arial" w:cs="Arial" w:eastAsia="Arial" w:hAnsi="Arial"/>
                <w:sz w:val="18"/>
                <w:szCs w:val="18"/>
                <w:color w:val="auto"/>
              </w:rPr>
              <w:t>Foreclosed properties</w:t>
            </w: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25,253</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25,253</w:t>
            </w:r>
          </w:p>
        </w:tc>
        <w:tc>
          <w:tcPr>
            <w:tcW w:w="0" w:type="dxa"/>
            <w:vAlign w:val="bottom"/>
          </w:tcPr>
          <w:p>
            <w:pPr>
              <w:spacing w:after="0"/>
              <w:rPr>
                <w:sz w:val="1"/>
                <w:szCs w:val="1"/>
                <w:color w:val="auto"/>
              </w:rPr>
            </w:pPr>
          </w:p>
        </w:tc>
      </w:tr>
      <w:tr>
        <w:trPr>
          <w:trHeight w:val="428"/>
        </w:trPr>
        <w:tc>
          <w:tcPr>
            <w:tcW w:w="5960" w:type="dxa"/>
            <w:vAlign w:val="bottom"/>
          </w:tcPr>
          <w:p>
            <w:pPr>
              <w:spacing w:after="0"/>
              <w:rPr>
                <w:sz w:val="20"/>
                <w:szCs w:val="20"/>
                <w:color w:val="auto"/>
              </w:rPr>
            </w:pPr>
            <w:r>
              <w:rPr>
                <w:rFonts w:ascii="Arial" w:cs="Arial" w:eastAsia="Arial" w:hAnsi="Arial"/>
                <w:sz w:val="18"/>
                <w:szCs w:val="18"/>
                <w:color w:val="auto"/>
              </w:rPr>
              <w:t>Total</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185,519</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185,519</w:t>
            </w:r>
          </w:p>
        </w:tc>
        <w:tc>
          <w:tcPr>
            <w:tcW w:w="0" w:type="dxa"/>
            <w:vAlign w:val="bottom"/>
          </w:tcPr>
          <w:p>
            <w:pPr>
              <w:spacing w:after="0"/>
              <w:rPr>
                <w:sz w:val="1"/>
                <w:szCs w:val="1"/>
                <w:color w:val="auto"/>
              </w:rPr>
            </w:pPr>
          </w:p>
        </w:tc>
      </w:tr>
      <w:tr>
        <w:trPr>
          <w:trHeight w:val="21"/>
        </w:trPr>
        <w:tc>
          <w:tcPr>
            <w:tcW w:w="5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Loans that are reported above as being measured at fair value on a non-recurring basis are generally impaired loans that have either been partially charged off or have specific reserves assigned to them. Nonaccrual impaired loans that are collateral dependent are generally written down to 80% of appraised value which considers the estimated costs to sell. Specific reserves are established for impaired loans based on appraised value of collateral or discounted cash flows. Foreclosed properties that are included above as measured at fair value on a nonrecurring basis are those properties that resulted from a loan that had been charged down or have been written down subsequent to foreclosure. Foreclosed properties are generally recorded at the lower of 80% of appraised value or 90% of the asking price which considers the estimated cost to sell.</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Assets and Liabilities Not Measured at Fair Value</w:t>
      </w:r>
    </w:p>
    <w:p>
      <w:pPr>
        <w:spacing w:after="0" w:line="25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For financial instruments that have quoted market prices, those quotes are used to determine fair value. Financial instruments that have no defined maturity, have a remaining maturity of 180 days or less, or reprice frequently to a market rate, are assumed to have a fair value that approximates the reported book value, after taking into consideration any applicable credit risk. If no market quotes are available, financial instruments are valued by discounting the expected cash flows using an estimated current market interest rate for the financial instrument. For off-balance sheet derivative instruments, fair value is estimated as the amount that United would receive or pay to terminate the contracts at the reporting date, taking into account the current unrealized gains or losses on open contracts.</w:t>
      </w:r>
    </w:p>
    <w:p>
      <w:pPr>
        <w:spacing w:after="0" w:line="21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short maturity of United’s assets and liabilities results in having a significant number of financial instruments whose fair value equals or closely approximates carrying value. Such financial instruments are reported in the following balance sheet captions: cash and cash equivalents, mortgage loans held for sale and short-term borrowings. The fair value of securities available-for-sale equals the balance sheet value. Due to the short-term settlement of accrued interest receivable and payable, the carrying amount closely approximates fair value.</w:t>
      </w:r>
    </w:p>
    <w:p>
      <w:pPr>
        <w:spacing w:after="0" w:line="21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Fair value estimates are made at a specific point in time, based on relevant market information and information about the financial instrument. These estimates do not reflect the premium or discount on any particular financial instrument that could result from the sale of United’s entire holdings. Because no ready market exists for a significant portion of United’s financial instruments, fair value estimates are based on many judgments. These estimates are subjective in nature and involve uncertainties and matters of significant judgment and therefore cannot be determined with precision. Changes in assumptions could significantly affect the estimates.</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13970</wp:posOffset>
            </wp:positionV>
            <wp:extent cx="724789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7890" cy="8255"/>
                    </a:xfrm>
                    <a:prstGeom prst="rect">
                      <a:avLst/>
                    </a:prstGeom>
                    <a:noFill/>
                  </pic:spPr>
                </pic:pic>
              </a:graphicData>
            </a:graphic>
          </wp:anchor>
        </w:drawing>
      </w:r>
    </w:p>
    <w:p>
      <w:pPr>
        <w:sectPr>
          <w:pgSz w:w="11900" w:h="16838" w:orient="portrait"/>
          <w:cols w:equalWidth="0" w:num="1">
            <w:col w:w="11420"/>
          </w:cols>
          <w:pgMar w:left="240" w:top="1153" w:right="239" w:bottom="1440" w:gutter="0" w:footer="0" w:header="0"/>
        </w:sectPr>
      </w:pPr>
    </w:p>
    <w:bookmarkStart w:id="38" w:name="page39"/>
    <w:bookmarkEnd w:id="38"/>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Fair value estimates are based on existing on and off-balance sheet financial instruments without attempting to estimate the value of anticipated future business and the value of assets and liabilities that are not considered financial instruments. Significant assets and liabilities that are not considered financial instruments include the mortgage banking operation, brokerage network, deferred income taxes, premises and equipment and goodwill. In addition, the tax ramifications related to the realization of the unrealized gains and losses can have a significant effect on fair value estimates and have not been considered in the estimates.</w:t>
      </w:r>
    </w:p>
    <w:p>
      <w:pPr>
        <w:spacing w:after="0" w:line="218"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Off-balance sheet instruments (commitments to extend credit and standby letters of credit) are generally short-term and at variable rates. Therefore, both the carrying amount and the estimated fair value associated with these instruments are immaterial.</w:t>
      </w:r>
    </w:p>
    <w:p>
      <w:pPr>
        <w:spacing w:after="0" w:line="202"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 xml:space="preserve">The carrying amount and fair values for other financial instruments that are not measured at fair value on a recurring basis in United’s balance sheet at June 30, 2013, December 31, 2012, and June 30, 2012 are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5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231"/>
              <w:spacing w:after="0"/>
              <w:rPr>
                <w:sz w:val="20"/>
                <w:szCs w:val="20"/>
                <w:color w:val="auto"/>
              </w:rPr>
            </w:pPr>
            <w:r>
              <w:rPr>
                <w:rFonts w:ascii="Arial" w:cs="Arial" w:eastAsia="Arial" w:hAnsi="Arial"/>
                <w:sz w:val="18"/>
                <w:szCs w:val="18"/>
                <w:b w:val="1"/>
                <w:bCs w:val="1"/>
                <w:color w:val="auto"/>
                <w:w w:val="99"/>
              </w:rPr>
              <w:t>Carrying</w:t>
            </w:r>
          </w:p>
        </w:tc>
        <w:tc>
          <w:tcPr>
            <w:tcW w:w="120" w:type="dxa"/>
            <w:vAlign w:val="bottom"/>
          </w:tcPr>
          <w:p>
            <w:pPr>
              <w:spacing w:after="0"/>
              <w:rPr>
                <w:sz w:val="21"/>
                <w:szCs w:val="21"/>
                <w:color w:val="auto"/>
              </w:rPr>
            </w:pPr>
          </w:p>
        </w:tc>
        <w:tc>
          <w:tcPr>
            <w:tcW w:w="960" w:type="dxa"/>
            <w:vAlign w:val="bottom"/>
            <w:tcBorders>
              <w:top w:val="single" w:sz="8" w:color="auto"/>
              <w:bottom w:val="single" w:sz="8" w:color="auto"/>
            </w:tcBorders>
          </w:tcPr>
          <w:p>
            <w:pPr>
              <w:spacing w:after="0"/>
              <w:rPr>
                <w:sz w:val="21"/>
                <w:szCs w:val="21"/>
                <w:color w:val="auto"/>
              </w:rPr>
            </w:pPr>
          </w:p>
        </w:tc>
        <w:tc>
          <w:tcPr>
            <w:tcW w:w="280" w:type="dxa"/>
            <w:vAlign w:val="bottom"/>
            <w:tcBorders>
              <w:top w:val="single" w:sz="8" w:color="auto"/>
              <w:bottom w:val="single" w:sz="8" w:color="auto"/>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2400" w:type="dxa"/>
            <w:vAlign w:val="bottom"/>
            <w:tcBorders>
              <w:top w:val="single" w:sz="8" w:color="auto"/>
              <w:bottom w:val="single" w:sz="8" w:color="auto"/>
            </w:tcBorders>
            <w:gridSpan w:val="4"/>
          </w:tcPr>
          <w:p>
            <w:pPr>
              <w:jc w:val="right"/>
              <w:ind w:right="611"/>
              <w:spacing w:after="0"/>
              <w:rPr>
                <w:sz w:val="20"/>
                <w:szCs w:val="20"/>
                <w:color w:val="auto"/>
              </w:rPr>
            </w:pPr>
            <w:r>
              <w:rPr>
                <w:rFonts w:ascii="Arial" w:cs="Arial" w:eastAsia="Arial" w:hAnsi="Arial"/>
                <w:sz w:val="18"/>
                <w:szCs w:val="18"/>
                <w:b w:val="1"/>
                <w:bCs w:val="1"/>
                <w:color w:val="auto"/>
              </w:rPr>
              <w:t>Fair Value Level</w:t>
            </w:r>
          </w:p>
        </w:tc>
        <w:tc>
          <w:tcPr>
            <w:tcW w:w="120" w:type="dxa"/>
            <w:vAlign w:val="bottom"/>
            <w:tcBorders>
              <w:top w:val="single" w:sz="8" w:color="auto"/>
              <w:bottom w:val="single" w:sz="8" w:color="auto"/>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1040" w:type="dxa"/>
            <w:vAlign w:val="bottom"/>
            <w:tcBorders>
              <w:top w:val="single" w:sz="8" w:color="auto"/>
              <w:bottom w:val="single" w:sz="8" w:color="auto"/>
            </w:tcBorders>
          </w:tcPr>
          <w:p>
            <w:pPr>
              <w:spacing w:after="0"/>
              <w:rPr>
                <w:sz w:val="21"/>
                <w:szCs w:val="21"/>
                <w:color w:val="auto"/>
              </w:rPr>
            </w:pPr>
          </w:p>
        </w:tc>
        <w:tc>
          <w:tcPr>
            <w:tcW w:w="580" w:type="dxa"/>
            <w:vAlign w:val="bottom"/>
          </w:tcPr>
          <w:p>
            <w:pPr>
              <w:spacing w:after="0"/>
              <w:rPr>
                <w:sz w:val="21"/>
                <w:szCs w:val="21"/>
                <w:color w:val="auto"/>
              </w:rPr>
            </w:pPr>
          </w:p>
        </w:tc>
      </w:tr>
      <w:tr>
        <w:trPr>
          <w:trHeight w:val="221"/>
        </w:trPr>
        <w:tc>
          <w:tcPr>
            <w:tcW w:w="580" w:type="dxa"/>
            <w:vAlign w:val="bottom"/>
          </w:tcPr>
          <w:p>
            <w:pPr>
              <w:spacing w:after="0"/>
              <w:rPr>
                <w:sz w:val="19"/>
                <w:szCs w:val="19"/>
                <w:color w:val="auto"/>
              </w:rPr>
            </w:pPr>
          </w:p>
        </w:tc>
        <w:tc>
          <w:tcPr>
            <w:tcW w:w="3480" w:type="dxa"/>
            <w:vAlign w:val="bottom"/>
            <w:gridSpan w:val="2"/>
          </w:tcPr>
          <w:p>
            <w:pPr>
              <w:spacing w:after="0"/>
              <w:rPr>
                <w:sz w:val="20"/>
                <w:szCs w:val="20"/>
                <w:color w:val="auto"/>
              </w:rPr>
            </w:pPr>
            <w:r>
              <w:rPr>
                <w:rFonts w:ascii="Arial" w:cs="Arial" w:eastAsia="Arial" w:hAnsi="Arial"/>
                <w:sz w:val="18"/>
                <w:szCs w:val="18"/>
                <w:b w:val="1"/>
                <w:bCs w:val="1"/>
                <w:color w:val="auto"/>
              </w:rPr>
              <w:t>June 30, 2013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ind w:right="271"/>
              <w:spacing w:after="0"/>
              <w:rPr>
                <w:sz w:val="20"/>
                <w:szCs w:val="20"/>
                <w:color w:val="auto"/>
              </w:rPr>
            </w:pPr>
            <w:r>
              <w:rPr>
                <w:rFonts w:ascii="Arial" w:cs="Arial" w:eastAsia="Arial" w:hAnsi="Arial"/>
                <w:sz w:val="18"/>
                <w:szCs w:val="18"/>
                <w:b w:val="1"/>
                <w:bCs w:val="1"/>
                <w:color w:val="auto"/>
              </w:rPr>
              <w:t>Amount</w:t>
            </w:r>
          </w:p>
        </w:tc>
        <w:tc>
          <w:tcPr>
            <w:tcW w:w="120" w:type="dxa"/>
            <w:vAlign w:val="bottom"/>
          </w:tcPr>
          <w:p>
            <w:pPr>
              <w:spacing w:after="0"/>
              <w:rPr>
                <w:sz w:val="19"/>
                <w:szCs w:val="19"/>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b w:val="1"/>
                <w:bCs w:val="1"/>
                <w:color w:val="auto"/>
              </w:rPr>
              <w:t>Level 1</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ind w:right="311"/>
              <w:spacing w:after="0"/>
              <w:rPr>
                <w:sz w:val="20"/>
                <w:szCs w:val="20"/>
                <w:color w:val="auto"/>
              </w:rPr>
            </w:pPr>
            <w:r>
              <w:rPr>
                <w:rFonts w:ascii="Arial" w:cs="Arial" w:eastAsia="Arial" w:hAnsi="Arial"/>
                <w:sz w:val="18"/>
                <w:szCs w:val="18"/>
                <w:b w:val="1"/>
                <w:bCs w:val="1"/>
                <w:color w:val="auto"/>
              </w:rPr>
              <w:t>Level 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ind w:right="311"/>
              <w:spacing w:after="0"/>
              <w:rPr>
                <w:sz w:val="20"/>
                <w:szCs w:val="20"/>
                <w:color w:val="auto"/>
              </w:rPr>
            </w:pPr>
            <w:r>
              <w:rPr>
                <w:rFonts w:ascii="Arial" w:cs="Arial" w:eastAsia="Arial" w:hAnsi="Arial"/>
                <w:sz w:val="18"/>
                <w:szCs w:val="18"/>
                <w:b w:val="1"/>
                <w:bCs w:val="1"/>
                <w:color w:val="auto"/>
              </w:rPr>
              <w:t>Level 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ind w:right="411"/>
              <w:spacing w:after="0"/>
              <w:rPr>
                <w:sz w:val="20"/>
                <w:szCs w:val="20"/>
                <w:color w:val="auto"/>
              </w:rPr>
            </w:pPr>
            <w:r>
              <w:rPr>
                <w:rFonts w:ascii="Arial" w:cs="Arial" w:eastAsia="Arial" w:hAnsi="Arial"/>
                <w:sz w:val="18"/>
                <w:szCs w:val="18"/>
                <w:b w:val="1"/>
                <w:bCs w:val="1"/>
                <w:color w:val="auto"/>
              </w:rPr>
              <w:t>Total</w:t>
            </w:r>
          </w:p>
        </w:tc>
        <w:tc>
          <w:tcPr>
            <w:tcW w:w="580" w:type="dxa"/>
            <w:vAlign w:val="bottom"/>
          </w:tcPr>
          <w:p>
            <w:pPr>
              <w:spacing w:after="0"/>
              <w:rPr>
                <w:sz w:val="19"/>
                <w:szCs w:val="19"/>
                <w:color w:val="auto"/>
              </w:rPr>
            </w:pPr>
          </w:p>
        </w:tc>
      </w:tr>
      <w:tr>
        <w:trPr>
          <w:trHeight w:val="200"/>
        </w:trPr>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60" w:type="dxa"/>
            <w:vAlign w:val="bottom"/>
            <w:tcBorders>
              <w:top w:val="single" w:sz="8" w:color="auto"/>
            </w:tcBorders>
          </w:tcPr>
          <w:p>
            <w:pPr>
              <w:spacing w:after="0" w:line="200" w:lineRule="exact"/>
              <w:rPr>
                <w:sz w:val="20"/>
                <w:szCs w:val="20"/>
                <w:color w:val="auto"/>
              </w:rPr>
            </w:pPr>
            <w:r>
              <w:rPr>
                <w:rFonts w:ascii="Arial" w:cs="Arial" w:eastAsia="Arial" w:hAnsi="Arial"/>
                <w:sz w:val="18"/>
                <w:szCs w:val="18"/>
                <w:color w:val="auto"/>
              </w:rPr>
              <w:t>Assets:</w:t>
            </w: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580" w:type="dxa"/>
            <w:vAlign w:val="bottom"/>
          </w:tcPr>
          <w:p>
            <w:pPr>
              <w:spacing w:after="0"/>
              <w:rPr>
                <w:sz w:val="17"/>
                <w:szCs w:val="17"/>
                <w:color w:val="auto"/>
              </w:rPr>
            </w:pPr>
          </w:p>
        </w:tc>
      </w:tr>
      <w:tr>
        <w:trPr>
          <w:trHeight w:val="214"/>
        </w:trPr>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60" w:type="dxa"/>
            <w:vAlign w:val="bottom"/>
          </w:tcPr>
          <w:p>
            <w:pPr>
              <w:ind w:left="160"/>
              <w:spacing w:after="0"/>
              <w:rPr>
                <w:sz w:val="20"/>
                <w:szCs w:val="20"/>
                <w:color w:val="auto"/>
              </w:rPr>
            </w:pPr>
            <w:r>
              <w:rPr>
                <w:rFonts w:ascii="Arial" w:cs="Arial" w:eastAsia="Arial" w:hAnsi="Arial"/>
                <w:sz w:val="18"/>
                <w:szCs w:val="18"/>
                <w:color w:val="auto"/>
              </w:rPr>
              <w:t>Securities held to maturity</w:t>
            </w:r>
          </w:p>
        </w:tc>
        <w:tc>
          <w:tcPr>
            <w:tcW w:w="2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214,947</w:t>
            </w:r>
          </w:p>
        </w:tc>
        <w:tc>
          <w:tcPr>
            <w:tcW w:w="1080" w:type="dxa"/>
            <w:vAlign w:val="bottom"/>
            <w:gridSpan w:val="2"/>
          </w:tcPr>
          <w:p>
            <w:pPr>
              <w:jc w:val="right"/>
              <w:ind w:right="791"/>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226,695</w:t>
            </w:r>
          </w:p>
        </w:tc>
        <w:tc>
          <w:tcPr>
            <w:tcW w:w="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226,695</w:t>
            </w:r>
          </w:p>
        </w:tc>
        <w:tc>
          <w:tcPr>
            <w:tcW w:w="580" w:type="dxa"/>
            <w:vAlign w:val="bottom"/>
          </w:tcPr>
          <w:p>
            <w:pPr>
              <w:spacing w:after="0"/>
              <w:rPr>
                <w:sz w:val="18"/>
                <w:szCs w:val="18"/>
                <w:color w:val="auto"/>
              </w:rPr>
            </w:pPr>
          </w:p>
        </w:tc>
      </w:tr>
      <w:tr>
        <w:trPr>
          <w:trHeight w:val="214"/>
        </w:trPr>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60" w:type="dxa"/>
            <w:vAlign w:val="bottom"/>
          </w:tcPr>
          <w:p>
            <w:pPr>
              <w:ind w:left="160"/>
              <w:spacing w:after="0"/>
              <w:rPr>
                <w:sz w:val="20"/>
                <w:szCs w:val="20"/>
                <w:color w:val="auto"/>
              </w:rPr>
            </w:pPr>
            <w:r>
              <w:rPr>
                <w:rFonts w:ascii="Arial" w:cs="Arial" w:eastAsia="Arial" w:hAnsi="Arial"/>
                <w:sz w:val="18"/>
                <w:szCs w:val="18"/>
                <w:color w:val="auto"/>
              </w:rPr>
              <w:t>Loans, net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4,107,523</w:t>
            </w: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4,048,174</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4,048,174</w:t>
            </w:r>
          </w:p>
        </w:tc>
        <w:tc>
          <w:tcPr>
            <w:tcW w:w="580" w:type="dxa"/>
            <w:vAlign w:val="bottom"/>
          </w:tcPr>
          <w:p>
            <w:pPr>
              <w:spacing w:after="0"/>
              <w:rPr>
                <w:sz w:val="18"/>
                <w:szCs w:val="18"/>
                <w:color w:val="auto"/>
              </w:rPr>
            </w:pPr>
          </w:p>
        </w:tc>
      </w:tr>
      <w:tr>
        <w:trPr>
          <w:trHeight w:val="227"/>
        </w:trPr>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60" w:type="dxa"/>
            <w:vAlign w:val="bottom"/>
          </w:tcPr>
          <w:p>
            <w:pPr>
              <w:ind w:left="160"/>
              <w:spacing w:after="0"/>
              <w:rPr>
                <w:sz w:val="20"/>
                <w:szCs w:val="20"/>
                <w:color w:val="auto"/>
              </w:rPr>
            </w:pPr>
            <w:r>
              <w:rPr>
                <w:rFonts w:ascii="Arial" w:cs="Arial" w:eastAsia="Arial" w:hAnsi="Arial"/>
                <w:sz w:val="18"/>
                <w:szCs w:val="18"/>
                <w:color w:val="auto"/>
              </w:rPr>
              <w:t>Mortgage loans held for sale</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19,150</w:t>
            </w: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19,511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19,511</w:t>
            </w:r>
          </w:p>
        </w:tc>
        <w:tc>
          <w:tcPr>
            <w:tcW w:w="580" w:type="dxa"/>
            <w:vAlign w:val="bottom"/>
          </w:tcPr>
          <w:p>
            <w:pPr>
              <w:spacing w:after="0"/>
              <w:rPr>
                <w:sz w:val="19"/>
                <w:szCs w:val="19"/>
                <w:color w:val="auto"/>
              </w:rPr>
            </w:pPr>
          </w:p>
        </w:tc>
      </w:tr>
      <w:tr>
        <w:trPr>
          <w:trHeight w:val="416"/>
        </w:trPr>
        <w:tc>
          <w:tcPr>
            <w:tcW w:w="580" w:type="dxa"/>
            <w:vAlign w:val="bottom"/>
          </w:tcPr>
          <w:p>
            <w:pPr>
              <w:spacing w:after="0"/>
              <w:rPr>
                <w:sz w:val="24"/>
                <w:szCs w:val="24"/>
                <w:color w:val="auto"/>
              </w:rPr>
            </w:pPr>
          </w:p>
        </w:tc>
        <w:tc>
          <w:tcPr>
            <w:tcW w:w="3480" w:type="dxa"/>
            <w:vAlign w:val="bottom"/>
            <w:gridSpan w:val="2"/>
          </w:tcPr>
          <w:p>
            <w:pPr>
              <w:spacing w:after="0"/>
              <w:rPr>
                <w:sz w:val="20"/>
                <w:szCs w:val="20"/>
                <w:color w:val="auto"/>
              </w:rPr>
            </w:pPr>
            <w:r>
              <w:rPr>
                <w:rFonts w:ascii="Arial" w:cs="Arial" w:eastAsia="Arial" w:hAnsi="Arial"/>
                <w:sz w:val="18"/>
                <w:szCs w:val="18"/>
                <w:color w:val="auto"/>
              </w:rPr>
              <w:t>Liabilities:</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214"/>
        </w:trPr>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60" w:type="dxa"/>
            <w:vAlign w:val="bottom"/>
          </w:tcPr>
          <w:p>
            <w:pPr>
              <w:ind w:left="160"/>
              <w:spacing w:after="0"/>
              <w:rPr>
                <w:sz w:val="20"/>
                <w:szCs w:val="20"/>
                <w:color w:val="auto"/>
              </w:rPr>
            </w:pPr>
            <w:r>
              <w:rPr>
                <w:rFonts w:ascii="Arial" w:cs="Arial" w:eastAsia="Arial" w:hAnsi="Arial"/>
                <w:sz w:val="18"/>
                <w:szCs w:val="18"/>
                <w:color w:val="auto"/>
              </w:rPr>
              <w:t>Deposits</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6,011,829</w:t>
            </w: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5,986,591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5,986,591</w:t>
            </w:r>
          </w:p>
        </w:tc>
        <w:tc>
          <w:tcPr>
            <w:tcW w:w="580" w:type="dxa"/>
            <w:vAlign w:val="bottom"/>
          </w:tcPr>
          <w:p>
            <w:pPr>
              <w:spacing w:after="0"/>
              <w:rPr>
                <w:sz w:val="18"/>
                <w:szCs w:val="18"/>
                <w:color w:val="auto"/>
              </w:rPr>
            </w:pPr>
          </w:p>
        </w:tc>
      </w:tr>
      <w:tr>
        <w:trPr>
          <w:trHeight w:val="214"/>
        </w:trPr>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60" w:type="dxa"/>
            <w:vAlign w:val="bottom"/>
          </w:tcPr>
          <w:p>
            <w:pPr>
              <w:ind w:left="160"/>
              <w:spacing w:after="0"/>
              <w:rPr>
                <w:sz w:val="20"/>
                <w:szCs w:val="20"/>
                <w:color w:val="auto"/>
              </w:rPr>
            </w:pPr>
            <w:r>
              <w:rPr>
                <w:rFonts w:ascii="Arial" w:cs="Arial" w:eastAsia="Arial" w:hAnsi="Arial"/>
                <w:sz w:val="18"/>
                <w:szCs w:val="18"/>
                <w:color w:val="auto"/>
              </w:rPr>
              <w:t>Federal Home Loan Bank advances</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70,125</w:t>
            </w: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70,125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70,125</w:t>
            </w:r>
          </w:p>
        </w:tc>
        <w:tc>
          <w:tcPr>
            <w:tcW w:w="580" w:type="dxa"/>
            <w:vAlign w:val="bottom"/>
          </w:tcPr>
          <w:p>
            <w:pPr>
              <w:spacing w:after="0"/>
              <w:rPr>
                <w:sz w:val="18"/>
                <w:szCs w:val="18"/>
                <w:color w:val="auto"/>
              </w:rPr>
            </w:pPr>
          </w:p>
        </w:tc>
      </w:tr>
      <w:tr>
        <w:trPr>
          <w:trHeight w:val="227"/>
        </w:trPr>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60" w:type="dxa"/>
            <w:vAlign w:val="bottom"/>
          </w:tcPr>
          <w:p>
            <w:pPr>
              <w:ind w:left="160"/>
              <w:spacing w:after="0"/>
              <w:rPr>
                <w:sz w:val="20"/>
                <w:szCs w:val="20"/>
                <w:color w:val="auto"/>
              </w:rPr>
            </w:pPr>
            <w:r>
              <w:rPr>
                <w:rFonts w:ascii="Arial" w:cs="Arial" w:eastAsia="Arial" w:hAnsi="Arial"/>
                <w:sz w:val="18"/>
                <w:szCs w:val="18"/>
                <w:color w:val="auto"/>
              </w:rPr>
              <w:t>Long-term debt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124,845</w:t>
            </w: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123,650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123,650</w:t>
            </w:r>
          </w:p>
        </w:tc>
        <w:tc>
          <w:tcPr>
            <w:tcW w:w="580" w:type="dxa"/>
            <w:vAlign w:val="bottom"/>
          </w:tcPr>
          <w:p>
            <w:pPr>
              <w:spacing w:after="0"/>
              <w:rPr>
                <w:sz w:val="19"/>
                <w:szCs w:val="19"/>
                <w:color w:val="auto"/>
              </w:rPr>
            </w:pPr>
          </w:p>
        </w:tc>
      </w:tr>
      <w:tr>
        <w:trPr>
          <w:trHeight w:val="437"/>
        </w:trPr>
        <w:tc>
          <w:tcPr>
            <w:tcW w:w="580" w:type="dxa"/>
            <w:vAlign w:val="bottom"/>
          </w:tcPr>
          <w:p>
            <w:pPr>
              <w:spacing w:after="0"/>
              <w:rPr>
                <w:sz w:val="24"/>
                <w:szCs w:val="24"/>
                <w:color w:val="auto"/>
              </w:rPr>
            </w:pPr>
          </w:p>
        </w:tc>
        <w:tc>
          <w:tcPr>
            <w:tcW w:w="348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December 31, 2012</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200"/>
        </w:trPr>
        <w:tc>
          <w:tcPr>
            <w:tcW w:w="580" w:type="dxa"/>
            <w:vAlign w:val="bottom"/>
          </w:tcPr>
          <w:p>
            <w:pPr>
              <w:spacing w:after="0"/>
              <w:rPr>
                <w:sz w:val="17"/>
                <w:szCs w:val="17"/>
                <w:color w:val="auto"/>
              </w:rPr>
            </w:pPr>
          </w:p>
        </w:tc>
        <w:tc>
          <w:tcPr>
            <w:tcW w:w="3480" w:type="dxa"/>
            <w:vAlign w:val="bottom"/>
            <w:gridSpan w:val="2"/>
          </w:tcPr>
          <w:p>
            <w:pPr>
              <w:spacing w:after="0" w:line="200" w:lineRule="exact"/>
              <w:rPr>
                <w:sz w:val="20"/>
                <w:szCs w:val="20"/>
                <w:color w:val="auto"/>
              </w:rPr>
            </w:pPr>
            <w:r>
              <w:rPr>
                <w:rFonts w:ascii="Arial" w:cs="Arial" w:eastAsia="Arial" w:hAnsi="Arial"/>
                <w:sz w:val="18"/>
                <w:szCs w:val="18"/>
                <w:color w:val="auto"/>
              </w:rPr>
              <w:t>Assets:</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214"/>
        </w:trPr>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60" w:type="dxa"/>
            <w:vAlign w:val="bottom"/>
          </w:tcPr>
          <w:p>
            <w:pPr>
              <w:ind w:left="160"/>
              <w:spacing w:after="0"/>
              <w:rPr>
                <w:sz w:val="20"/>
                <w:szCs w:val="20"/>
                <w:color w:val="auto"/>
              </w:rPr>
            </w:pPr>
            <w:r>
              <w:rPr>
                <w:rFonts w:ascii="Arial" w:cs="Arial" w:eastAsia="Arial" w:hAnsi="Arial"/>
                <w:sz w:val="18"/>
                <w:szCs w:val="18"/>
                <w:color w:val="auto"/>
              </w:rPr>
              <w:t>Securities held to maturity</w:t>
            </w:r>
          </w:p>
        </w:tc>
        <w:tc>
          <w:tcPr>
            <w:tcW w:w="2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244,184</w:t>
            </w:r>
          </w:p>
        </w:tc>
        <w:tc>
          <w:tcPr>
            <w:tcW w:w="1080" w:type="dxa"/>
            <w:vAlign w:val="bottom"/>
            <w:gridSpan w:val="2"/>
          </w:tcPr>
          <w:p>
            <w:pPr>
              <w:jc w:val="right"/>
              <w:ind w:right="791"/>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261,131</w:t>
            </w:r>
          </w:p>
        </w:tc>
        <w:tc>
          <w:tcPr>
            <w:tcW w:w="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261,131</w:t>
            </w:r>
          </w:p>
        </w:tc>
        <w:tc>
          <w:tcPr>
            <w:tcW w:w="580" w:type="dxa"/>
            <w:vAlign w:val="bottom"/>
          </w:tcPr>
          <w:p>
            <w:pPr>
              <w:spacing w:after="0"/>
              <w:rPr>
                <w:sz w:val="18"/>
                <w:szCs w:val="18"/>
                <w:color w:val="auto"/>
              </w:rPr>
            </w:pPr>
          </w:p>
        </w:tc>
      </w:tr>
      <w:tr>
        <w:trPr>
          <w:trHeight w:val="214"/>
        </w:trPr>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60" w:type="dxa"/>
            <w:vAlign w:val="bottom"/>
          </w:tcPr>
          <w:p>
            <w:pPr>
              <w:ind w:left="160"/>
              <w:spacing w:after="0"/>
              <w:rPr>
                <w:sz w:val="20"/>
                <w:szCs w:val="20"/>
                <w:color w:val="auto"/>
              </w:rPr>
            </w:pPr>
            <w:r>
              <w:rPr>
                <w:rFonts w:ascii="Arial" w:cs="Arial" w:eastAsia="Arial" w:hAnsi="Arial"/>
                <w:sz w:val="18"/>
                <w:szCs w:val="18"/>
                <w:color w:val="auto"/>
              </w:rPr>
              <w:t>Loans, net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4,067,871</w:t>
            </w: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3,957,669</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3,957,669</w:t>
            </w:r>
          </w:p>
        </w:tc>
        <w:tc>
          <w:tcPr>
            <w:tcW w:w="580" w:type="dxa"/>
            <w:vAlign w:val="bottom"/>
          </w:tcPr>
          <w:p>
            <w:pPr>
              <w:spacing w:after="0"/>
              <w:rPr>
                <w:sz w:val="18"/>
                <w:szCs w:val="18"/>
                <w:color w:val="auto"/>
              </w:rPr>
            </w:pPr>
          </w:p>
        </w:tc>
      </w:tr>
      <w:tr>
        <w:trPr>
          <w:trHeight w:val="227"/>
        </w:trPr>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60" w:type="dxa"/>
            <w:vAlign w:val="bottom"/>
          </w:tcPr>
          <w:p>
            <w:pPr>
              <w:ind w:left="160"/>
              <w:spacing w:after="0"/>
              <w:rPr>
                <w:sz w:val="20"/>
                <w:szCs w:val="20"/>
                <w:color w:val="auto"/>
              </w:rPr>
            </w:pPr>
            <w:r>
              <w:rPr>
                <w:rFonts w:ascii="Arial" w:cs="Arial" w:eastAsia="Arial" w:hAnsi="Arial"/>
                <w:sz w:val="18"/>
                <w:szCs w:val="18"/>
                <w:color w:val="auto"/>
              </w:rPr>
              <w:t>Mortgage loans held for sale</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28,821</w:t>
            </w: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29,693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29,693</w:t>
            </w:r>
          </w:p>
        </w:tc>
        <w:tc>
          <w:tcPr>
            <w:tcW w:w="580" w:type="dxa"/>
            <w:vAlign w:val="bottom"/>
          </w:tcPr>
          <w:p>
            <w:pPr>
              <w:spacing w:after="0"/>
              <w:rPr>
                <w:sz w:val="19"/>
                <w:szCs w:val="19"/>
                <w:color w:val="auto"/>
              </w:rPr>
            </w:pPr>
          </w:p>
        </w:tc>
      </w:tr>
      <w:tr>
        <w:trPr>
          <w:trHeight w:val="416"/>
        </w:trPr>
        <w:tc>
          <w:tcPr>
            <w:tcW w:w="580" w:type="dxa"/>
            <w:vAlign w:val="bottom"/>
          </w:tcPr>
          <w:p>
            <w:pPr>
              <w:spacing w:after="0"/>
              <w:rPr>
                <w:sz w:val="24"/>
                <w:szCs w:val="24"/>
                <w:color w:val="auto"/>
              </w:rPr>
            </w:pPr>
          </w:p>
        </w:tc>
        <w:tc>
          <w:tcPr>
            <w:tcW w:w="3480" w:type="dxa"/>
            <w:vAlign w:val="bottom"/>
            <w:gridSpan w:val="2"/>
          </w:tcPr>
          <w:p>
            <w:pPr>
              <w:spacing w:after="0"/>
              <w:rPr>
                <w:sz w:val="20"/>
                <w:szCs w:val="20"/>
                <w:color w:val="auto"/>
              </w:rPr>
            </w:pPr>
            <w:r>
              <w:rPr>
                <w:rFonts w:ascii="Arial" w:cs="Arial" w:eastAsia="Arial" w:hAnsi="Arial"/>
                <w:sz w:val="18"/>
                <w:szCs w:val="18"/>
                <w:color w:val="auto"/>
              </w:rPr>
              <w:t>Liabilities:</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214"/>
        </w:trPr>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60" w:type="dxa"/>
            <w:vAlign w:val="bottom"/>
          </w:tcPr>
          <w:p>
            <w:pPr>
              <w:ind w:left="160"/>
              <w:spacing w:after="0"/>
              <w:rPr>
                <w:sz w:val="20"/>
                <w:szCs w:val="20"/>
                <w:color w:val="auto"/>
              </w:rPr>
            </w:pPr>
            <w:r>
              <w:rPr>
                <w:rFonts w:ascii="Arial" w:cs="Arial" w:eastAsia="Arial" w:hAnsi="Arial"/>
                <w:sz w:val="18"/>
                <w:szCs w:val="18"/>
                <w:color w:val="auto"/>
              </w:rPr>
              <w:t>Deposits</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5,952,140</w:t>
            </w: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5,988,743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5,988,743</w:t>
            </w:r>
          </w:p>
        </w:tc>
        <w:tc>
          <w:tcPr>
            <w:tcW w:w="580" w:type="dxa"/>
            <w:vAlign w:val="bottom"/>
          </w:tcPr>
          <w:p>
            <w:pPr>
              <w:spacing w:after="0"/>
              <w:rPr>
                <w:sz w:val="18"/>
                <w:szCs w:val="18"/>
                <w:color w:val="auto"/>
              </w:rPr>
            </w:pPr>
          </w:p>
        </w:tc>
      </w:tr>
      <w:tr>
        <w:trPr>
          <w:trHeight w:val="214"/>
        </w:trPr>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60" w:type="dxa"/>
            <w:vAlign w:val="bottom"/>
          </w:tcPr>
          <w:p>
            <w:pPr>
              <w:ind w:left="160"/>
              <w:spacing w:after="0"/>
              <w:rPr>
                <w:sz w:val="20"/>
                <w:szCs w:val="20"/>
                <w:color w:val="auto"/>
              </w:rPr>
            </w:pPr>
            <w:r>
              <w:rPr>
                <w:rFonts w:ascii="Arial" w:cs="Arial" w:eastAsia="Arial" w:hAnsi="Arial"/>
                <w:sz w:val="18"/>
                <w:szCs w:val="18"/>
                <w:color w:val="auto"/>
              </w:rPr>
              <w:t>Federal Home Loan Bank advances</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40,125</w:t>
            </w: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40,125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40,125</w:t>
            </w:r>
          </w:p>
        </w:tc>
        <w:tc>
          <w:tcPr>
            <w:tcW w:w="580" w:type="dxa"/>
            <w:vAlign w:val="bottom"/>
          </w:tcPr>
          <w:p>
            <w:pPr>
              <w:spacing w:after="0"/>
              <w:rPr>
                <w:sz w:val="18"/>
                <w:szCs w:val="18"/>
                <w:color w:val="auto"/>
              </w:rPr>
            </w:pPr>
          </w:p>
        </w:tc>
      </w:tr>
      <w:tr>
        <w:trPr>
          <w:trHeight w:val="227"/>
        </w:trPr>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60" w:type="dxa"/>
            <w:vAlign w:val="bottom"/>
          </w:tcPr>
          <w:p>
            <w:pPr>
              <w:ind w:left="160"/>
              <w:spacing w:after="0"/>
              <w:rPr>
                <w:sz w:val="20"/>
                <w:szCs w:val="20"/>
                <w:color w:val="auto"/>
              </w:rPr>
            </w:pPr>
            <w:r>
              <w:rPr>
                <w:rFonts w:ascii="Arial" w:cs="Arial" w:eastAsia="Arial" w:hAnsi="Arial"/>
                <w:sz w:val="18"/>
                <w:szCs w:val="18"/>
                <w:color w:val="auto"/>
              </w:rPr>
              <w:t>Long-term debt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124,805</w:t>
            </w: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118,626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118,626</w:t>
            </w:r>
          </w:p>
        </w:tc>
        <w:tc>
          <w:tcPr>
            <w:tcW w:w="580" w:type="dxa"/>
            <w:vAlign w:val="bottom"/>
          </w:tcPr>
          <w:p>
            <w:pPr>
              <w:spacing w:after="0"/>
              <w:rPr>
                <w:sz w:val="19"/>
                <w:szCs w:val="19"/>
                <w:color w:val="auto"/>
              </w:rPr>
            </w:pPr>
          </w:p>
        </w:tc>
      </w:tr>
      <w:tr>
        <w:trPr>
          <w:trHeight w:val="437"/>
        </w:trPr>
        <w:tc>
          <w:tcPr>
            <w:tcW w:w="580" w:type="dxa"/>
            <w:vAlign w:val="bottom"/>
          </w:tcPr>
          <w:p>
            <w:pPr>
              <w:spacing w:after="0"/>
              <w:rPr>
                <w:sz w:val="24"/>
                <w:szCs w:val="24"/>
                <w:color w:val="auto"/>
              </w:rPr>
            </w:pPr>
          </w:p>
        </w:tc>
        <w:tc>
          <w:tcPr>
            <w:tcW w:w="348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June 30, 2012</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200"/>
        </w:trPr>
        <w:tc>
          <w:tcPr>
            <w:tcW w:w="580" w:type="dxa"/>
            <w:vAlign w:val="bottom"/>
          </w:tcPr>
          <w:p>
            <w:pPr>
              <w:spacing w:after="0"/>
              <w:rPr>
                <w:sz w:val="17"/>
                <w:szCs w:val="17"/>
                <w:color w:val="auto"/>
              </w:rPr>
            </w:pPr>
          </w:p>
        </w:tc>
        <w:tc>
          <w:tcPr>
            <w:tcW w:w="3480" w:type="dxa"/>
            <w:vAlign w:val="bottom"/>
            <w:gridSpan w:val="2"/>
          </w:tcPr>
          <w:p>
            <w:pPr>
              <w:spacing w:after="0" w:line="200" w:lineRule="exact"/>
              <w:rPr>
                <w:sz w:val="20"/>
                <w:szCs w:val="20"/>
                <w:color w:val="auto"/>
              </w:rPr>
            </w:pPr>
            <w:r>
              <w:rPr>
                <w:rFonts w:ascii="Arial" w:cs="Arial" w:eastAsia="Arial" w:hAnsi="Arial"/>
                <w:sz w:val="18"/>
                <w:szCs w:val="18"/>
                <w:color w:val="auto"/>
              </w:rPr>
              <w:t>Assets:</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214"/>
        </w:trPr>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60" w:type="dxa"/>
            <w:vAlign w:val="bottom"/>
          </w:tcPr>
          <w:p>
            <w:pPr>
              <w:ind w:left="160"/>
              <w:spacing w:after="0"/>
              <w:rPr>
                <w:sz w:val="20"/>
                <w:szCs w:val="20"/>
                <w:color w:val="auto"/>
              </w:rPr>
            </w:pPr>
            <w:r>
              <w:rPr>
                <w:rFonts w:ascii="Arial" w:cs="Arial" w:eastAsia="Arial" w:hAnsi="Arial"/>
                <w:sz w:val="18"/>
                <w:szCs w:val="18"/>
                <w:color w:val="auto"/>
              </w:rPr>
              <w:t>Securities held to maturity</w:t>
            </w:r>
          </w:p>
        </w:tc>
        <w:tc>
          <w:tcPr>
            <w:tcW w:w="2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282,750</w:t>
            </w:r>
          </w:p>
        </w:tc>
        <w:tc>
          <w:tcPr>
            <w:tcW w:w="1080" w:type="dxa"/>
            <w:vAlign w:val="bottom"/>
            <w:gridSpan w:val="2"/>
          </w:tcPr>
          <w:p>
            <w:pPr>
              <w:jc w:val="right"/>
              <w:ind w:right="791"/>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299,971</w:t>
            </w:r>
          </w:p>
        </w:tc>
        <w:tc>
          <w:tcPr>
            <w:tcW w:w="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299,971</w:t>
            </w:r>
          </w:p>
        </w:tc>
        <w:tc>
          <w:tcPr>
            <w:tcW w:w="580" w:type="dxa"/>
            <w:vAlign w:val="bottom"/>
          </w:tcPr>
          <w:p>
            <w:pPr>
              <w:spacing w:after="0"/>
              <w:rPr>
                <w:sz w:val="18"/>
                <w:szCs w:val="18"/>
                <w:color w:val="auto"/>
              </w:rPr>
            </w:pPr>
          </w:p>
        </w:tc>
      </w:tr>
      <w:tr>
        <w:trPr>
          <w:trHeight w:val="214"/>
        </w:trPr>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60" w:type="dxa"/>
            <w:vAlign w:val="bottom"/>
          </w:tcPr>
          <w:p>
            <w:pPr>
              <w:ind w:left="160"/>
              <w:spacing w:after="0"/>
              <w:rPr>
                <w:sz w:val="20"/>
                <w:szCs w:val="20"/>
                <w:color w:val="auto"/>
              </w:rPr>
            </w:pPr>
            <w:r>
              <w:rPr>
                <w:rFonts w:ascii="Arial" w:cs="Arial" w:eastAsia="Arial" w:hAnsi="Arial"/>
                <w:sz w:val="18"/>
                <w:szCs w:val="18"/>
                <w:color w:val="auto"/>
              </w:rPr>
              <w:t>Loans, net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4,006,530</w:t>
            </w: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3,830,187</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3,830,187</w:t>
            </w:r>
          </w:p>
        </w:tc>
        <w:tc>
          <w:tcPr>
            <w:tcW w:w="580" w:type="dxa"/>
            <w:vAlign w:val="bottom"/>
          </w:tcPr>
          <w:p>
            <w:pPr>
              <w:spacing w:after="0"/>
              <w:rPr>
                <w:sz w:val="18"/>
                <w:szCs w:val="18"/>
                <w:color w:val="auto"/>
              </w:rPr>
            </w:pPr>
          </w:p>
        </w:tc>
      </w:tr>
      <w:tr>
        <w:trPr>
          <w:trHeight w:val="227"/>
        </w:trPr>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60" w:type="dxa"/>
            <w:vAlign w:val="bottom"/>
          </w:tcPr>
          <w:p>
            <w:pPr>
              <w:ind w:left="160"/>
              <w:spacing w:after="0"/>
              <w:rPr>
                <w:sz w:val="20"/>
                <w:szCs w:val="20"/>
                <w:color w:val="auto"/>
              </w:rPr>
            </w:pPr>
            <w:r>
              <w:rPr>
                <w:rFonts w:ascii="Arial" w:cs="Arial" w:eastAsia="Arial" w:hAnsi="Arial"/>
                <w:sz w:val="18"/>
                <w:szCs w:val="18"/>
                <w:color w:val="auto"/>
              </w:rPr>
              <w:t>Mortgage loans held for sale</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18,645</w:t>
            </w: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19,223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19,223</w:t>
            </w:r>
          </w:p>
        </w:tc>
        <w:tc>
          <w:tcPr>
            <w:tcW w:w="580" w:type="dxa"/>
            <w:vAlign w:val="bottom"/>
          </w:tcPr>
          <w:p>
            <w:pPr>
              <w:spacing w:after="0"/>
              <w:rPr>
                <w:sz w:val="19"/>
                <w:szCs w:val="19"/>
                <w:color w:val="auto"/>
              </w:rPr>
            </w:pPr>
          </w:p>
        </w:tc>
      </w:tr>
      <w:tr>
        <w:trPr>
          <w:trHeight w:val="416"/>
        </w:trPr>
        <w:tc>
          <w:tcPr>
            <w:tcW w:w="580" w:type="dxa"/>
            <w:vAlign w:val="bottom"/>
          </w:tcPr>
          <w:p>
            <w:pPr>
              <w:spacing w:after="0"/>
              <w:rPr>
                <w:sz w:val="24"/>
                <w:szCs w:val="24"/>
                <w:color w:val="auto"/>
              </w:rPr>
            </w:pPr>
          </w:p>
        </w:tc>
        <w:tc>
          <w:tcPr>
            <w:tcW w:w="3480" w:type="dxa"/>
            <w:vAlign w:val="bottom"/>
            <w:gridSpan w:val="2"/>
          </w:tcPr>
          <w:p>
            <w:pPr>
              <w:spacing w:after="0"/>
              <w:rPr>
                <w:sz w:val="20"/>
                <w:szCs w:val="20"/>
                <w:color w:val="auto"/>
              </w:rPr>
            </w:pPr>
            <w:r>
              <w:rPr>
                <w:rFonts w:ascii="Arial" w:cs="Arial" w:eastAsia="Arial" w:hAnsi="Arial"/>
                <w:sz w:val="18"/>
                <w:szCs w:val="18"/>
                <w:color w:val="auto"/>
              </w:rPr>
              <w:t>Liabilities:</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214"/>
        </w:trPr>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60" w:type="dxa"/>
            <w:vAlign w:val="bottom"/>
          </w:tcPr>
          <w:p>
            <w:pPr>
              <w:ind w:left="160"/>
              <w:spacing w:after="0"/>
              <w:rPr>
                <w:sz w:val="20"/>
                <w:szCs w:val="20"/>
                <w:color w:val="auto"/>
              </w:rPr>
            </w:pPr>
            <w:r>
              <w:rPr>
                <w:rFonts w:ascii="Arial" w:cs="Arial" w:eastAsia="Arial" w:hAnsi="Arial"/>
                <w:sz w:val="18"/>
                <w:szCs w:val="18"/>
                <w:color w:val="auto"/>
              </w:rPr>
              <w:t>Deposits</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5,822,467</w:t>
            </w: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5,863,885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5,863,885</w:t>
            </w:r>
          </w:p>
        </w:tc>
        <w:tc>
          <w:tcPr>
            <w:tcW w:w="580" w:type="dxa"/>
            <w:vAlign w:val="bottom"/>
          </w:tcPr>
          <w:p>
            <w:pPr>
              <w:spacing w:after="0"/>
              <w:rPr>
                <w:sz w:val="18"/>
                <w:szCs w:val="18"/>
                <w:color w:val="auto"/>
              </w:rPr>
            </w:pPr>
          </w:p>
        </w:tc>
      </w:tr>
      <w:tr>
        <w:trPr>
          <w:trHeight w:val="214"/>
        </w:trPr>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60" w:type="dxa"/>
            <w:vAlign w:val="bottom"/>
          </w:tcPr>
          <w:p>
            <w:pPr>
              <w:ind w:left="160"/>
              <w:spacing w:after="0"/>
              <w:rPr>
                <w:sz w:val="20"/>
                <w:szCs w:val="20"/>
                <w:color w:val="auto"/>
              </w:rPr>
            </w:pPr>
            <w:r>
              <w:rPr>
                <w:rFonts w:ascii="Arial" w:cs="Arial" w:eastAsia="Arial" w:hAnsi="Arial"/>
                <w:sz w:val="18"/>
                <w:szCs w:val="18"/>
                <w:color w:val="auto"/>
              </w:rPr>
              <w:t>Federal Home Loan Bank advances</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125,125</w:t>
            </w: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125,125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125,125</w:t>
            </w:r>
          </w:p>
        </w:tc>
        <w:tc>
          <w:tcPr>
            <w:tcW w:w="580" w:type="dxa"/>
            <w:vAlign w:val="bottom"/>
          </w:tcPr>
          <w:p>
            <w:pPr>
              <w:spacing w:after="0"/>
              <w:rPr>
                <w:sz w:val="18"/>
                <w:szCs w:val="18"/>
                <w:color w:val="auto"/>
              </w:rPr>
            </w:pPr>
          </w:p>
        </w:tc>
      </w:tr>
      <w:tr>
        <w:trPr>
          <w:trHeight w:val="227"/>
        </w:trPr>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60" w:type="dxa"/>
            <w:vAlign w:val="bottom"/>
          </w:tcPr>
          <w:p>
            <w:pPr>
              <w:ind w:left="160"/>
              <w:spacing w:after="0"/>
              <w:rPr>
                <w:sz w:val="20"/>
                <w:szCs w:val="20"/>
                <w:color w:val="auto"/>
              </w:rPr>
            </w:pPr>
            <w:r>
              <w:rPr>
                <w:rFonts w:ascii="Arial" w:cs="Arial" w:eastAsia="Arial" w:hAnsi="Arial"/>
                <w:sz w:val="18"/>
                <w:szCs w:val="18"/>
                <w:color w:val="auto"/>
              </w:rPr>
              <w:t>Long-term debt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120,265</w:t>
            </w: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114,679</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114,679</w:t>
            </w:r>
          </w:p>
        </w:tc>
        <w:tc>
          <w:tcPr>
            <w:tcW w:w="580" w:type="dxa"/>
            <w:vAlign w:val="bottom"/>
          </w:tcPr>
          <w:p>
            <w:pPr>
              <w:spacing w:after="0"/>
              <w:rPr>
                <w:sz w:val="19"/>
                <w:szCs w:val="19"/>
                <w:color w:val="auto"/>
              </w:rPr>
            </w:pPr>
          </w:p>
        </w:tc>
      </w:tr>
      <w:tr>
        <w:trPr>
          <w:trHeight w:val="429"/>
        </w:trPr>
        <w:tc>
          <w:tcPr>
            <w:tcW w:w="580" w:type="dxa"/>
            <w:vAlign w:val="bottom"/>
            <w:tcBorders>
              <w:bottom w:val="single" w:sz="8" w:color="DCDCDC"/>
            </w:tcBorders>
          </w:tcPr>
          <w:p>
            <w:pPr>
              <w:spacing w:after="0"/>
              <w:rPr>
                <w:sz w:val="24"/>
                <w:szCs w:val="24"/>
                <w:color w:val="auto"/>
              </w:rPr>
            </w:pPr>
          </w:p>
        </w:tc>
        <w:tc>
          <w:tcPr>
            <w:tcW w:w="20" w:type="dxa"/>
            <w:vAlign w:val="bottom"/>
            <w:tcBorders>
              <w:bottom w:val="single" w:sz="8" w:color="DCDCDC"/>
            </w:tcBorders>
          </w:tcPr>
          <w:p>
            <w:pPr>
              <w:spacing w:after="0"/>
              <w:rPr>
                <w:sz w:val="24"/>
                <w:szCs w:val="24"/>
                <w:color w:val="auto"/>
              </w:rPr>
            </w:pPr>
          </w:p>
        </w:tc>
        <w:tc>
          <w:tcPr>
            <w:tcW w:w="3460" w:type="dxa"/>
            <w:vAlign w:val="bottom"/>
            <w:tcBorders>
              <w:bottom w:val="single" w:sz="8" w:color="DCDCDC"/>
            </w:tcBorders>
          </w:tcPr>
          <w:p>
            <w:pPr>
              <w:spacing w:after="0"/>
              <w:rPr>
                <w:sz w:val="24"/>
                <w:szCs w:val="24"/>
                <w:color w:val="auto"/>
              </w:rPr>
            </w:pPr>
          </w:p>
        </w:tc>
        <w:tc>
          <w:tcPr>
            <w:tcW w:w="100" w:type="dxa"/>
            <w:vAlign w:val="bottom"/>
            <w:tcBorders>
              <w:bottom w:val="single" w:sz="8" w:color="DCDCDC"/>
            </w:tcBorders>
          </w:tcPr>
          <w:p>
            <w:pPr>
              <w:spacing w:after="0"/>
              <w:rPr>
                <w:sz w:val="24"/>
                <w:szCs w:val="24"/>
                <w:color w:val="auto"/>
              </w:rPr>
            </w:pPr>
          </w:p>
        </w:tc>
        <w:tc>
          <w:tcPr>
            <w:tcW w:w="160" w:type="dxa"/>
            <w:vAlign w:val="bottom"/>
            <w:tcBorders>
              <w:bottom w:val="single" w:sz="8" w:color="DCDCDC"/>
            </w:tcBorders>
          </w:tcPr>
          <w:p>
            <w:pPr>
              <w:spacing w:after="0"/>
              <w:rPr>
                <w:sz w:val="24"/>
                <w:szCs w:val="24"/>
                <w:color w:val="auto"/>
              </w:rPr>
            </w:pPr>
          </w:p>
        </w:tc>
        <w:tc>
          <w:tcPr>
            <w:tcW w:w="1080" w:type="dxa"/>
            <w:vAlign w:val="bottom"/>
            <w:tcBorders>
              <w:bottom w:val="single" w:sz="8" w:color="DCDCDC"/>
            </w:tcBorders>
          </w:tcPr>
          <w:p>
            <w:pPr>
              <w:spacing w:after="0"/>
              <w:rPr>
                <w:sz w:val="24"/>
                <w:szCs w:val="24"/>
                <w:color w:val="auto"/>
              </w:rPr>
            </w:pPr>
          </w:p>
        </w:tc>
        <w:tc>
          <w:tcPr>
            <w:tcW w:w="1080" w:type="dxa"/>
            <w:vAlign w:val="bottom"/>
            <w:tcBorders>
              <w:bottom w:val="single" w:sz="8" w:color="DCDCDC"/>
            </w:tcBorders>
            <w:gridSpan w:val="2"/>
          </w:tcPr>
          <w:p>
            <w:pPr>
              <w:jc w:val="right"/>
              <w:ind w:right="591"/>
              <w:spacing w:after="0"/>
              <w:rPr>
                <w:sz w:val="20"/>
                <w:szCs w:val="20"/>
                <w:color w:val="auto"/>
              </w:rPr>
            </w:pPr>
            <w:r>
              <w:rPr>
                <w:rFonts w:ascii="Arial" w:cs="Arial" w:eastAsia="Arial" w:hAnsi="Arial"/>
                <w:sz w:val="18"/>
                <w:szCs w:val="18"/>
                <w:color w:val="auto"/>
              </w:rPr>
              <w:t>35</w:t>
            </w:r>
          </w:p>
        </w:tc>
        <w:tc>
          <w:tcPr>
            <w:tcW w:w="280" w:type="dxa"/>
            <w:vAlign w:val="bottom"/>
            <w:tcBorders>
              <w:bottom w:val="single" w:sz="8" w:color="DCDCDC"/>
            </w:tcBorders>
          </w:tcPr>
          <w:p>
            <w:pPr>
              <w:spacing w:after="0"/>
              <w:rPr>
                <w:sz w:val="24"/>
                <w:szCs w:val="24"/>
                <w:color w:val="auto"/>
              </w:rPr>
            </w:pPr>
          </w:p>
        </w:tc>
        <w:tc>
          <w:tcPr>
            <w:tcW w:w="100" w:type="dxa"/>
            <w:vAlign w:val="bottom"/>
            <w:tcBorders>
              <w:bottom w:val="single" w:sz="8" w:color="DCDCDC"/>
            </w:tcBorders>
          </w:tcPr>
          <w:p>
            <w:pPr>
              <w:spacing w:after="0"/>
              <w:rPr>
                <w:sz w:val="24"/>
                <w:szCs w:val="24"/>
                <w:color w:val="auto"/>
              </w:rPr>
            </w:pPr>
          </w:p>
        </w:tc>
        <w:tc>
          <w:tcPr>
            <w:tcW w:w="200" w:type="dxa"/>
            <w:vAlign w:val="bottom"/>
            <w:tcBorders>
              <w:bottom w:val="single" w:sz="8" w:color="DCDCDC"/>
            </w:tcBorders>
          </w:tcPr>
          <w:p>
            <w:pPr>
              <w:spacing w:after="0"/>
              <w:rPr>
                <w:sz w:val="24"/>
                <w:szCs w:val="24"/>
                <w:color w:val="auto"/>
              </w:rPr>
            </w:pPr>
          </w:p>
        </w:tc>
        <w:tc>
          <w:tcPr>
            <w:tcW w:w="1060" w:type="dxa"/>
            <w:vAlign w:val="bottom"/>
            <w:tcBorders>
              <w:bottom w:val="single" w:sz="8" w:color="DCDCDC"/>
            </w:tcBorders>
          </w:tcPr>
          <w:p>
            <w:pPr>
              <w:spacing w:after="0"/>
              <w:rPr>
                <w:sz w:val="24"/>
                <w:szCs w:val="24"/>
                <w:color w:val="auto"/>
              </w:rPr>
            </w:pPr>
          </w:p>
        </w:tc>
        <w:tc>
          <w:tcPr>
            <w:tcW w:w="100" w:type="dxa"/>
            <w:vAlign w:val="bottom"/>
            <w:tcBorders>
              <w:bottom w:val="single" w:sz="8" w:color="DCDCDC"/>
            </w:tcBorders>
          </w:tcPr>
          <w:p>
            <w:pPr>
              <w:spacing w:after="0"/>
              <w:rPr>
                <w:sz w:val="24"/>
                <w:szCs w:val="24"/>
                <w:color w:val="auto"/>
              </w:rPr>
            </w:pPr>
          </w:p>
        </w:tc>
        <w:tc>
          <w:tcPr>
            <w:tcW w:w="200" w:type="dxa"/>
            <w:vAlign w:val="bottom"/>
            <w:tcBorders>
              <w:bottom w:val="single" w:sz="8" w:color="DCDCDC"/>
            </w:tcBorders>
          </w:tcPr>
          <w:p>
            <w:pPr>
              <w:spacing w:after="0"/>
              <w:rPr>
                <w:sz w:val="24"/>
                <w:szCs w:val="24"/>
                <w:color w:val="auto"/>
              </w:rPr>
            </w:pPr>
          </w:p>
        </w:tc>
        <w:tc>
          <w:tcPr>
            <w:tcW w:w="1040" w:type="dxa"/>
            <w:vAlign w:val="bottom"/>
            <w:tcBorders>
              <w:bottom w:val="single" w:sz="8" w:color="DCDCDC"/>
            </w:tcBorders>
          </w:tcPr>
          <w:p>
            <w:pPr>
              <w:spacing w:after="0"/>
              <w:rPr>
                <w:sz w:val="24"/>
                <w:szCs w:val="24"/>
                <w:color w:val="auto"/>
              </w:rPr>
            </w:pPr>
          </w:p>
        </w:tc>
        <w:tc>
          <w:tcPr>
            <w:tcW w:w="120" w:type="dxa"/>
            <w:vAlign w:val="bottom"/>
            <w:tcBorders>
              <w:bottom w:val="single" w:sz="8" w:color="DCDCDC"/>
            </w:tcBorders>
          </w:tcPr>
          <w:p>
            <w:pPr>
              <w:spacing w:after="0"/>
              <w:rPr>
                <w:sz w:val="24"/>
                <w:szCs w:val="24"/>
                <w:color w:val="auto"/>
              </w:rPr>
            </w:pPr>
          </w:p>
        </w:tc>
        <w:tc>
          <w:tcPr>
            <w:tcW w:w="220" w:type="dxa"/>
            <w:vAlign w:val="bottom"/>
            <w:tcBorders>
              <w:bottom w:val="single" w:sz="8" w:color="DCDCDC"/>
            </w:tcBorders>
          </w:tcPr>
          <w:p>
            <w:pPr>
              <w:spacing w:after="0"/>
              <w:rPr>
                <w:sz w:val="24"/>
                <w:szCs w:val="24"/>
                <w:color w:val="auto"/>
              </w:rPr>
            </w:pPr>
          </w:p>
        </w:tc>
        <w:tc>
          <w:tcPr>
            <w:tcW w:w="1040" w:type="dxa"/>
            <w:vAlign w:val="bottom"/>
            <w:tcBorders>
              <w:bottom w:val="single" w:sz="8" w:color="DCDCDC"/>
            </w:tcBorders>
          </w:tcPr>
          <w:p>
            <w:pPr>
              <w:spacing w:after="0"/>
              <w:rPr>
                <w:sz w:val="24"/>
                <w:szCs w:val="24"/>
                <w:color w:val="auto"/>
              </w:rPr>
            </w:pPr>
          </w:p>
        </w:tc>
        <w:tc>
          <w:tcPr>
            <w:tcW w:w="580" w:type="dxa"/>
            <w:vAlign w:val="bottom"/>
            <w:tcBorders>
              <w:bottom w:val="single" w:sz="8" w:color="DCDCDC"/>
            </w:tcBorders>
          </w:tcPr>
          <w:p>
            <w:pPr>
              <w:spacing w:after="0"/>
              <w:rPr>
                <w:sz w:val="24"/>
                <w:szCs w:val="24"/>
                <w:color w:val="auto"/>
              </w:rPr>
            </w:pPr>
          </w:p>
        </w:tc>
      </w:tr>
    </w:tbl>
    <w:p>
      <w:pPr>
        <w:sectPr>
          <w:pgSz w:w="11900" w:h="16838" w:orient="portrait"/>
          <w:cols w:equalWidth="0" w:num="1">
            <w:col w:w="11420"/>
          </w:cols>
          <w:pgMar w:left="240" w:top="912" w:right="239" w:bottom="1440" w:gutter="0" w:footer="0" w:header="0"/>
        </w:sectPr>
      </w:pPr>
    </w:p>
    <w:bookmarkStart w:id="39" w:name="page40"/>
    <w:bookmarkEnd w:id="39"/>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Commitments and Contingencies</w:t>
      </w:r>
    </w:p>
    <w:p>
      <w:pPr>
        <w:spacing w:after="0" w:line="25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United and its wholly-owned subsidiary, United Community Bank, (“the Bank”) are parties to financial instruments with off-balance sheet risk in the normal course of business to meet the financing needs of their customers. These financial instruments include commitments to extend credit and letters of credit. These instruments involve, to varying degrees, elements of credit risk in excess of the amount recognized in the balance sheet. The contract amounts of these instruments reflect the extent of involvement the Bank has in particular classes of financial instruments. The exposure to credit loss in the event of nonperformance by the other party to the financial instrument for commitments to extend credit and letters of credit written is represented by the contractual amount of these instruments. United uses the same credit policies in making commitments and conditional obligations as it uses for underwriting on-balance sheet instruments. In most cases, collateral or other security is required to support financial instruments with credit risk.</w:t>
      </w:r>
    </w:p>
    <w:p>
      <w:pPr>
        <w:spacing w:after="0" w:line="208"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 xml:space="preserve">The following table summarizes, as of June 30, 2013, December 31, 2012 and June 30, 2012, the contractual amount of off-balance sheet instruments </w:t>
      </w:r>
      <w:r>
        <w:rPr>
          <w:rFonts w:ascii="Arial" w:cs="Arial" w:eastAsia="Arial" w:hAnsi="Arial"/>
          <w:sz w:val="18"/>
          <w:szCs w:val="18"/>
          <w:i w:val="1"/>
          <w:iCs w:val="1"/>
          <w:color w:val="auto"/>
        </w:rPr>
        <w:t>(in</w:t>
      </w:r>
      <w:r>
        <w:rPr>
          <w:rFonts w:ascii="Arial" w:cs="Arial" w:eastAsia="Arial" w:hAnsi="Arial"/>
          <w:sz w:val="18"/>
          <w:szCs w:val="18"/>
          <w:color w:val="auto"/>
        </w:rPr>
        <w:t xml:space="preserve"> </w:t>
      </w:r>
      <w:r>
        <w:rPr>
          <w:rFonts w:ascii="Arial" w:cs="Arial" w:eastAsia="Arial" w:hAnsi="Arial"/>
          <w:sz w:val="18"/>
          <w:szCs w:val="18"/>
          <w:i w:val="1"/>
          <w:iCs w:val="1"/>
          <w:color w:val="auto"/>
        </w:rPr>
        <w:t>thousands)</w:t>
      </w:r>
      <w:r>
        <w:rPr>
          <w:rFonts w:ascii="Arial" w:cs="Arial" w:eastAsia="Arial" w:hAnsi="Arial"/>
          <w:sz w:val="18"/>
          <w:szCs w:val="18"/>
          <w:color w:val="auto"/>
        </w:rPr>
        <w:t>:</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7220" w:type="dxa"/>
            <w:vAlign w:val="bottom"/>
          </w:tcPr>
          <w:p>
            <w:pPr>
              <w:spacing w:after="0"/>
              <w:rPr>
                <w:sz w:val="20"/>
                <w:szCs w:val="20"/>
                <w:color w:val="auto"/>
              </w:rPr>
            </w:pPr>
          </w:p>
        </w:tc>
        <w:tc>
          <w:tcPr>
            <w:tcW w:w="1220" w:type="dxa"/>
            <w:vAlign w:val="bottom"/>
            <w:gridSpan w:val="2"/>
          </w:tcPr>
          <w:p>
            <w:pPr>
              <w:jc w:val="right"/>
              <w:ind w:right="71"/>
              <w:spacing w:after="0"/>
              <w:rPr>
                <w:sz w:val="20"/>
                <w:szCs w:val="20"/>
                <w:color w:val="auto"/>
              </w:rPr>
            </w:pPr>
            <w:r>
              <w:rPr>
                <w:rFonts w:ascii="Arial" w:cs="Arial" w:eastAsia="Arial" w:hAnsi="Arial"/>
                <w:sz w:val="18"/>
                <w:szCs w:val="18"/>
                <w:b w:val="1"/>
                <w:bCs w:val="1"/>
                <w:color w:val="auto"/>
                <w:w w:val="88"/>
              </w:rPr>
              <w:t>June 30, 2013</w:t>
            </w:r>
          </w:p>
        </w:tc>
        <w:tc>
          <w:tcPr>
            <w:tcW w:w="1640" w:type="dxa"/>
            <w:vAlign w:val="bottom"/>
            <w:gridSpan w:val="3"/>
          </w:tcPr>
          <w:p>
            <w:pPr>
              <w:ind w:left="100"/>
              <w:spacing w:after="0"/>
              <w:rPr>
                <w:sz w:val="20"/>
                <w:szCs w:val="20"/>
                <w:color w:val="auto"/>
              </w:rPr>
            </w:pPr>
            <w:r>
              <w:rPr>
                <w:rFonts w:ascii="Arial" w:cs="Arial" w:eastAsia="Arial" w:hAnsi="Arial"/>
                <w:sz w:val="18"/>
                <w:szCs w:val="18"/>
                <w:b w:val="1"/>
                <w:bCs w:val="1"/>
                <w:color w:val="auto"/>
                <w:w w:val="93"/>
              </w:rPr>
              <w:t>December 31, 2012</w:t>
            </w:r>
          </w:p>
        </w:tc>
        <w:tc>
          <w:tcPr>
            <w:tcW w:w="100" w:type="dxa"/>
            <w:vAlign w:val="bottom"/>
          </w:tcPr>
          <w:p>
            <w:pPr>
              <w:spacing w:after="0"/>
              <w:rPr>
                <w:sz w:val="20"/>
                <w:szCs w:val="20"/>
                <w:color w:val="auto"/>
              </w:rPr>
            </w:pPr>
          </w:p>
        </w:tc>
        <w:tc>
          <w:tcPr>
            <w:tcW w:w="1240" w:type="dxa"/>
            <w:vAlign w:val="bottom"/>
            <w:gridSpan w:val="2"/>
          </w:tcPr>
          <w:p>
            <w:pPr>
              <w:jc w:val="right"/>
              <w:ind w:right="71"/>
              <w:spacing w:after="0"/>
              <w:rPr>
                <w:sz w:val="20"/>
                <w:szCs w:val="20"/>
                <w:color w:val="auto"/>
              </w:rPr>
            </w:pPr>
            <w:r>
              <w:rPr>
                <w:rFonts w:ascii="Arial" w:cs="Arial" w:eastAsia="Arial" w:hAnsi="Arial"/>
                <w:sz w:val="18"/>
                <w:szCs w:val="18"/>
                <w:b w:val="1"/>
                <w:bCs w:val="1"/>
                <w:color w:val="auto"/>
                <w:w w:val="90"/>
              </w:rPr>
              <w:t>June 30, 2012</w:t>
            </w:r>
          </w:p>
        </w:tc>
      </w:tr>
      <w:tr>
        <w:trPr>
          <w:trHeight w:val="200"/>
        </w:trPr>
        <w:tc>
          <w:tcPr>
            <w:tcW w:w="7220" w:type="dxa"/>
            <w:vAlign w:val="bottom"/>
          </w:tcPr>
          <w:p>
            <w:pPr>
              <w:spacing w:after="0" w:line="200" w:lineRule="exact"/>
              <w:rPr>
                <w:sz w:val="20"/>
                <w:szCs w:val="20"/>
                <w:color w:val="auto"/>
              </w:rPr>
            </w:pPr>
            <w:r>
              <w:rPr>
                <w:rFonts w:ascii="Arial" w:cs="Arial" w:eastAsia="Arial" w:hAnsi="Arial"/>
                <w:sz w:val="18"/>
                <w:szCs w:val="18"/>
                <w:color w:val="auto"/>
              </w:rPr>
              <w:t>Financial instruments whose contract amounts represent credit risk:</w:t>
            </w:r>
          </w:p>
        </w:tc>
        <w:tc>
          <w:tcPr>
            <w:tcW w:w="3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r>
      <w:tr>
        <w:trPr>
          <w:trHeight w:val="214"/>
        </w:trPr>
        <w:tc>
          <w:tcPr>
            <w:tcW w:w="7220" w:type="dxa"/>
            <w:vAlign w:val="bottom"/>
          </w:tcPr>
          <w:p>
            <w:pPr>
              <w:ind w:left="140"/>
              <w:spacing w:after="0"/>
              <w:rPr>
                <w:sz w:val="20"/>
                <w:szCs w:val="20"/>
                <w:color w:val="auto"/>
              </w:rPr>
            </w:pPr>
            <w:r>
              <w:rPr>
                <w:rFonts w:ascii="Arial" w:cs="Arial" w:eastAsia="Arial" w:hAnsi="Arial"/>
                <w:sz w:val="18"/>
                <w:szCs w:val="18"/>
                <w:color w:val="auto"/>
              </w:rPr>
              <w:t>Commitments to extend credit</w:t>
            </w:r>
          </w:p>
        </w:tc>
        <w:tc>
          <w:tcPr>
            <w:tcW w:w="300" w:type="dxa"/>
            <w:vAlign w:val="bottom"/>
          </w:tcPr>
          <w:p>
            <w:pPr>
              <w:jc w:val="right"/>
              <w:ind w:right="139"/>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600,841</w:t>
            </w:r>
          </w:p>
        </w:tc>
        <w:tc>
          <w:tcPr>
            <w:tcW w:w="58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313,798</w:t>
            </w:r>
          </w:p>
        </w:tc>
        <w:tc>
          <w:tcPr>
            <w:tcW w:w="420" w:type="dxa"/>
            <w:vAlign w:val="bottom"/>
            <w:gridSpan w:val="2"/>
          </w:tcPr>
          <w:p>
            <w:pPr>
              <w:jc w:val="right"/>
              <w:ind w:right="131"/>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438,615</w:t>
            </w:r>
          </w:p>
        </w:tc>
      </w:tr>
      <w:tr>
        <w:trPr>
          <w:trHeight w:val="227"/>
        </w:trPr>
        <w:tc>
          <w:tcPr>
            <w:tcW w:w="7220" w:type="dxa"/>
            <w:vAlign w:val="bottom"/>
          </w:tcPr>
          <w:p>
            <w:pPr>
              <w:ind w:left="140"/>
              <w:spacing w:after="0"/>
              <w:rPr>
                <w:sz w:val="20"/>
                <w:szCs w:val="20"/>
                <w:color w:val="auto"/>
              </w:rPr>
            </w:pPr>
            <w:r>
              <w:rPr>
                <w:rFonts w:ascii="Arial" w:cs="Arial" w:eastAsia="Arial" w:hAnsi="Arial"/>
                <w:sz w:val="18"/>
                <w:szCs w:val="18"/>
                <w:color w:val="auto"/>
              </w:rPr>
              <w:t>Letters of credit</w:t>
            </w:r>
          </w:p>
        </w:tc>
        <w:tc>
          <w:tcPr>
            <w:tcW w:w="300" w:type="dxa"/>
            <w:vAlign w:val="bottom"/>
          </w:tcPr>
          <w:p>
            <w:pPr>
              <w:spacing w:after="0"/>
              <w:rPr>
                <w:sz w:val="19"/>
                <w:szCs w:val="19"/>
                <w:color w:val="auto"/>
              </w:rPr>
            </w:pPr>
          </w:p>
        </w:tc>
        <w:tc>
          <w:tcPr>
            <w:tcW w:w="920" w:type="dxa"/>
            <w:vAlign w:val="bottom"/>
          </w:tcPr>
          <w:p>
            <w:pPr>
              <w:jc w:val="right"/>
              <w:ind w:right="31"/>
              <w:spacing w:after="0"/>
              <w:rPr>
                <w:sz w:val="20"/>
                <w:szCs w:val="20"/>
                <w:color w:val="auto"/>
              </w:rPr>
            </w:pPr>
            <w:r>
              <w:rPr>
                <w:rFonts w:ascii="Arial" w:cs="Arial" w:eastAsia="Arial" w:hAnsi="Arial"/>
                <w:sz w:val="18"/>
                <w:szCs w:val="18"/>
                <w:color w:val="auto"/>
              </w:rPr>
              <w:t>15,631</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13,683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16,210</w:t>
            </w:r>
          </w:p>
        </w:tc>
      </w:tr>
    </w:tbl>
    <w:p>
      <w:pPr>
        <w:spacing w:after="0" w:line="228" w:lineRule="exact"/>
        <w:rPr>
          <w:sz w:val="20"/>
          <w:szCs w:val="20"/>
          <w:color w:val="auto"/>
        </w:rPr>
      </w:pPr>
    </w:p>
    <w:p>
      <w:pPr>
        <w:jc w:val="both"/>
        <w:spacing w:after="0" w:line="307" w:lineRule="auto"/>
        <w:rPr>
          <w:sz w:val="20"/>
          <w:szCs w:val="20"/>
          <w:color w:val="auto"/>
        </w:rPr>
      </w:pPr>
      <w:r>
        <w:rPr>
          <w:rFonts w:ascii="Arial" w:cs="Arial" w:eastAsia="Arial" w:hAnsi="Arial"/>
          <w:sz w:val="16"/>
          <w:szCs w:val="16"/>
          <w:color w:val="auto"/>
        </w:rPr>
        <w:t>United, in the normal course of business, is subject to various pending and threatened lawsuits in which claims for monetary damages are asserted. Although it is not possible to predict the outcome of these lawsuits, or the range of any possible loss, management, after consultation with legal counsel, does not anticipate that the ultimate aggregate liability, if any, arising from these lawsuits will have a material adverse effect on United’s financial position or results of operations.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13970</wp:posOffset>
            </wp:positionV>
            <wp:extent cx="724789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7890" cy="8255"/>
                    </a:xfrm>
                    <a:prstGeom prst="rect">
                      <a:avLst/>
                    </a:prstGeom>
                    <a:noFill/>
                  </pic:spPr>
                </pic:pic>
              </a:graphicData>
            </a:graphic>
          </wp:anchor>
        </w:drawing>
      </w:r>
    </w:p>
    <w:p>
      <w:pPr>
        <w:sectPr>
          <w:pgSz w:w="11900" w:h="16838" w:orient="portrait"/>
          <w:cols w:equalWidth="0" w:num="1">
            <w:col w:w="11420"/>
          </w:cols>
          <w:pgMar w:left="240" w:top="885" w:right="239" w:bottom="1440" w:gutter="0" w:footer="0" w:header="0"/>
        </w:sectPr>
      </w:pPr>
    </w:p>
    <w:bookmarkStart w:id="40" w:name="page41"/>
    <w:bookmarkEnd w:id="40"/>
    <w:p>
      <w:pPr>
        <w:spacing w:after="0"/>
        <w:tabs>
          <w:tab w:leader="none" w:pos="11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Management’s Discussion and Analysis of Financial Condition and Results of Operations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52"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This Form 10-Q contains forward-looking statements within the meaning of Section 27A of the Securities Act of 1933, as amended, (the “Securities Act”), and Section 21E of the Securities Exchange Act of 1934, as amended, (the “Exchange Act”), about United and its subsidiaries. These forward-looking statements are intended to be covered by the safe harbor for forward-looking statements provided by the Private Securities Litigation Reform Act of 1995. Forward-looking statements are not statements of historical fact, and can be identified by the use of forward-looking terminology such as “believes”, “expects”, “may”, “will”, “could”, “should”, “projects”, “plans”, “goal”, “targets”, “potential”, “estimates”, “pro forma”, “seeks”, “intends”, or “anticipates”, the negative thereof or comparable terminology. Forward-looking statements include discussions of strategy, financial projections, guidance and estimates (including their underlying assumptions), statements regarding plans, objectives, expectations or consequences of various transactions or events, and statements about the future performance, operations, products and services of United and its subsidiaries. We caution our shareholders and other readers not to place undue reliance on such statements.</w:t>
      </w:r>
    </w:p>
    <w:p>
      <w:pPr>
        <w:spacing w:after="0" w:line="20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Our businesses and operations are and will be subject to a variety of risks, uncertainties and other factors. Consequently, actual results and experiences may differ materially from those contained in any forward-looking statements. Such risks, uncertainties and other factors that could cause actual results and experiences to differ from those projected include, but are not limited to, the risk factors set forth in our Annual Report on Form 10-K for the year ended December 31, 2012, as well as the following factors:</w:t>
      </w:r>
    </w:p>
    <w:p>
      <w:pPr>
        <w:spacing w:after="0" w:line="215" w:lineRule="exact"/>
        <w:rPr>
          <w:sz w:val="20"/>
          <w:szCs w:val="20"/>
          <w:color w:val="auto"/>
        </w:rPr>
      </w:pPr>
    </w:p>
    <w:p>
      <w:pPr>
        <w:ind w:left="320" w:hanging="313"/>
        <w:spacing w:after="0"/>
        <w:tabs>
          <w:tab w:leader="none" w:pos="32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maintain profitability;</w:t>
      </w:r>
    </w:p>
    <w:p>
      <w:pPr>
        <w:spacing w:after="0" w:line="20" w:lineRule="exact"/>
        <w:rPr>
          <w:rFonts w:ascii="Arial" w:cs="Arial" w:eastAsia="Arial" w:hAnsi="Arial"/>
          <w:sz w:val="18"/>
          <w:szCs w:val="18"/>
          <w:color w:val="auto"/>
        </w:rPr>
      </w:pPr>
    </w:p>
    <w:p>
      <w:pPr>
        <w:ind w:left="320" w:hanging="313"/>
        <w:spacing w:after="0"/>
        <w:tabs>
          <w:tab w:leader="none" w:pos="32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fully realize our deferred tax asset balances, including net operating loss carry-forwards;</w:t>
      </w:r>
    </w:p>
    <w:p>
      <w:pPr>
        <w:spacing w:after="0" w:line="7" w:lineRule="exact"/>
        <w:rPr>
          <w:rFonts w:ascii="Arial" w:cs="Arial" w:eastAsia="Arial" w:hAnsi="Arial"/>
          <w:sz w:val="18"/>
          <w:szCs w:val="18"/>
          <w:color w:val="auto"/>
        </w:rPr>
      </w:pPr>
    </w:p>
    <w:p>
      <w:pPr>
        <w:ind w:left="320" w:hanging="313"/>
        <w:spacing w:after="0"/>
        <w:tabs>
          <w:tab w:leader="none" w:pos="3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condition of the banking system and financial markets;</w:t>
      </w:r>
    </w:p>
    <w:p>
      <w:pPr>
        <w:spacing w:after="0" w:line="7" w:lineRule="exact"/>
        <w:rPr>
          <w:rFonts w:ascii="Arial" w:cs="Arial" w:eastAsia="Arial" w:hAnsi="Arial"/>
          <w:sz w:val="18"/>
          <w:szCs w:val="18"/>
          <w:color w:val="auto"/>
        </w:rPr>
      </w:pPr>
    </w:p>
    <w:p>
      <w:pPr>
        <w:ind w:left="320" w:hanging="313"/>
        <w:spacing w:after="0"/>
        <w:tabs>
          <w:tab w:leader="none" w:pos="32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raise capital as may be necessary;</w:t>
      </w:r>
    </w:p>
    <w:p>
      <w:pPr>
        <w:spacing w:after="0" w:line="7" w:lineRule="exact"/>
        <w:rPr>
          <w:rFonts w:ascii="Arial" w:cs="Arial" w:eastAsia="Arial" w:hAnsi="Arial"/>
          <w:sz w:val="18"/>
          <w:szCs w:val="18"/>
          <w:color w:val="auto"/>
        </w:rPr>
      </w:pPr>
    </w:p>
    <w:p>
      <w:pPr>
        <w:ind w:left="320" w:hanging="313"/>
        <w:spacing w:after="0"/>
        <w:tabs>
          <w:tab w:leader="none" w:pos="32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maintain liquidity or access other sources of funding;</w:t>
      </w:r>
    </w:p>
    <w:p>
      <w:pPr>
        <w:spacing w:after="0" w:line="7" w:lineRule="exact"/>
        <w:rPr>
          <w:rFonts w:ascii="Arial" w:cs="Arial" w:eastAsia="Arial" w:hAnsi="Arial"/>
          <w:sz w:val="18"/>
          <w:szCs w:val="18"/>
          <w:color w:val="auto"/>
        </w:rPr>
      </w:pPr>
    </w:p>
    <w:p>
      <w:pPr>
        <w:ind w:left="320" w:hanging="313"/>
        <w:spacing w:after="0"/>
        <w:tabs>
          <w:tab w:leader="none" w:pos="32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changes in the cost and availability of funding;</w:t>
      </w:r>
    </w:p>
    <w:p>
      <w:pPr>
        <w:spacing w:after="0" w:line="7" w:lineRule="exact"/>
        <w:rPr>
          <w:rFonts w:ascii="Arial" w:cs="Arial" w:eastAsia="Arial" w:hAnsi="Arial"/>
          <w:sz w:val="18"/>
          <w:szCs w:val="18"/>
          <w:color w:val="auto"/>
        </w:rPr>
      </w:pPr>
    </w:p>
    <w:p>
      <w:pPr>
        <w:ind w:left="320" w:hanging="313"/>
        <w:spacing w:after="0"/>
        <w:tabs>
          <w:tab w:leader="none" w:pos="3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success of the local economies in which we operate;</w:t>
      </w:r>
    </w:p>
    <w:p>
      <w:pPr>
        <w:spacing w:after="0" w:line="7" w:lineRule="exact"/>
        <w:rPr>
          <w:rFonts w:ascii="Arial" w:cs="Arial" w:eastAsia="Arial" w:hAnsi="Arial"/>
          <w:sz w:val="18"/>
          <w:szCs w:val="18"/>
          <w:color w:val="auto"/>
        </w:rPr>
      </w:pPr>
    </w:p>
    <w:p>
      <w:pPr>
        <w:ind w:left="320" w:hanging="313"/>
        <w:spacing w:after="0" w:line="248" w:lineRule="auto"/>
        <w:tabs>
          <w:tab w:leader="none" w:pos="32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concentrations of residential and commercial construction and development loans and commercial real estate loans are subject to unique risks that could adversely affect our earnings;</w:t>
      </w:r>
    </w:p>
    <w:p>
      <w:pPr>
        <w:ind w:left="320" w:hanging="313"/>
        <w:spacing w:after="0"/>
        <w:tabs>
          <w:tab w:leader="none" w:pos="32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changes in prevailing interest rates may negatively affect our net income and the value of our assets;</w:t>
      </w:r>
    </w:p>
    <w:p>
      <w:pPr>
        <w:spacing w:after="0" w:line="7" w:lineRule="exact"/>
        <w:rPr>
          <w:rFonts w:ascii="Arial" w:cs="Arial" w:eastAsia="Arial" w:hAnsi="Arial"/>
          <w:sz w:val="18"/>
          <w:szCs w:val="18"/>
          <w:color w:val="auto"/>
        </w:rPr>
      </w:pPr>
    </w:p>
    <w:p>
      <w:pPr>
        <w:ind w:left="320" w:hanging="313"/>
        <w:spacing w:after="0"/>
        <w:tabs>
          <w:tab w:leader="none" w:pos="3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accounting and reporting policies of United;</w:t>
      </w:r>
    </w:p>
    <w:p>
      <w:pPr>
        <w:spacing w:after="0" w:line="7" w:lineRule="exact"/>
        <w:rPr>
          <w:rFonts w:ascii="Arial" w:cs="Arial" w:eastAsia="Arial" w:hAnsi="Arial"/>
          <w:sz w:val="18"/>
          <w:szCs w:val="18"/>
          <w:color w:val="auto"/>
        </w:rPr>
      </w:pPr>
    </w:p>
    <w:p>
      <w:pPr>
        <w:ind w:left="320" w:hanging="313"/>
        <w:spacing w:after="0"/>
        <w:tabs>
          <w:tab w:leader="none" w:pos="320" w:val="left"/>
        </w:tabs>
        <w:numPr>
          <w:ilvl w:val="0"/>
          <w:numId w:val="5"/>
        </w:numPr>
        <w:rPr>
          <w:rFonts w:ascii="Arial" w:cs="Arial" w:eastAsia="Arial" w:hAnsi="Arial"/>
          <w:sz w:val="18"/>
          <w:szCs w:val="18"/>
          <w:color w:val="auto"/>
        </w:rPr>
      </w:pPr>
      <w:r>
        <w:rPr>
          <w:rFonts w:ascii="Arial" w:cs="Arial" w:eastAsia="Arial" w:hAnsi="Arial"/>
          <w:sz w:val="18"/>
          <w:szCs w:val="18"/>
          <w:color w:val="auto"/>
        </w:rPr>
        <w:t>if our allowance for loan losses is not sufficient to cover actual loan losses;</w:t>
      </w:r>
    </w:p>
    <w:p>
      <w:pPr>
        <w:spacing w:after="0" w:line="7" w:lineRule="exact"/>
        <w:rPr>
          <w:rFonts w:ascii="Arial" w:cs="Arial" w:eastAsia="Arial" w:hAnsi="Arial"/>
          <w:sz w:val="18"/>
          <w:szCs w:val="18"/>
          <w:color w:val="auto"/>
        </w:rPr>
      </w:pPr>
    </w:p>
    <w:p>
      <w:pPr>
        <w:ind w:left="320" w:hanging="313"/>
        <w:spacing w:after="0"/>
        <w:tabs>
          <w:tab w:leader="none" w:pos="320" w:val="left"/>
        </w:tabs>
        <w:numPr>
          <w:ilvl w:val="0"/>
          <w:numId w:val="5"/>
        </w:numPr>
        <w:rPr>
          <w:rFonts w:ascii="Arial" w:cs="Arial" w:eastAsia="Arial" w:hAnsi="Arial"/>
          <w:sz w:val="18"/>
          <w:szCs w:val="18"/>
          <w:color w:val="auto"/>
        </w:rPr>
      </w:pPr>
      <w:r>
        <w:rPr>
          <w:rFonts w:ascii="Arial" w:cs="Arial" w:eastAsia="Arial" w:hAnsi="Arial"/>
          <w:sz w:val="18"/>
          <w:szCs w:val="18"/>
          <w:color w:val="auto"/>
        </w:rPr>
        <w:t>losses due to fraudulent and negligent conduct of our loan customers, third party service providers or employees;</w:t>
      </w:r>
    </w:p>
    <w:p>
      <w:pPr>
        <w:spacing w:after="0" w:line="7" w:lineRule="exact"/>
        <w:rPr>
          <w:rFonts w:ascii="Arial" w:cs="Arial" w:eastAsia="Arial" w:hAnsi="Arial"/>
          <w:sz w:val="18"/>
          <w:szCs w:val="18"/>
          <w:color w:val="auto"/>
        </w:rPr>
      </w:pPr>
    </w:p>
    <w:p>
      <w:pPr>
        <w:ind w:left="320" w:hanging="313"/>
        <w:spacing w:after="0"/>
        <w:tabs>
          <w:tab w:leader="none" w:pos="32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competition from financial institutions and other financial service providers;</w:t>
      </w:r>
    </w:p>
    <w:p>
      <w:pPr>
        <w:spacing w:after="0" w:line="7" w:lineRule="exact"/>
        <w:rPr>
          <w:rFonts w:ascii="Arial" w:cs="Arial" w:eastAsia="Arial" w:hAnsi="Arial"/>
          <w:sz w:val="18"/>
          <w:szCs w:val="18"/>
          <w:color w:val="auto"/>
        </w:rPr>
      </w:pPr>
    </w:p>
    <w:p>
      <w:pPr>
        <w:ind w:left="320" w:hanging="313"/>
        <w:spacing w:after="0"/>
        <w:tabs>
          <w:tab w:leader="none" w:pos="320" w:val="left"/>
        </w:tabs>
        <w:numPr>
          <w:ilvl w:val="0"/>
          <w:numId w:val="5"/>
        </w:numPr>
        <w:rPr>
          <w:rFonts w:ascii="Arial" w:cs="Arial" w:eastAsia="Arial" w:hAnsi="Arial"/>
          <w:sz w:val="18"/>
          <w:szCs w:val="18"/>
          <w:color w:val="auto"/>
        </w:rPr>
      </w:pPr>
      <w:r>
        <w:rPr>
          <w:rFonts w:ascii="Arial" w:cs="Arial" w:eastAsia="Arial" w:hAnsi="Arial"/>
          <w:sz w:val="18"/>
          <w:szCs w:val="18"/>
          <w:color w:val="auto"/>
        </w:rPr>
        <w:t>risks with respect to future expansion and acquisitions;</w:t>
      </w:r>
    </w:p>
    <w:p>
      <w:pPr>
        <w:spacing w:after="0" w:line="7" w:lineRule="exact"/>
        <w:rPr>
          <w:rFonts w:ascii="Arial" w:cs="Arial" w:eastAsia="Arial" w:hAnsi="Arial"/>
          <w:sz w:val="18"/>
          <w:szCs w:val="18"/>
          <w:color w:val="auto"/>
        </w:rPr>
      </w:pPr>
    </w:p>
    <w:p>
      <w:pPr>
        <w:ind w:left="300" w:hanging="293"/>
        <w:spacing w:after="0"/>
        <w:tabs>
          <w:tab w:leader="none" w:pos="300" w:val="left"/>
        </w:tabs>
        <w:numPr>
          <w:ilvl w:val="0"/>
          <w:numId w:val="5"/>
        </w:numPr>
        <w:rPr>
          <w:rFonts w:ascii="Arial" w:cs="Arial" w:eastAsia="Arial" w:hAnsi="Arial"/>
          <w:sz w:val="18"/>
          <w:szCs w:val="18"/>
          <w:color w:val="auto"/>
        </w:rPr>
      </w:pPr>
      <w:r>
        <w:rPr>
          <w:rFonts w:ascii="Arial" w:cs="Arial" w:eastAsia="Arial" w:hAnsi="Arial"/>
          <w:sz w:val="18"/>
          <w:szCs w:val="18"/>
          <w:color w:val="auto"/>
        </w:rPr>
        <w:t>if the conditions in the stock market, the public debt market and other capital markets deteriorate;</w:t>
      </w:r>
    </w:p>
    <w:p>
      <w:pPr>
        <w:spacing w:after="0" w:line="7" w:lineRule="exact"/>
        <w:rPr>
          <w:rFonts w:ascii="Arial" w:cs="Arial" w:eastAsia="Arial" w:hAnsi="Arial"/>
          <w:sz w:val="18"/>
          <w:szCs w:val="18"/>
          <w:color w:val="auto"/>
        </w:rPr>
      </w:pPr>
    </w:p>
    <w:p>
      <w:pPr>
        <w:ind w:left="320" w:hanging="313"/>
        <w:spacing w:after="0"/>
        <w:tabs>
          <w:tab w:leader="none" w:pos="3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impact of the Dodd-Frank Act and related regulations and other changes in financial services laws and regulations;</w:t>
      </w:r>
    </w:p>
    <w:p>
      <w:pPr>
        <w:spacing w:after="0" w:line="7" w:lineRule="exact"/>
        <w:rPr>
          <w:rFonts w:ascii="Arial" w:cs="Arial" w:eastAsia="Arial" w:hAnsi="Arial"/>
          <w:sz w:val="18"/>
          <w:szCs w:val="18"/>
          <w:color w:val="auto"/>
        </w:rPr>
      </w:pPr>
    </w:p>
    <w:p>
      <w:pPr>
        <w:ind w:left="320" w:hanging="313"/>
        <w:spacing w:after="0"/>
        <w:tabs>
          <w:tab w:leader="none" w:pos="3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failure of other financial institutions;</w:t>
      </w:r>
    </w:p>
    <w:p>
      <w:pPr>
        <w:spacing w:after="0" w:line="7" w:lineRule="exact"/>
        <w:rPr>
          <w:rFonts w:ascii="Arial" w:cs="Arial" w:eastAsia="Arial" w:hAnsi="Arial"/>
          <w:sz w:val="18"/>
          <w:szCs w:val="18"/>
          <w:color w:val="auto"/>
        </w:rPr>
      </w:pPr>
    </w:p>
    <w:p>
      <w:pPr>
        <w:ind w:left="320" w:right="20" w:hanging="313"/>
        <w:spacing w:after="0" w:line="248" w:lineRule="auto"/>
        <w:tabs>
          <w:tab w:leader="none" w:pos="320" w:val="left"/>
        </w:tabs>
        <w:numPr>
          <w:ilvl w:val="0"/>
          <w:numId w:val="5"/>
        </w:numPr>
        <w:rPr>
          <w:rFonts w:ascii="Arial" w:cs="Arial" w:eastAsia="Arial" w:hAnsi="Arial"/>
          <w:sz w:val="18"/>
          <w:szCs w:val="18"/>
          <w:color w:val="auto"/>
        </w:rPr>
      </w:pPr>
      <w:r>
        <w:rPr>
          <w:rFonts w:ascii="Arial" w:cs="Arial" w:eastAsia="Arial" w:hAnsi="Arial"/>
          <w:sz w:val="18"/>
          <w:szCs w:val="18"/>
          <w:color w:val="auto"/>
        </w:rPr>
        <w:t>a special assessment that may be imposed by the FDIC on all FDIC-insured institutions in the future, similar to the assessment in 2009 that decreased our earnings;</w:t>
      </w:r>
    </w:p>
    <w:p>
      <w:pPr>
        <w:ind w:left="320" w:hanging="313"/>
        <w:spacing w:after="0" w:line="248" w:lineRule="auto"/>
        <w:tabs>
          <w:tab w:leader="none" w:pos="3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costs and effects of litigation, examinations, investigations, or similar matters, or adverse facts and developments related thereto, including possible dilution;</w:t>
      </w:r>
    </w:p>
    <w:p>
      <w:pPr>
        <w:ind w:left="320" w:hanging="313"/>
        <w:spacing w:after="0" w:line="248" w:lineRule="auto"/>
        <w:tabs>
          <w:tab w:leader="none" w:pos="32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regulatory or judicial proceedings, board resolutions, informal memorandums of understanding or formal enforcement actions imposed by regulators that may occur, or any such proceedings or enforcement actions that is more severe than we anticipate;</w:t>
      </w:r>
    </w:p>
    <w:p>
      <w:pPr>
        <w:ind w:left="320" w:hanging="313"/>
        <w:spacing w:after="0"/>
        <w:tabs>
          <w:tab w:leader="none" w:pos="3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risk that we may be required to increase the valuation allowance on our deferred tax asset in future periods; and</w:t>
      </w:r>
    </w:p>
    <w:p>
      <w:pPr>
        <w:spacing w:after="0" w:line="7" w:lineRule="exact"/>
        <w:rPr>
          <w:rFonts w:ascii="Arial" w:cs="Arial" w:eastAsia="Arial" w:hAnsi="Arial"/>
          <w:sz w:val="18"/>
          <w:szCs w:val="18"/>
          <w:color w:val="auto"/>
        </w:rPr>
      </w:pPr>
    </w:p>
    <w:p>
      <w:pPr>
        <w:ind w:left="320" w:hanging="313"/>
        <w:spacing w:after="0" w:line="257" w:lineRule="auto"/>
        <w:tabs>
          <w:tab w:leader="none" w:pos="3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risk that we could have an “ownership change” under Section 382 of the Internal Revenue Code, which could impair our ability to timely and fully realize our deferred tax asset balance.</w:t>
      </w:r>
    </w:p>
    <w:p>
      <w:pPr>
        <w:spacing w:after="0" w:line="21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Additional information with respect to factors that may cause actual results to differ materially from those contemplated by such forward-looking statements may also be included in other reports that United files with the Securities and Exchange Commission (the “SEC”). United cautions that the foregoing list of factors is not exclusive and not to place undue reliance on forward-looking statements. United does not intend to update any forward-looking statement, whether written or oral, relating to the matters discussed in this Form 10-Q.</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13970</wp:posOffset>
            </wp:positionV>
            <wp:extent cx="724789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7890" cy="8255"/>
                    </a:xfrm>
                    <a:prstGeom prst="rect">
                      <a:avLst/>
                    </a:prstGeom>
                    <a:noFill/>
                  </pic:spPr>
                </pic:pic>
              </a:graphicData>
            </a:graphic>
          </wp:anchor>
        </w:drawing>
      </w:r>
    </w:p>
    <w:p>
      <w:pPr>
        <w:sectPr>
          <w:pgSz w:w="11900" w:h="16838" w:orient="portrait"/>
          <w:cols w:equalWidth="0" w:num="1">
            <w:col w:w="11420"/>
          </w:cols>
          <w:pgMar w:left="240" w:top="885" w:right="2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auto"/>
        </w:rPr>
        <w:t>Overview</w:t>
      </w:r>
    </w:p>
    <w:p>
      <w:pPr>
        <w:spacing w:after="0" w:line="252"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following discussion is intended to provide insight into the results of operations and financial condition of United Community Banks, Inc. (“United”) and its subsidiaries and should be read in conjunction with the consolidated financial statements and accompanying notes.</w:t>
      </w:r>
    </w:p>
    <w:p>
      <w:pPr>
        <w:spacing w:after="0" w:line="20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United is a bank holding company registered with the Board of Governors of the Federal Reserve under the Bank Holding Company Act of 1956 that was incorporated under the laws of the state of Georgia in 1987 and commenced operations in 1988. At June 30, 2013, United had total consolidated assets of $7.16 billion and total loans of $4.19 billion (excluding the loans acquired from Southern Community Bank (“SCB”) that are covered by loss sharing agreements). United also had total deposits of $6.01 billion and shareholders’ equity of $829 million.</w:t>
      </w:r>
    </w:p>
    <w:p>
      <w:pPr>
        <w:spacing w:after="0" w:line="21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United’s activities are primarily conducted by its wholly-owned Georgia banking subsidiary, United Community Bank (the “Bank”). The Bank’s operations are conducted under a community bank model that operates 27 “community banks” with local bank presidents and boards in north Georgia, the Atlanta-Sandy Springs-Roswell, Georgia metropolitan statistical area, the Gainesville, Georgia metropolitan statistical area, coastal Georgia, western North Carolina, east Tennessee and the Greenville-Anderson-Mauldin, South Carolina metropolitan statistical area.</w:t>
      </w:r>
    </w:p>
    <w:p>
      <w:pPr>
        <w:spacing w:after="0" w:line="21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Included in management’s discussion and analysis are certain non-GAAP (accounting principles generally accepted in the United States of America (“GAAP”)) performance measures. United’s management believes that non-GAAP performance measures are useful in analyzing United’s financial performance trends and therefore this section will refer to non-GAAP performance measures. A reconciliation of these non-GAAP performance measures to GAAP performance measures is included in the table on page 41.</w:t>
      </w:r>
    </w:p>
    <w:p>
      <w:pPr>
        <w:spacing w:after="0" w:line="215"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United reported net income of $230 million for the second quarter of 2013. This compared to net income of $6.50 million for the second quarter of 2012. Diluted earnings per common share was $3.90 for the second quarter of 2013, compared to diluted earnings per common share of $.06 for the second quarter of 2012.</w:t>
      </w:r>
    </w:p>
    <w:p>
      <w:pPr>
        <w:spacing w:after="0" w:line="211"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For the six months ended June 30, 2013, United reported net income of $242 million. This compared to net income of $18.0 million for the first six months of 2012. Diluted earnings per common share was $4.05 for the six months ended June 30, 2013, compared to diluted earnings per common share of $.21 for the six months ended June 30, 2012.</w:t>
      </w:r>
    </w:p>
    <w:p>
      <w:pPr>
        <w:spacing w:after="0" w:line="21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Second quarter and year-to-date 2013 earnings were significantly impacted by the reversal of the valuation allowance on United’s net deferred tax asset and the sales of classified assets including a large bulk sale transaction. The classified asset sales resulted in a pre-tax loss of $26.8 million for the quarter which was more than offset by a significant credit to income tax expense resulting from the removal of most of the valuation allowance on United’s deferred tax assets. The income statement lines affected by these two significant events was a significant increase in the provision for loan losses and foreclosed property expense from the classified asset sales and the recognition of a tax benefit in the income tax line from the valuation allowance reversal.</w:t>
      </w:r>
    </w:p>
    <w:p>
      <w:pPr>
        <w:spacing w:after="0" w:line="19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Taxable equivalent net interest revenue was $54.6 million for the second quarter of 2013, compared to $56.8 million for the same period of 2012. The decrease in net interest revenue was primarily the result of the lower yields on the loan and securities portfolios, which were due to loan pricing competition and reinvestment of maturing securities proceeds at record low rates. The impact of the decrease in average earning asset yield was mostly offset by lower deposit rates. Net interest margin decreased from 3.43% for the three months ended June 30, 2012 to 3.31% for the same period in 2013. For the six months ended June 30, 2013, taxable equivalent revenue was $109 million, compared to $116 million for the same period of 2012. Net interest margin decreased from 3.48% for the six months ended June 30, 2012, to 3.34% for the same period in 2013.</w:t>
      </w:r>
    </w:p>
    <w:p>
      <w:pPr>
        <w:spacing w:after="0" w:line="20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United’s provision for loan losses was $48.5 million for the three months ended June 30, 2013, compared to $18.0 million for the same period in 2012. Net charge-offs for the second quarter of 2013 were $72.4 million, compared to $18.9 million for the second quarter of 2012. For the six months ended June 30, 2013, United’s provision for loan losses was $59.5 million, compared to $33.0 million for the same period of 2012. The sales of approximately $151 million in classified loans in the second quarter resulted in a $53.5 million increase in net charge-offs as well as the $30.5 million increase in the provision for loan losses from the second quarter of 2012.</w:t>
      </w:r>
    </w:p>
    <w:p>
      <w:pPr>
        <w:spacing w:after="0" w:line="21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As of June 30, 2013, United’s allowance for loan losses was $81.8 million, or 1.95% of loans, compared to $113 million, or 2.74% of loans, at June 30, 2012. Nonperforming assets of $31.8 million, which excludes assets of SCB that are covered by loss sharing agreements with the FDIC, decreased to .44% of total assets at June 30, 2013 from 2.16% as of June 30, 2012, due to the second quarter 2013 classified asset sales. During the second quarter of 2013, $13.2 million in loans were placed on nonaccrual compared with $29.4 million in the second quarter of 2012.</w:t>
      </w:r>
    </w:p>
    <w:p>
      <w:pPr>
        <w:spacing w:after="0" w:line="19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Fee revenue of $163 million increased $3.45 million, or 27%, from the second quarter of 2012, and for the first six months of 2013, totaled $29.1 million, an increase of $892,000, or 3%, from the first six months of 2012. The quarterly increase was due primarily to an increase in mortgage loan and related fees and gains from hedge ineffectiveness. Also contributing to the increase was a $1.37 million death benefit on a bank-owned life insurance policy as well as $468,000 in gains from the sale of low income housing credits. In addition, other fee revenue included an increase of $489,000 related to customer derivative fees from our commercial loan swap program. The year-to-date increase in fee revenue resulted primarily from mortgage loan and related fees.</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13970</wp:posOffset>
            </wp:positionV>
            <wp:extent cx="724789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7890" cy="8255"/>
                    </a:xfrm>
                    <a:prstGeom prst="rect">
                      <a:avLst/>
                    </a:prstGeom>
                    <a:noFill/>
                  </pic:spPr>
                </pic:pic>
              </a:graphicData>
            </a:graphic>
          </wp:anchor>
        </w:drawing>
      </w:r>
    </w:p>
    <w:p>
      <w:pPr>
        <w:sectPr>
          <w:pgSz w:w="11900" w:h="16838" w:orient="portrait"/>
          <w:cols w:equalWidth="0" w:num="1">
            <w:col w:w="11420"/>
          </w:cols>
          <w:pgMar w:left="240" w:top="885" w:right="239" w:bottom="1440" w:gutter="0" w:footer="0" w:header="0"/>
        </w:sectPr>
      </w:pPr>
    </w:p>
    <w:bookmarkStart w:id="42" w:name="page43"/>
    <w:bookmarkEnd w:id="42"/>
    <w:p>
      <w:pPr>
        <w:jc w:val="both"/>
        <w:spacing w:after="0" w:line="270" w:lineRule="auto"/>
        <w:rPr>
          <w:sz w:val="20"/>
          <w:szCs w:val="20"/>
          <w:color w:val="auto"/>
        </w:rPr>
      </w:pPr>
      <w:r>
        <w:rPr>
          <w:rFonts w:ascii="Arial" w:cs="Arial" w:eastAsia="Arial" w:hAnsi="Arial"/>
          <w:sz w:val="17"/>
          <w:szCs w:val="17"/>
          <w:color w:val="auto"/>
        </w:rPr>
        <w:t>For the second quarter of 2013, operating expenses of $48.8 million were up $4.51 million from the second quarter of 2012. The increase was primarily related to $3.30 million more in foreclosed property expense, driven by higher losses in conjunction with the classified asset sales. Higher salary and employee benefits accounted for $437,000 of the increase, and included severance costs of $1.56 million compared with $1.16 million a year ago. Professional fees increased $547,000 from the second quarter of 2012, due to legal costs and consulting services. For the six months ended June 30, 2013, operating expenses of $92.6 million were up $1.33 million from the same period of 2012, mainly due to the same factors that contributed to the quarterly increase. Management continues its efforts to reduce costs and improve operating efficiency.</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25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June of 2013, United reversed $272 million of its deferred tax asset valuation allowance. The DTA valuation allowance recovery was the result of United’s sustained profitability and improving credit quality that has led to significantly lower credit costs which provided positive objective evidence that outweighed the prior negative evidence and allowed United to reverse its valuation allowance. Also in June 2013, United sold classified assets which included performing classified loans, non-performing loans and foreclosed properties, and helped lower United’s non-performing assets to $31.8 million as of June 30, 2013, or .44% of total assets.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5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accounting and reporting policies of United are in accordance with GAAP and conform to general practices within the banking industry. The more critical accounting and reporting policies include United’s accounting for the allowance for loan losses, fair value measurements, and income taxes which involve the use of estimates and require significant judgments to be made by management. Different assumptions in the application of these policies could result in material changes in United’s consolidated financial position or consolidated results of operations. See “Asset Quality and Risk Elements” herein for additional discussion of United’s accounting methodologies related to the allowance for loan losses.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GAAP Reconciliation and Explanation</w:t>
      </w:r>
    </w:p>
    <w:p>
      <w:pPr>
        <w:spacing w:after="0" w:line="252"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This Form 10-Q contains non-GAAP financial measures, which are performance measures determined by methods other than in accordance with GAAP. Such non-GAAP financial measures include, among others the following: taxable equivalent interest revenue, taxable equivalent net interest revenue, tangible book value per share, tangible equity to assets, tangible common equity to assets and tangible common equity to risk-weighted assets. Management uses these non-GAAP financial measures because it believes they are useful for evaluating our operations and performance over periods of time, as well as in managing and evaluating our business and in discussions about our operations and performance. Management believes these non-GAAP financial measures provide users of our financial information with a meaningful measure for assessing our financial results and credit trends, as well as comparison to financial results for prior periods. These non-GAAP financial measures should not be considered as a substitute for operating results determined in accordance with GAAP and may not be comparable to other similarly titled financial measures used by other companies. A reconciliation of these operating performance measures to GAAP performance measures is included in on the table on page 41.</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13970</wp:posOffset>
            </wp:positionV>
            <wp:extent cx="724789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7890" cy="8255"/>
                    </a:xfrm>
                    <a:prstGeom prst="rect">
                      <a:avLst/>
                    </a:prstGeom>
                    <a:noFill/>
                  </pic:spPr>
                </pic:pic>
              </a:graphicData>
            </a:graphic>
          </wp:anchor>
        </w:drawing>
      </w:r>
    </w:p>
    <w:p>
      <w:pPr>
        <w:sectPr>
          <w:pgSz w:w="11900" w:h="16838" w:orient="portrait"/>
          <w:cols w:equalWidth="0" w:num="1">
            <w:col w:w="11420"/>
          </w:cols>
          <w:pgMar w:left="240" w:top="915" w:right="23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color w:val="auto"/>
        </w:rPr>
        <w:t>Table 1 - Financial Highlights</w:t>
      </w:r>
    </w:p>
    <w:p>
      <w:pPr>
        <w:spacing w:after="0" w:line="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Selected Financial Information</w:t>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12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gridSpan w:val="2"/>
          </w:tcPr>
          <w:p>
            <w:pPr>
              <w:jc w:val="center"/>
              <w:ind w:right="300"/>
              <w:spacing w:after="0"/>
              <w:rPr>
                <w:sz w:val="20"/>
                <w:szCs w:val="20"/>
                <w:color w:val="auto"/>
              </w:rPr>
            </w:pPr>
            <w:r>
              <w:rPr>
                <w:rFonts w:ascii="Arial" w:cs="Arial" w:eastAsia="Arial" w:hAnsi="Arial"/>
                <w:sz w:val="18"/>
                <w:szCs w:val="18"/>
                <w:b w:val="1"/>
                <w:bCs w:val="1"/>
                <w:color w:val="auto"/>
                <w:w w:val="82"/>
              </w:rPr>
              <w:t>Second</w:t>
            </w:r>
          </w:p>
        </w:tc>
        <w:tc>
          <w:tcPr>
            <w:tcW w:w="100" w:type="dxa"/>
            <w:vAlign w:val="bottom"/>
            <w:tcBorders>
              <w:top w:val="single" w:sz="8" w:color="auto"/>
            </w:tcBorders>
          </w:tcPr>
          <w:p>
            <w:pPr>
              <w:spacing w:after="0"/>
              <w:rPr>
                <w:sz w:val="19"/>
                <w:szCs w:val="19"/>
                <w:color w:val="auto"/>
              </w:rPr>
            </w:pPr>
          </w:p>
        </w:tc>
        <w:tc>
          <w:tcPr>
            <w:tcW w:w="1700" w:type="dxa"/>
            <w:vAlign w:val="bottom"/>
            <w:tcBorders>
              <w:top w:val="single" w:sz="8" w:color="auto"/>
            </w:tcBorders>
            <w:gridSpan w:val="4"/>
          </w:tcPr>
          <w:p>
            <w:pPr>
              <w:jc w:val="center"/>
              <w:ind w:right="171"/>
              <w:spacing w:after="0"/>
              <w:rPr>
                <w:sz w:val="20"/>
                <w:szCs w:val="20"/>
                <w:color w:val="auto"/>
              </w:rPr>
            </w:pPr>
            <w:r>
              <w:rPr>
                <w:rFonts w:ascii="Arial" w:cs="Arial" w:eastAsia="Arial" w:hAnsi="Arial"/>
                <w:sz w:val="18"/>
                <w:szCs w:val="18"/>
                <w:b w:val="1"/>
                <w:bCs w:val="1"/>
                <w:color w:val="auto"/>
                <w:w w:val="90"/>
              </w:rPr>
              <w:t>For the Six</w:t>
            </w:r>
          </w:p>
        </w:tc>
        <w:tc>
          <w:tcPr>
            <w:tcW w:w="6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31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2013</w:t>
            </w:r>
          </w:p>
        </w:tc>
        <w:tc>
          <w:tcPr>
            <w:tcW w:w="760" w:type="dxa"/>
            <w:vAlign w:val="bottom"/>
            <w:tcBorders>
              <w:bottom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center"/>
              <w:ind w:right="171"/>
              <w:spacing w:after="0"/>
              <w:rPr>
                <w:sz w:val="20"/>
                <w:szCs w:val="20"/>
                <w:color w:val="auto"/>
              </w:rPr>
            </w:pPr>
            <w:r>
              <w:rPr>
                <w:rFonts w:ascii="Arial" w:cs="Arial" w:eastAsia="Arial" w:hAnsi="Arial"/>
                <w:sz w:val="18"/>
                <w:szCs w:val="18"/>
                <w:b w:val="1"/>
                <w:bCs w:val="1"/>
                <w:color w:val="auto"/>
                <w:w w:val="89"/>
              </w:rPr>
              <w:t>2012</w:t>
            </w:r>
          </w:p>
        </w:tc>
        <w:tc>
          <w:tcPr>
            <w:tcW w:w="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5"/>
              </w:rPr>
              <w:t>Quarter</w:t>
            </w:r>
          </w:p>
        </w:tc>
        <w:tc>
          <w:tcPr>
            <w:tcW w:w="100" w:type="dxa"/>
            <w:vAlign w:val="bottom"/>
          </w:tcPr>
          <w:p>
            <w:pPr>
              <w:spacing w:after="0"/>
              <w:rPr>
                <w:sz w:val="20"/>
                <w:szCs w:val="20"/>
                <w:color w:val="auto"/>
              </w:rPr>
            </w:pPr>
          </w:p>
        </w:tc>
        <w:tc>
          <w:tcPr>
            <w:tcW w:w="1700" w:type="dxa"/>
            <w:vAlign w:val="bottom"/>
            <w:gridSpan w:val="4"/>
          </w:tcPr>
          <w:p>
            <w:pPr>
              <w:jc w:val="center"/>
              <w:ind w:right="171"/>
              <w:spacing w:after="0"/>
              <w:rPr>
                <w:sz w:val="20"/>
                <w:szCs w:val="20"/>
                <w:color w:val="auto"/>
              </w:rPr>
            </w:pPr>
            <w:r>
              <w:rPr>
                <w:rFonts w:ascii="Arial" w:cs="Arial" w:eastAsia="Arial" w:hAnsi="Arial"/>
                <w:sz w:val="18"/>
                <w:szCs w:val="18"/>
                <w:b w:val="1"/>
                <w:bCs w:val="1"/>
                <w:color w:val="auto"/>
                <w:w w:val="90"/>
              </w:rPr>
              <w:t>Months Ended</w:t>
            </w:r>
          </w:p>
        </w:tc>
        <w:tc>
          <w:tcPr>
            <w:tcW w:w="60" w:type="dxa"/>
            <w:vAlign w:val="bottom"/>
          </w:tcPr>
          <w:p>
            <w:pPr>
              <w:spacing w:after="0"/>
              <w:rPr>
                <w:sz w:val="20"/>
                <w:szCs w:val="20"/>
                <w:color w:val="auto"/>
              </w:rPr>
            </w:pPr>
          </w:p>
        </w:tc>
        <w:tc>
          <w:tcPr>
            <w:tcW w:w="840" w:type="dxa"/>
            <w:vAlign w:val="bottom"/>
          </w:tcPr>
          <w:p>
            <w:pPr>
              <w:jc w:val="center"/>
              <w:spacing w:after="0"/>
              <w:rPr>
                <w:sz w:val="20"/>
                <w:szCs w:val="20"/>
                <w:color w:val="auto"/>
              </w:rPr>
            </w:pPr>
            <w:r>
              <w:rPr>
                <w:rFonts w:ascii="Arial" w:cs="Arial" w:eastAsia="Arial" w:hAnsi="Arial"/>
                <w:sz w:val="18"/>
                <w:szCs w:val="18"/>
                <w:b w:val="1"/>
                <w:bCs w:val="1"/>
                <w:color w:val="auto"/>
                <w:w w:val="99"/>
              </w:rPr>
              <w:t>YTD</w:t>
            </w:r>
          </w:p>
        </w:tc>
        <w:tc>
          <w:tcPr>
            <w:tcW w:w="0" w:type="dxa"/>
            <w:vAlign w:val="bottom"/>
          </w:tcPr>
          <w:p>
            <w:pPr>
              <w:spacing w:after="0"/>
              <w:rPr>
                <w:sz w:val="1"/>
                <w:szCs w:val="1"/>
                <w:color w:val="auto"/>
              </w:rPr>
            </w:pPr>
          </w:p>
        </w:tc>
      </w:tr>
      <w:tr>
        <w:trPr>
          <w:trHeight w:val="221"/>
        </w:trPr>
        <w:tc>
          <w:tcPr>
            <w:tcW w:w="3120" w:type="dxa"/>
            <w:vAlign w:val="bottom"/>
          </w:tcPr>
          <w:p>
            <w:pPr>
              <w:spacing w:after="0"/>
              <w:rPr>
                <w:sz w:val="20"/>
                <w:szCs w:val="20"/>
                <w:color w:val="auto"/>
              </w:rPr>
            </w:pPr>
            <w:r>
              <w:rPr>
                <w:rFonts w:ascii="Arial" w:cs="Arial" w:eastAsia="Arial" w:hAnsi="Arial"/>
                <w:sz w:val="18"/>
                <w:szCs w:val="18"/>
                <w:i w:val="1"/>
                <w:iCs w:val="1"/>
                <w:color w:val="auto"/>
              </w:rPr>
              <w:t>(in thousands, except per share</w:t>
            </w:r>
          </w:p>
        </w:tc>
        <w:tc>
          <w:tcPr>
            <w:tcW w:w="80" w:type="dxa"/>
            <w:vAlign w:val="bottom"/>
          </w:tcPr>
          <w:p>
            <w:pPr>
              <w:spacing w:after="0"/>
              <w:rPr>
                <w:sz w:val="19"/>
                <w:szCs w:val="19"/>
                <w:color w:val="auto"/>
              </w:rPr>
            </w:pPr>
          </w:p>
        </w:tc>
        <w:tc>
          <w:tcPr>
            <w:tcW w:w="680" w:type="dxa"/>
            <w:vAlign w:val="bottom"/>
          </w:tcPr>
          <w:p>
            <w:pPr>
              <w:jc w:val="right"/>
              <w:ind w:right="31"/>
              <w:spacing w:after="0"/>
              <w:rPr>
                <w:sz w:val="20"/>
                <w:szCs w:val="20"/>
                <w:color w:val="auto"/>
              </w:rPr>
            </w:pPr>
            <w:r>
              <w:rPr>
                <w:rFonts w:ascii="Arial" w:cs="Arial" w:eastAsia="Arial" w:hAnsi="Arial"/>
                <w:sz w:val="18"/>
                <w:szCs w:val="18"/>
                <w:b w:val="1"/>
                <w:bCs w:val="1"/>
                <w:color w:val="auto"/>
                <w:w w:val="82"/>
              </w:rPr>
              <w:t>Second</w:t>
            </w: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ind w:right="231"/>
              <w:spacing w:after="0"/>
              <w:rPr>
                <w:sz w:val="20"/>
                <w:szCs w:val="20"/>
                <w:color w:val="auto"/>
              </w:rPr>
            </w:pPr>
            <w:r>
              <w:rPr>
                <w:rFonts w:ascii="Arial" w:cs="Arial" w:eastAsia="Arial" w:hAnsi="Arial"/>
                <w:sz w:val="18"/>
                <w:szCs w:val="18"/>
                <w:b w:val="1"/>
                <w:bCs w:val="1"/>
                <w:color w:val="auto"/>
              </w:rPr>
              <w:t>First</w:t>
            </w:r>
          </w:p>
        </w:tc>
        <w:tc>
          <w:tcPr>
            <w:tcW w:w="40" w:type="dxa"/>
            <w:vAlign w:val="bottom"/>
          </w:tcPr>
          <w:p>
            <w:pPr>
              <w:spacing w:after="0"/>
              <w:rPr>
                <w:sz w:val="19"/>
                <w:szCs w:val="19"/>
                <w:color w:val="auto"/>
              </w:rPr>
            </w:pPr>
          </w:p>
        </w:tc>
        <w:tc>
          <w:tcPr>
            <w:tcW w:w="840" w:type="dxa"/>
            <w:vAlign w:val="bottom"/>
            <w:gridSpan w:val="2"/>
          </w:tcPr>
          <w:p>
            <w:pPr>
              <w:jc w:val="right"/>
              <w:ind w:right="131"/>
              <w:spacing w:after="0"/>
              <w:rPr>
                <w:sz w:val="20"/>
                <w:szCs w:val="20"/>
                <w:color w:val="auto"/>
              </w:rPr>
            </w:pPr>
            <w:r>
              <w:rPr>
                <w:rFonts w:ascii="Arial" w:cs="Arial" w:eastAsia="Arial" w:hAnsi="Arial"/>
                <w:sz w:val="18"/>
                <w:szCs w:val="18"/>
                <w:b w:val="1"/>
                <w:bCs w:val="1"/>
                <w:color w:val="auto"/>
              </w:rPr>
              <w:t>Fourth</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center"/>
              <w:ind w:right="171"/>
              <w:spacing w:after="0"/>
              <w:rPr>
                <w:sz w:val="20"/>
                <w:szCs w:val="20"/>
                <w:color w:val="auto"/>
              </w:rPr>
            </w:pPr>
            <w:r>
              <w:rPr>
                <w:rFonts w:ascii="Arial" w:cs="Arial" w:eastAsia="Arial" w:hAnsi="Arial"/>
                <w:sz w:val="18"/>
                <w:szCs w:val="18"/>
                <w:b w:val="1"/>
                <w:bCs w:val="1"/>
                <w:color w:val="auto"/>
                <w:w w:val="97"/>
              </w:rPr>
              <w:t>Third</w:t>
            </w:r>
          </w:p>
        </w:tc>
        <w:tc>
          <w:tcPr>
            <w:tcW w:w="60" w:type="dxa"/>
            <w:vAlign w:val="bottom"/>
          </w:tcPr>
          <w:p>
            <w:pPr>
              <w:spacing w:after="0"/>
              <w:rPr>
                <w:sz w:val="19"/>
                <w:szCs w:val="19"/>
                <w:color w:val="auto"/>
              </w:rPr>
            </w:pPr>
          </w:p>
        </w:tc>
        <w:tc>
          <w:tcPr>
            <w:tcW w:w="840" w:type="dxa"/>
            <w:vAlign w:val="bottom"/>
            <w:gridSpan w:val="2"/>
          </w:tcPr>
          <w:p>
            <w:pPr>
              <w:jc w:val="right"/>
              <w:ind w:right="131"/>
              <w:spacing w:after="0"/>
              <w:rPr>
                <w:sz w:val="20"/>
                <w:szCs w:val="20"/>
                <w:color w:val="auto"/>
              </w:rPr>
            </w:pPr>
            <w:r>
              <w:rPr>
                <w:rFonts w:ascii="Arial" w:cs="Arial" w:eastAsia="Arial" w:hAnsi="Arial"/>
                <w:sz w:val="18"/>
                <w:szCs w:val="18"/>
                <w:b w:val="1"/>
                <w:bCs w:val="1"/>
                <w:color w:val="auto"/>
                <w:w w:val="92"/>
              </w:rPr>
              <w:t>Second</w:t>
            </w:r>
          </w:p>
        </w:tc>
        <w:tc>
          <w:tcPr>
            <w:tcW w:w="1120" w:type="dxa"/>
            <w:vAlign w:val="bottom"/>
            <w:gridSpan w:val="2"/>
          </w:tcPr>
          <w:p>
            <w:pPr>
              <w:jc w:val="right"/>
              <w:ind w:right="151"/>
              <w:spacing w:after="0"/>
              <w:rPr>
                <w:sz w:val="20"/>
                <w:szCs w:val="20"/>
                <w:color w:val="auto"/>
              </w:rPr>
            </w:pPr>
            <w:r>
              <w:rPr>
                <w:rFonts w:ascii="Arial" w:cs="Arial" w:eastAsia="Arial" w:hAnsi="Arial"/>
                <w:sz w:val="18"/>
                <w:szCs w:val="18"/>
                <w:b w:val="1"/>
                <w:bCs w:val="1"/>
                <w:color w:val="auto"/>
                <w:w w:val="99"/>
              </w:rPr>
              <w:t>2013-2012</w:t>
            </w:r>
          </w:p>
        </w:tc>
        <w:tc>
          <w:tcPr>
            <w:tcW w:w="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gridSpan w:val="4"/>
          </w:tcPr>
          <w:p>
            <w:pPr>
              <w:jc w:val="center"/>
              <w:ind w:right="171"/>
              <w:spacing w:after="0"/>
              <w:rPr>
                <w:sz w:val="20"/>
                <w:szCs w:val="20"/>
                <w:color w:val="auto"/>
              </w:rPr>
            </w:pPr>
            <w:r>
              <w:rPr>
                <w:rFonts w:ascii="Arial" w:cs="Arial" w:eastAsia="Arial" w:hAnsi="Arial"/>
                <w:sz w:val="18"/>
                <w:szCs w:val="18"/>
                <w:b w:val="1"/>
                <w:bCs w:val="1"/>
                <w:color w:val="auto"/>
                <w:w w:val="88"/>
              </w:rPr>
              <w:t>June 30,</w:t>
            </w:r>
          </w:p>
        </w:tc>
        <w:tc>
          <w:tcPr>
            <w:tcW w:w="900" w:type="dxa"/>
            <w:vAlign w:val="bottom"/>
            <w:gridSpan w:val="2"/>
          </w:tcPr>
          <w:p>
            <w:pPr>
              <w:jc w:val="center"/>
              <w:ind w:left="11"/>
              <w:spacing w:after="0"/>
              <w:rPr>
                <w:sz w:val="20"/>
                <w:szCs w:val="20"/>
                <w:color w:val="auto"/>
              </w:rPr>
            </w:pPr>
            <w:r>
              <w:rPr>
                <w:rFonts w:ascii="Arial" w:cs="Arial" w:eastAsia="Arial" w:hAnsi="Arial"/>
                <w:sz w:val="18"/>
                <w:szCs w:val="18"/>
                <w:b w:val="1"/>
                <w:bCs w:val="1"/>
                <w:color w:val="auto"/>
                <w:w w:val="88"/>
              </w:rPr>
              <w:t>2013-2012</w:t>
            </w:r>
          </w:p>
        </w:tc>
        <w:tc>
          <w:tcPr>
            <w:tcW w:w="0" w:type="dxa"/>
            <w:vAlign w:val="bottom"/>
          </w:tcPr>
          <w:p>
            <w:pPr>
              <w:spacing w:after="0"/>
              <w:rPr>
                <w:sz w:val="1"/>
                <w:szCs w:val="1"/>
                <w:color w:val="auto"/>
              </w:rPr>
            </w:pPr>
          </w:p>
        </w:tc>
      </w:tr>
      <w:tr>
        <w:trPr>
          <w:trHeight w:val="221"/>
        </w:trPr>
        <w:tc>
          <w:tcPr>
            <w:tcW w:w="3120" w:type="dxa"/>
            <w:vAlign w:val="bottom"/>
          </w:tcPr>
          <w:p>
            <w:pPr>
              <w:spacing w:after="0"/>
              <w:rPr>
                <w:sz w:val="20"/>
                <w:szCs w:val="20"/>
                <w:color w:val="auto"/>
              </w:rPr>
            </w:pPr>
            <w:r>
              <w:rPr>
                <w:rFonts w:ascii="Arial" w:cs="Arial" w:eastAsia="Arial" w:hAnsi="Arial"/>
                <w:sz w:val="18"/>
                <w:szCs w:val="18"/>
                <w:i w:val="1"/>
                <w:iCs w:val="1"/>
                <w:color w:val="auto"/>
              </w:rPr>
              <w:t>data; taxable equivalent)</w:t>
            </w:r>
          </w:p>
        </w:tc>
        <w:tc>
          <w:tcPr>
            <w:tcW w:w="760" w:type="dxa"/>
            <w:vAlign w:val="bottom"/>
            <w:gridSpan w:val="2"/>
          </w:tcPr>
          <w:p>
            <w:pPr>
              <w:jc w:val="right"/>
              <w:spacing w:after="0"/>
              <w:rPr>
                <w:sz w:val="20"/>
                <w:szCs w:val="20"/>
                <w:color w:val="auto"/>
              </w:rPr>
            </w:pPr>
            <w:r>
              <w:rPr>
                <w:rFonts w:ascii="Arial" w:cs="Arial" w:eastAsia="Arial" w:hAnsi="Arial"/>
                <w:sz w:val="18"/>
                <w:szCs w:val="18"/>
                <w:b w:val="1"/>
                <w:bCs w:val="1"/>
                <w:color w:val="auto"/>
              </w:rPr>
              <w:t>Quarter</w:t>
            </w: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60" w:type="dxa"/>
            <w:vAlign w:val="bottom"/>
            <w:gridSpan w:val="2"/>
          </w:tcPr>
          <w:p>
            <w:pPr>
              <w:jc w:val="right"/>
              <w:ind w:right="111"/>
              <w:spacing w:after="0"/>
              <w:rPr>
                <w:sz w:val="20"/>
                <w:szCs w:val="20"/>
                <w:color w:val="auto"/>
              </w:rPr>
            </w:pPr>
            <w:r>
              <w:rPr>
                <w:rFonts w:ascii="Arial" w:cs="Arial" w:eastAsia="Arial" w:hAnsi="Arial"/>
                <w:sz w:val="18"/>
                <w:szCs w:val="18"/>
                <w:b w:val="1"/>
                <w:bCs w:val="1"/>
                <w:color w:val="auto"/>
                <w:w w:val="98"/>
              </w:rPr>
              <w:t>Quarter</w:t>
            </w:r>
          </w:p>
        </w:tc>
        <w:tc>
          <w:tcPr>
            <w:tcW w:w="40" w:type="dxa"/>
            <w:vAlign w:val="bottom"/>
          </w:tcPr>
          <w:p>
            <w:pPr>
              <w:spacing w:after="0"/>
              <w:rPr>
                <w:sz w:val="19"/>
                <w:szCs w:val="19"/>
                <w:color w:val="auto"/>
              </w:rPr>
            </w:pPr>
          </w:p>
        </w:tc>
        <w:tc>
          <w:tcPr>
            <w:tcW w:w="840" w:type="dxa"/>
            <w:vAlign w:val="bottom"/>
            <w:gridSpan w:val="2"/>
          </w:tcPr>
          <w:p>
            <w:pPr>
              <w:jc w:val="right"/>
              <w:ind w:right="91"/>
              <w:spacing w:after="0"/>
              <w:rPr>
                <w:sz w:val="20"/>
                <w:szCs w:val="20"/>
                <w:color w:val="auto"/>
              </w:rPr>
            </w:pPr>
            <w:r>
              <w:rPr>
                <w:rFonts w:ascii="Arial" w:cs="Arial" w:eastAsia="Arial" w:hAnsi="Arial"/>
                <w:sz w:val="18"/>
                <w:szCs w:val="18"/>
                <w:b w:val="1"/>
                <w:bCs w:val="1"/>
                <w:color w:val="auto"/>
                <w:w w:val="98"/>
              </w:rPr>
              <w:t>Quarter</w:t>
            </w:r>
          </w:p>
        </w:tc>
        <w:tc>
          <w:tcPr>
            <w:tcW w:w="60" w:type="dxa"/>
            <w:vAlign w:val="bottom"/>
          </w:tcPr>
          <w:p>
            <w:pPr>
              <w:spacing w:after="0"/>
              <w:rPr>
                <w:sz w:val="19"/>
                <w:szCs w:val="19"/>
                <w:color w:val="auto"/>
              </w:rPr>
            </w:pPr>
          </w:p>
        </w:tc>
        <w:tc>
          <w:tcPr>
            <w:tcW w:w="840" w:type="dxa"/>
            <w:vAlign w:val="bottom"/>
            <w:gridSpan w:val="2"/>
          </w:tcPr>
          <w:p>
            <w:pPr>
              <w:jc w:val="center"/>
              <w:ind w:right="51"/>
              <w:spacing w:after="0"/>
              <w:rPr>
                <w:sz w:val="20"/>
                <w:szCs w:val="20"/>
                <w:color w:val="auto"/>
              </w:rPr>
            </w:pPr>
            <w:r>
              <w:rPr>
                <w:rFonts w:ascii="Arial" w:cs="Arial" w:eastAsia="Arial" w:hAnsi="Arial"/>
                <w:sz w:val="18"/>
                <w:szCs w:val="18"/>
                <w:b w:val="1"/>
                <w:bCs w:val="1"/>
                <w:color w:val="auto"/>
                <w:w w:val="95"/>
              </w:rPr>
              <w:t>Quarter</w:t>
            </w:r>
          </w:p>
        </w:tc>
        <w:tc>
          <w:tcPr>
            <w:tcW w:w="60" w:type="dxa"/>
            <w:vAlign w:val="bottom"/>
          </w:tcPr>
          <w:p>
            <w:pPr>
              <w:spacing w:after="0"/>
              <w:rPr>
                <w:sz w:val="19"/>
                <w:szCs w:val="19"/>
                <w:color w:val="auto"/>
              </w:rPr>
            </w:pPr>
          </w:p>
        </w:tc>
        <w:tc>
          <w:tcPr>
            <w:tcW w:w="840" w:type="dxa"/>
            <w:vAlign w:val="bottom"/>
            <w:gridSpan w:val="2"/>
          </w:tcPr>
          <w:p>
            <w:pPr>
              <w:jc w:val="right"/>
              <w:ind w:right="91"/>
              <w:spacing w:after="0"/>
              <w:rPr>
                <w:sz w:val="20"/>
                <w:szCs w:val="20"/>
                <w:color w:val="auto"/>
              </w:rPr>
            </w:pPr>
            <w:r>
              <w:rPr>
                <w:rFonts w:ascii="Arial" w:cs="Arial" w:eastAsia="Arial" w:hAnsi="Arial"/>
                <w:sz w:val="18"/>
                <w:szCs w:val="18"/>
                <w:b w:val="1"/>
                <w:bCs w:val="1"/>
                <w:color w:val="auto"/>
                <w:w w:val="98"/>
              </w:rPr>
              <w:t>Quarter</w:t>
            </w:r>
          </w:p>
        </w:tc>
        <w:tc>
          <w:tcPr>
            <w:tcW w:w="60" w:type="dxa"/>
            <w:vAlign w:val="bottom"/>
          </w:tcPr>
          <w:p>
            <w:pPr>
              <w:spacing w:after="0"/>
              <w:rPr>
                <w:sz w:val="19"/>
                <w:szCs w:val="19"/>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7"/>
              </w:rPr>
              <w:t>Change</w:t>
            </w:r>
          </w:p>
        </w:tc>
        <w:tc>
          <w:tcPr>
            <w:tcW w:w="100" w:type="dxa"/>
            <w:vAlign w:val="bottom"/>
          </w:tcPr>
          <w:p>
            <w:pPr>
              <w:spacing w:after="0"/>
              <w:rPr>
                <w:sz w:val="19"/>
                <w:szCs w:val="19"/>
                <w:color w:val="auto"/>
              </w:rPr>
            </w:pPr>
          </w:p>
        </w:tc>
        <w:tc>
          <w:tcPr>
            <w:tcW w:w="800" w:type="dxa"/>
            <w:vAlign w:val="bottom"/>
          </w:tcPr>
          <w:p>
            <w:pPr>
              <w:jc w:val="right"/>
              <w:ind w:right="71"/>
              <w:spacing w:after="0"/>
              <w:rPr>
                <w:sz w:val="20"/>
                <w:szCs w:val="20"/>
                <w:color w:val="auto"/>
              </w:rPr>
            </w:pPr>
            <w:r>
              <w:rPr>
                <w:rFonts w:ascii="Arial" w:cs="Arial" w:eastAsia="Arial" w:hAnsi="Arial"/>
                <w:sz w:val="18"/>
                <w:szCs w:val="18"/>
                <w:b w:val="1"/>
                <w:bCs w:val="1"/>
                <w:color w:val="auto"/>
              </w:rPr>
              <w:t>2013</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jc w:val="right"/>
              <w:ind w:right="71"/>
              <w:spacing w:after="0"/>
              <w:rPr>
                <w:sz w:val="20"/>
                <w:szCs w:val="20"/>
                <w:color w:val="auto"/>
              </w:rPr>
            </w:pPr>
            <w:r>
              <w:rPr>
                <w:rFonts w:ascii="Arial" w:cs="Arial" w:eastAsia="Arial" w:hAnsi="Arial"/>
                <w:sz w:val="18"/>
                <w:szCs w:val="18"/>
                <w:b w:val="1"/>
                <w:bCs w:val="1"/>
                <w:color w:val="auto"/>
              </w:rPr>
              <w:t>2012</w:t>
            </w:r>
          </w:p>
        </w:tc>
        <w:tc>
          <w:tcPr>
            <w:tcW w:w="60" w:type="dxa"/>
            <w:vAlign w:val="bottom"/>
          </w:tcPr>
          <w:p>
            <w:pPr>
              <w:spacing w:after="0"/>
              <w:rPr>
                <w:sz w:val="19"/>
                <w:szCs w:val="19"/>
                <w:color w:val="auto"/>
              </w:rPr>
            </w:pPr>
          </w:p>
        </w:tc>
        <w:tc>
          <w:tcPr>
            <w:tcW w:w="840" w:type="dxa"/>
            <w:vAlign w:val="bottom"/>
          </w:tcPr>
          <w:p>
            <w:pPr>
              <w:jc w:val="center"/>
              <w:spacing w:after="0"/>
              <w:rPr>
                <w:sz w:val="20"/>
                <w:szCs w:val="20"/>
                <w:color w:val="auto"/>
              </w:rPr>
            </w:pPr>
            <w:r>
              <w:rPr>
                <w:rFonts w:ascii="Arial" w:cs="Arial" w:eastAsia="Arial" w:hAnsi="Arial"/>
                <w:sz w:val="18"/>
                <w:szCs w:val="18"/>
                <w:b w:val="1"/>
                <w:bCs w:val="1"/>
                <w:color w:val="auto"/>
                <w:w w:val="90"/>
              </w:rPr>
              <w:t>Change</w:t>
            </w:r>
          </w:p>
        </w:tc>
        <w:tc>
          <w:tcPr>
            <w:tcW w:w="0" w:type="dxa"/>
            <w:vAlign w:val="bottom"/>
          </w:tcPr>
          <w:p>
            <w:pPr>
              <w:spacing w:after="0"/>
              <w:rPr>
                <w:sz w:val="1"/>
                <w:szCs w:val="1"/>
                <w:color w:val="auto"/>
              </w:rPr>
            </w:pPr>
          </w:p>
        </w:tc>
      </w:tr>
      <w:tr>
        <w:trPr>
          <w:trHeight w:val="200"/>
        </w:trPr>
        <w:tc>
          <w:tcPr>
            <w:tcW w:w="3120" w:type="dxa"/>
            <w:vAlign w:val="bottom"/>
            <w:tcBorders>
              <w:top w:val="single" w:sz="8" w:color="auto"/>
            </w:tcBorders>
          </w:tcPr>
          <w:p>
            <w:pPr>
              <w:spacing w:after="0" w:line="200" w:lineRule="exact"/>
              <w:rPr>
                <w:sz w:val="20"/>
                <w:szCs w:val="20"/>
                <w:color w:val="auto"/>
              </w:rPr>
            </w:pPr>
            <w:r>
              <w:rPr>
                <w:rFonts w:ascii="Arial" w:cs="Arial" w:eastAsia="Arial" w:hAnsi="Arial"/>
                <w:sz w:val="18"/>
                <w:szCs w:val="18"/>
                <w:b w:val="1"/>
                <w:bCs w:val="1"/>
                <w:color w:val="auto"/>
              </w:rPr>
              <w:t>INCOME SUMMARY</w:t>
            </w:r>
          </w:p>
        </w:tc>
        <w:tc>
          <w:tcPr>
            <w:tcW w:w="8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3120" w:type="dxa"/>
            <w:vAlign w:val="bottom"/>
          </w:tcPr>
          <w:p>
            <w:pPr>
              <w:spacing w:after="0"/>
              <w:rPr>
                <w:sz w:val="20"/>
                <w:szCs w:val="20"/>
                <w:color w:val="auto"/>
              </w:rPr>
            </w:pPr>
            <w:r>
              <w:rPr>
                <w:rFonts w:ascii="Arial" w:cs="Arial" w:eastAsia="Arial" w:hAnsi="Arial"/>
                <w:sz w:val="18"/>
                <w:szCs w:val="18"/>
                <w:color w:val="auto"/>
              </w:rPr>
              <w:t>Interest revenue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61,693</w:t>
            </w:r>
          </w:p>
        </w:tc>
        <w:tc>
          <w:tcPr>
            <w:tcW w:w="18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91"/>
              <w:spacing w:after="0"/>
              <w:rPr>
                <w:sz w:val="20"/>
                <w:szCs w:val="20"/>
                <w:color w:val="auto"/>
              </w:rPr>
            </w:pPr>
            <w:r>
              <w:rPr>
                <w:rFonts w:ascii="Arial" w:cs="Arial" w:eastAsia="Arial" w:hAnsi="Arial"/>
                <w:sz w:val="18"/>
                <w:szCs w:val="18"/>
                <w:color w:val="auto"/>
              </w:rPr>
              <w:t>62,134</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71"/>
              <w:spacing w:after="0"/>
              <w:rPr>
                <w:sz w:val="20"/>
                <w:szCs w:val="20"/>
                <w:color w:val="auto"/>
              </w:rPr>
            </w:pPr>
            <w:r>
              <w:rPr>
                <w:rFonts w:ascii="Arial" w:cs="Arial" w:eastAsia="Arial" w:hAnsi="Arial"/>
                <w:sz w:val="18"/>
                <w:szCs w:val="18"/>
                <w:color w:val="auto"/>
              </w:rPr>
              <w:t>64,450</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71"/>
              <w:spacing w:after="0"/>
              <w:rPr>
                <w:sz w:val="20"/>
                <w:szCs w:val="20"/>
                <w:color w:val="auto"/>
              </w:rPr>
            </w:pPr>
            <w:r>
              <w:rPr>
                <w:rFonts w:ascii="Arial" w:cs="Arial" w:eastAsia="Arial" w:hAnsi="Arial"/>
                <w:sz w:val="18"/>
                <w:szCs w:val="18"/>
                <w:color w:val="auto"/>
              </w:rPr>
              <w:t>65,978</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71"/>
              <w:spacing w:after="0"/>
              <w:rPr>
                <w:sz w:val="20"/>
                <w:szCs w:val="20"/>
                <w:color w:val="auto"/>
              </w:rPr>
            </w:pPr>
            <w:r>
              <w:rPr>
                <w:rFonts w:ascii="Arial" w:cs="Arial" w:eastAsia="Arial" w:hAnsi="Arial"/>
                <w:sz w:val="18"/>
                <w:szCs w:val="18"/>
                <w:color w:val="auto"/>
              </w:rPr>
              <w:t>66,780</w:t>
            </w:r>
          </w:p>
        </w:tc>
        <w:tc>
          <w:tcPr>
            <w:tcW w:w="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ind w:right="71"/>
              <w:spacing w:after="0"/>
              <w:rPr>
                <w:sz w:val="20"/>
                <w:szCs w:val="20"/>
                <w:color w:val="auto"/>
              </w:rPr>
            </w:pPr>
            <w:r>
              <w:rPr>
                <w:rFonts w:ascii="Arial" w:cs="Arial" w:eastAsia="Arial" w:hAnsi="Arial"/>
                <w:sz w:val="18"/>
                <w:szCs w:val="18"/>
                <w:color w:val="auto"/>
                <w:w w:val="95"/>
              </w:rPr>
              <w:t>123,827</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71"/>
              <w:spacing w:after="0"/>
              <w:rPr>
                <w:sz w:val="20"/>
                <w:szCs w:val="20"/>
                <w:color w:val="auto"/>
              </w:rPr>
            </w:pPr>
            <w:r>
              <w:rPr>
                <w:rFonts w:ascii="Arial" w:cs="Arial" w:eastAsia="Arial" w:hAnsi="Arial"/>
                <w:sz w:val="18"/>
                <w:szCs w:val="18"/>
                <w:color w:val="auto"/>
                <w:w w:val="89"/>
              </w:rPr>
              <w:t>137,001</w:t>
            </w:r>
          </w:p>
        </w:tc>
        <w:tc>
          <w:tcPr>
            <w:tcW w:w="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3120" w:type="dxa"/>
            <w:vAlign w:val="bottom"/>
          </w:tcPr>
          <w:p>
            <w:pPr>
              <w:spacing w:after="0"/>
              <w:rPr>
                <w:sz w:val="20"/>
                <w:szCs w:val="20"/>
                <w:color w:val="auto"/>
              </w:rPr>
            </w:pPr>
            <w:r>
              <w:rPr>
                <w:rFonts w:ascii="Arial" w:cs="Arial" w:eastAsia="Arial" w:hAnsi="Arial"/>
                <w:sz w:val="18"/>
                <w:szCs w:val="18"/>
                <w:color w:val="auto"/>
              </w:rPr>
              <w:t>Interest expense</w:t>
            </w:r>
          </w:p>
        </w:tc>
        <w:tc>
          <w:tcPr>
            <w:tcW w:w="8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7,131</w:t>
            </w:r>
          </w:p>
        </w:tc>
        <w:tc>
          <w:tcPr>
            <w:tcW w:w="180" w:type="dxa"/>
            <w:vAlign w:val="bottom"/>
            <w:tcBorders>
              <w:bottom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7,475</w:t>
            </w:r>
          </w:p>
        </w:tc>
        <w:tc>
          <w:tcPr>
            <w:tcW w:w="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8,422</w:t>
            </w:r>
          </w:p>
        </w:tc>
        <w:tc>
          <w:tcPr>
            <w:tcW w:w="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8,607</w:t>
            </w:r>
          </w:p>
        </w:tc>
        <w:tc>
          <w:tcPr>
            <w:tcW w:w="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9,944</w:t>
            </w:r>
          </w:p>
        </w:tc>
        <w:tc>
          <w:tcPr>
            <w:tcW w:w="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14,606</w:t>
            </w:r>
          </w:p>
        </w:tc>
        <w:tc>
          <w:tcPr>
            <w:tcW w:w="6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21,301</w:t>
            </w:r>
          </w:p>
        </w:tc>
        <w:tc>
          <w:tcPr>
            <w:tcW w:w="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0"/>
        </w:trPr>
        <w:tc>
          <w:tcPr>
            <w:tcW w:w="3120" w:type="dxa"/>
            <w:vAlign w:val="bottom"/>
          </w:tcPr>
          <w:p>
            <w:pPr>
              <w:ind w:left="180"/>
              <w:spacing w:after="0" w:line="200" w:lineRule="exact"/>
              <w:rPr>
                <w:sz w:val="20"/>
                <w:szCs w:val="20"/>
                <w:color w:val="auto"/>
              </w:rPr>
            </w:pPr>
            <w:r>
              <w:rPr>
                <w:rFonts w:ascii="Arial" w:cs="Arial" w:eastAsia="Arial" w:hAnsi="Arial"/>
                <w:sz w:val="18"/>
                <w:szCs w:val="18"/>
                <w:color w:val="auto"/>
              </w:rPr>
              <w:t>Net interest revenue</w:t>
            </w:r>
          </w:p>
        </w:tc>
        <w:tc>
          <w:tcPr>
            <w:tcW w:w="80" w:type="dxa"/>
            <w:vAlign w:val="bottom"/>
          </w:tcPr>
          <w:p>
            <w:pPr>
              <w:spacing w:after="0"/>
              <w:rPr>
                <w:sz w:val="17"/>
                <w:szCs w:val="17"/>
                <w:color w:val="auto"/>
              </w:rPr>
            </w:pPr>
          </w:p>
        </w:tc>
        <w:tc>
          <w:tcPr>
            <w:tcW w:w="680" w:type="dxa"/>
            <w:vAlign w:val="bottom"/>
          </w:tcPr>
          <w:p>
            <w:pPr>
              <w:jc w:val="right"/>
              <w:spacing w:after="0" w:line="200" w:lineRule="exact"/>
              <w:rPr>
                <w:sz w:val="20"/>
                <w:szCs w:val="20"/>
                <w:color w:val="auto"/>
              </w:rPr>
            </w:pPr>
            <w:r>
              <w:rPr>
                <w:rFonts w:ascii="Arial" w:cs="Arial" w:eastAsia="Arial" w:hAnsi="Arial"/>
                <w:sz w:val="18"/>
                <w:szCs w:val="18"/>
                <w:color w:val="auto"/>
              </w:rPr>
              <w:t>54,562</w:t>
            </w: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right"/>
              <w:ind w:right="91"/>
              <w:spacing w:after="0" w:line="200" w:lineRule="exact"/>
              <w:rPr>
                <w:sz w:val="20"/>
                <w:szCs w:val="20"/>
                <w:color w:val="auto"/>
              </w:rPr>
            </w:pPr>
            <w:r>
              <w:rPr>
                <w:rFonts w:ascii="Arial" w:cs="Arial" w:eastAsia="Arial" w:hAnsi="Arial"/>
                <w:sz w:val="18"/>
                <w:szCs w:val="18"/>
                <w:color w:val="auto"/>
              </w:rPr>
              <w:t>54,659</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ind w:right="71"/>
              <w:spacing w:after="0" w:line="200" w:lineRule="exact"/>
              <w:rPr>
                <w:sz w:val="20"/>
                <w:szCs w:val="20"/>
                <w:color w:val="auto"/>
              </w:rPr>
            </w:pPr>
            <w:r>
              <w:rPr>
                <w:rFonts w:ascii="Arial" w:cs="Arial" w:eastAsia="Arial" w:hAnsi="Arial"/>
                <w:sz w:val="18"/>
                <w:szCs w:val="18"/>
                <w:color w:val="auto"/>
              </w:rPr>
              <w:t>56,028</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ind w:right="71"/>
              <w:spacing w:after="0" w:line="200" w:lineRule="exact"/>
              <w:rPr>
                <w:sz w:val="20"/>
                <w:szCs w:val="20"/>
                <w:color w:val="auto"/>
              </w:rPr>
            </w:pPr>
            <w:r>
              <w:rPr>
                <w:rFonts w:ascii="Arial" w:cs="Arial" w:eastAsia="Arial" w:hAnsi="Arial"/>
                <w:sz w:val="18"/>
                <w:szCs w:val="18"/>
                <w:color w:val="auto"/>
              </w:rPr>
              <w:t>57,371</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ind w:right="71"/>
              <w:spacing w:after="0" w:line="200" w:lineRule="exact"/>
              <w:rPr>
                <w:sz w:val="20"/>
                <w:szCs w:val="20"/>
                <w:color w:val="auto"/>
              </w:rPr>
            </w:pPr>
            <w:r>
              <w:rPr>
                <w:rFonts w:ascii="Arial" w:cs="Arial" w:eastAsia="Arial" w:hAnsi="Arial"/>
                <w:sz w:val="18"/>
                <w:szCs w:val="18"/>
                <w:color w:val="auto"/>
              </w:rPr>
              <w:t>56,836</w:t>
            </w:r>
          </w:p>
        </w:tc>
        <w:tc>
          <w:tcPr>
            <w:tcW w:w="1120" w:type="dxa"/>
            <w:vAlign w:val="bottom"/>
            <w:gridSpan w:val="2"/>
          </w:tcPr>
          <w:p>
            <w:pPr>
              <w:jc w:val="right"/>
              <w:spacing w:after="0" w:line="200" w:lineRule="exact"/>
              <w:rPr>
                <w:sz w:val="20"/>
                <w:szCs w:val="20"/>
                <w:color w:val="auto"/>
              </w:rPr>
            </w:pPr>
            <w:r>
              <w:rPr>
                <w:rFonts w:ascii="Arial" w:cs="Arial" w:eastAsia="Arial" w:hAnsi="Arial"/>
                <w:sz w:val="18"/>
                <w:szCs w:val="18"/>
                <w:color w:val="auto"/>
              </w:rPr>
              <w:t>(4) %</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ind w:right="71"/>
              <w:spacing w:after="0" w:line="200" w:lineRule="exact"/>
              <w:rPr>
                <w:sz w:val="20"/>
                <w:szCs w:val="20"/>
                <w:color w:val="auto"/>
              </w:rPr>
            </w:pPr>
            <w:r>
              <w:rPr>
                <w:rFonts w:ascii="Arial" w:cs="Arial" w:eastAsia="Arial" w:hAnsi="Arial"/>
                <w:sz w:val="18"/>
                <w:szCs w:val="18"/>
                <w:color w:val="auto"/>
                <w:w w:val="95"/>
              </w:rPr>
              <w:t>109,221</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jc w:val="right"/>
              <w:ind w:right="71"/>
              <w:spacing w:after="0" w:line="200" w:lineRule="exact"/>
              <w:rPr>
                <w:sz w:val="20"/>
                <w:szCs w:val="20"/>
                <w:color w:val="auto"/>
              </w:rPr>
            </w:pPr>
            <w:r>
              <w:rPr>
                <w:rFonts w:ascii="Arial" w:cs="Arial" w:eastAsia="Arial" w:hAnsi="Arial"/>
                <w:sz w:val="18"/>
                <w:szCs w:val="18"/>
                <w:color w:val="auto"/>
                <w:w w:val="89"/>
              </w:rPr>
              <w:t>115,700</w:t>
            </w:r>
          </w:p>
        </w:tc>
        <w:tc>
          <w:tcPr>
            <w:tcW w:w="900" w:type="dxa"/>
            <w:vAlign w:val="bottom"/>
            <w:gridSpan w:val="2"/>
          </w:tcPr>
          <w:p>
            <w:pPr>
              <w:jc w:val="right"/>
              <w:spacing w:after="0" w:line="200" w:lineRule="exact"/>
              <w:rPr>
                <w:sz w:val="20"/>
                <w:szCs w:val="20"/>
                <w:color w:val="auto"/>
              </w:rPr>
            </w:pPr>
            <w:r>
              <w:rPr>
                <w:rFonts w:ascii="Arial" w:cs="Arial" w:eastAsia="Arial" w:hAnsi="Arial"/>
                <w:sz w:val="18"/>
                <w:szCs w:val="18"/>
                <w:color w:val="auto"/>
              </w:rPr>
              <w:t>(6) %</w:t>
            </w:r>
          </w:p>
        </w:tc>
        <w:tc>
          <w:tcPr>
            <w:tcW w:w="0" w:type="dxa"/>
            <w:vAlign w:val="bottom"/>
          </w:tcPr>
          <w:p>
            <w:pPr>
              <w:spacing w:after="0"/>
              <w:rPr>
                <w:sz w:val="1"/>
                <w:szCs w:val="1"/>
                <w:color w:val="auto"/>
              </w:rPr>
            </w:pPr>
          </w:p>
        </w:tc>
      </w:tr>
      <w:tr>
        <w:trPr>
          <w:trHeight w:val="214"/>
        </w:trPr>
        <w:tc>
          <w:tcPr>
            <w:tcW w:w="3120" w:type="dxa"/>
            <w:vAlign w:val="bottom"/>
          </w:tcPr>
          <w:p>
            <w:pPr>
              <w:spacing w:after="0"/>
              <w:rPr>
                <w:sz w:val="20"/>
                <w:szCs w:val="20"/>
                <w:color w:val="auto"/>
              </w:rPr>
            </w:pPr>
            <w:r>
              <w:rPr>
                <w:rFonts w:ascii="Arial" w:cs="Arial" w:eastAsia="Arial" w:hAnsi="Arial"/>
                <w:sz w:val="18"/>
                <w:szCs w:val="18"/>
                <w:color w:val="auto"/>
              </w:rPr>
              <w:t>Provision for loan losses</w:t>
            </w:r>
          </w:p>
        </w:tc>
        <w:tc>
          <w:tcPr>
            <w:tcW w:w="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48,500</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ind w:right="91"/>
              <w:spacing w:after="0"/>
              <w:rPr>
                <w:sz w:val="20"/>
                <w:szCs w:val="20"/>
                <w:color w:val="auto"/>
              </w:rPr>
            </w:pPr>
            <w:r>
              <w:rPr>
                <w:rFonts w:ascii="Arial" w:cs="Arial" w:eastAsia="Arial" w:hAnsi="Arial"/>
                <w:sz w:val="18"/>
                <w:szCs w:val="18"/>
                <w:color w:val="auto"/>
              </w:rPr>
              <w:t>11,000</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ind w:right="71"/>
              <w:spacing w:after="0"/>
              <w:rPr>
                <w:sz w:val="20"/>
                <w:szCs w:val="20"/>
                <w:color w:val="auto"/>
              </w:rPr>
            </w:pPr>
            <w:r>
              <w:rPr>
                <w:rFonts w:ascii="Arial" w:cs="Arial" w:eastAsia="Arial" w:hAnsi="Arial"/>
                <w:sz w:val="18"/>
                <w:szCs w:val="18"/>
                <w:color w:val="auto"/>
              </w:rPr>
              <w:t>14,000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ind w:right="71"/>
              <w:spacing w:after="0"/>
              <w:rPr>
                <w:sz w:val="20"/>
                <w:szCs w:val="20"/>
                <w:color w:val="auto"/>
              </w:rPr>
            </w:pPr>
            <w:r>
              <w:rPr>
                <w:rFonts w:ascii="Arial" w:cs="Arial" w:eastAsia="Arial" w:hAnsi="Arial"/>
                <w:sz w:val="18"/>
                <w:szCs w:val="18"/>
                <w:color w:val="auto"/>
              </w:rPr>
              <w:t>15,500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ind w:right="71"/>
              <w:spacing w:after="0"/>
              <w:rPr>
                <w:sz w:val="20"/>
                <w:szCs w:val="20"/>
                <w:color w:val="auto"/>
              </w:rPr>
            </w:pPr>
            <w:r>
              <w:rPr>
                <w:rFonts w:ascii="Arial" w:cs="Arial" w:eastAsia="Arial" w:hAnsi="Arial"/>
                <w:sz w:val="18"/>
                <w:szCs w:val="18"/>
                <w:color w:val="auto"/>
              </w:rPr>
              <w:t>18,000</w:t>
            </w:r>
          </w:p>
        </w:tc>
        <w:tc>
          <w:tcPr>
            <w:tcW w:w="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ind w:right="71"/>
              <w:spacing w:after="0"/>
              <w:rPr>
                <w:sz w:val="20"/>
                <w:szCs w:val="20"/>
                <w:color w:val="auto"/>
              </w:rPr>
            </w:pPr>
            <w:r>
              <w:rPr>
                <w:rFonts w:ascii="Arial" w:cs="Arial" w:eastAsia="Arial" w:hAnsi="Arial"/>
                <w:sz w:val="18"/>
                <w:szCs w:val="18"/>
                <w:color w:val="auto"/>
              </w:rPr>
              <w:t>59,500</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jc w:val="right"/>
              <w:ind w:right="71"/>
              <w:spacing w:after="0"/>
              <w:rPr>
                <w:sz w:val="20"/>
                <w:szCs w:val="20"/>
                <w:color w:val="auto"/>
              </w:rPr>
            </w:pPr>
            <w:r>
              <w:rPr>
                <w:rFonts w:ascii="Arial" w:cs="Arial" w:eastAsia="Arial" w:hAnsi="Arial"/>
                <w:sz w:val="18"/>
                <w:szCs w:val="18"/>
                <w:color w:val="auto"/>
              </w:rPr>
              <w:t>33,000</w:t>
            </w:r>
          </w:p>
        </w:tc>
        <w:tc>
          <w:tcPr>
            <w:tcW w:w="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3120" w:type="dxa"/>
            <w:vAlign w:val="bottom"/>
          </w:tcPr>
          <w:p>
            <w:pPr>
              <w:spacing w:after="0"/>
              <w:rPr>
                <w:sz w:val="20"/>
                <w:szCs w:val="20"/>
                <w:color w:val="auto"/>
              </w:rPr>
            </w:pPr>
            <w:r>
              <w:rPr>
                <w:rFonts w:ascii="Arial" w:cs="Arial" w:eastAsia="Arial" w:hAnsi="Arial"/>
                <w:sz w:val="18"/>
                <w:szCs w:val="18"/>
                <w:color w:val="auto"/>
              </w:rPr>
              <w:t>Fee revenue</w:t>
            </w:r>
          </w:p>
        </w:tc>
        <w:tc>
          <w:tcPr>
            <w:tcW w:w="8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16,312</w:t>
            </w:r>
          </w:p>
        </w:tc>
        <w:tc>
          <w:tcPr>
            <w:tcW w:w="180" w:type="dxa"/>
            <w:vAlign w:val="bottom"/>
            <w:tcBorders>
              <w:bottom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12,826</w:t>
            </w:r>
          </w:p>
        </w:tc>
        <w:tc>
          <w:tcPr>
            <w:tcW w:w="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14,761</w:t>
            </w:r>
          </w:p>
        </w:tc>
        <w:tc>
          <w:tcPr>
            <w:tcW w:w="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13,764</w:t>
            </w:r>
          </w:p>
        </w:tc>
        <w:tc>
          <w:tcPr>
            <w:tcW w:w="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12,867</w:t>
            </w:r>
          </w:p>
        </w:tc>
        <w:tc>
          <w:tcPr>
            <w:tcW w:w="1120" w:type="dxa"/>
            <w:vAlign w:val="bottom"/>
            <w:gridSpan w:val="2"/>
          </w:tcPr>
          <w:p>
            <w:pPr>
              <w:jc w:val="right"/>
              <w:ind w:right="151"/>
              <w:spacing w:after="0"/>
              <w:rPr>
                <w:sz w:val="20"/>
                <w:szCs w:val="20"/>
                <w:color w:val="auto"/>
              </w:rPr>
            </w:pPr>
            <w:r>
              <w:rPr>
                <w:rFonts w:ascii="Arial" w:cs="Arial" w:eastAsia="Arial" w:hAnsi="Arial"/>
                <w:sz w:val="18"/>
                <w:szCs w:val="18"/>
                <w:color w:val="auto"/>
              </w:rPr>
              <w:t>27</w:t>
            </w:r>
          </w:p>
        </w:tc>
        <w:tc>
          <w:tcPr>
            <w:tcW w:w="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29,138</w:t>
            </w:r>
          </w:p>
        </w:tc>
        <w:tc>
          <w:tcPr>
            <w:tcW w:w="6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28,246</w:t>
            </w:r>
          </w:p>
        </w:tc>
        <w:tc>
          <w:tcPr>
            <w:tcW w:w="900" w:type="dxa"/>
            <w:vAlign w:val="bottom"/>
            <w:gridSpan w:val="2"/>
          </w:tcPr>
          <w:p>
            <w:pPr>
              <w:jc w:val="right"/>
              <w:ind w:right="151"/>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0"/>
        </w:trPr>
        <w:tc>
          <w:tcPr>
            <w:tcW w:w="3120" w:type="dxa"/>
            <w:vAlign w:val="bottom"/>
          </w:tcPr>
          <w:p>
            <w:pPr>
              <w:ind w:left="140"/>
              <w:spacing w:after="0" w:line="200" w:lineRule="exact"/>
              <w:rPr>
                <w:sz w:val="20"/>
                <w:szCs w:val="20"/>
                <w:color w:val="auto"/>
              </w:rPr>
            </w:pPr>
            <w:r>
              <w:rPr>
                <w:rFonts w:ascii="Arial" w:cs="Arial" w:eastAsia="Arial" w:hAnsi="Arial"/>
                <w:sz w:val="18"/>
                <w:szCs w:val="18"/>
                <w:b w:val="1"/>
                <w:bCs w:val="1"/>
                <w:color w:val="auto"/>
              </w:rPr>
              <w:t>Total revenue</w:t>
            </w:r>
          </w:p>
        </w:tc>
        <w:tc>
          <w:tcPr>
            <w:tcW w:w="80" w:type="dxa"/>
            <w:vAlign w:val="bottom"/>
          </w:tcPr>
          <w:p>
            <w:pPr>
              <w:spacing w:after="0"/>
              <w:rPr>
                <w:sz w:val="17"/>
                <w:szCs w:val="17"/>
                <w:color w:val="auto"/>
              </w:rPr>
            </w:pPr>
          </w:p>
        </w:tc>
        <w:tc>
          <w:tcPr>
            <w:tcW w:w="680" w:type="dxa"/>
            <w:vAlign w:val="bottom"/>
          </w:tcPr>
          <w:p>
            <w:pPr>
              <w:jc w:val="right"/>
              <w:spacing w:after="0" w:line="200" w:lineRule="exact"/>
              <w:rPr>
                <w:sz w:val="20"/>
                <w:szCs w:val="20"/>
                <w:color w:val="auto"/>
              </w:rPr>
            </w:pPr>
            <w:r>
              <w:rPr>
                <w:rFonts w:ascii="Arial" w:cs="Arial" w:eastAsia="Arial" w:hAnsi="Arial"/>
                <w:sz w:val="18"/>
                <w:szCs w:val="18"/>
                <w:color w:val="auto"/>
              </w:rPr>
              <w:t>22,374</w:t>
            </w: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right"/>
              <w:ind w:right="91"/>
              <w:spacing w:after="0" w:line="200" w:lineRule="exact"/>
              <w:rPr>
                <w:sz w:val="20"/>
                <w:szCs w:val="20"/>
                <w:color w:val="auto"/>
              </w:rPr>
            </w:pPr>
            <w:r>
              <w:rPr>
                <w:rFonts w:ascii="Arial" w:cs="Arial" w:eastAsia="Arial" w:hAnsi="Arial"/>
                <w:sz w:val="18"/>
                <w:szCs w:val="18"/>
                <w:color w:val="auto"/>
              </w:rPr>
              <w:t>56,485</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ind w:right="71"/>
              <w:spacing w:after="0" w:line="200" w:lineRule="exact"/>
              <w:rPr>
                <w:sz w:val="20"/>
                <w:szCs w:val="20"/>
                <w:color w:val="auto"/>
              </w:rPr>
            </w:pPr>
            <w:r>
              <w:rPr>
                <w:rFonts w:ascii="Arial" w:cs="Arial" w:eastAsia="Arial" w:hAnsi="Arial"/>
                <w:sz w:val="18"/>
                <w:szCs w:val="18"/>
                <w:color w:val="auto"/>
              </w:rPr>
              <w:t>56,789</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ind w:right="71"/>
              <w:spacing w:after="0" w:line="200" w:lineRule="exact"/>
              <w:rPr>
                <w:sz w:val="20"/>
                <w:szCs w:val="20"/>
                <w:color w:val="auto"/>
              </w:rPr>
            </w:pPr>
            <w:r>
              <w:rPr>
                <w:rFonts w:ascii="Arial" w:cs="Arial" w:eastAsia="Arial" w:hAnsi="Arial"/>
                <w:sz w:val="18"/>
                <w:szCs w:val="18"/>
                <w:color w:val="auto"/>
              </w:rPr>
              <w:t>55,635</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ind w:right="71"/>
              <w:spacing w:after="0" w:line="200" w:lineRule="exact"/>
              <w:rPr>
                <w:sz w:val="20"/>
                <w:szCs w:val="20"/>
                <w:color w:val="auto"/>
              </w:rPr>
            </w:pPr>
            <w:r>
              <w:rPr>
                <w:rFonts w:ascii="Arial" w:cs="Arial" w:eastAsia="Arial" w:hAnsi="Arial"/>
                <w:sz w:val="18"/>
                <w:szCs w:val="18"/>
                <w:color w:val="auto"/>
              </w:rPr>
              <w:t>51,703</w:t>
            </w:r>
          </w:p>
        </w:tc>
        <w:tc>
          <w:tcPr>
            <w:tcW w:w="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ind w:right="71"/>
              <w:spacing w:after="0" w:line="200" w:lineRule="exact"/>
              <w:rPr>
                <w:sz w:val="20"/>
                <w:szCs w:val="20"/>
                <w:color w:val="auto"/>
              </w:rPr>
            </w:pPr>
            <w:r>
              <w:rPr>
                <w:rFonts w:ascii="Arial" w:cs="Arial" w:eastAsia="Arial" w:hAnsi="Arial"/>
                <w:sz w:val="18"/>
                <w:szCs w:val="18"/>
                <w:color w:val="auto"/>
              </w:rPr>
              <w:t>78,859</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jc w:val="right"/>
              <w:ind w:right="71"/>
              <w:spacing w:after="0" w:line="200" w:lineRule="exact"/>
              <w:rPr>
                <w:sz w:val="20"/>
                <w:szCs w:val="20"/>
                <w:color w:val="auto"/>
              </w:rPr>
            </w:pPr>
            <w:r>
              <w:rPr>
                <w:rFonts w:ascii="Arial" w:cs="Arial" w:eastAsia="Arial" w:hAnsi="Arial"/>
                <w:sz w:val="18"/>
                <w:szCs w:val="18"/>
                <w:color w:val="auto"/>
                <w:w w:val="89"/>
              </w:rPr>
              <w:t>110,946</w:t>
            </w:r>
          </w:p>
        </w:tc>
        <w:tc>
          <w:tcPr>
            <w:tcW w:w="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3120" w:type="dxa"/>
            <w:vAlign w:val="bottom"/>
          </w:tcPr>
          <w:p>
            <w:pPr>
              <w:spacing w:after="0"/>
              <w:rPr>
                <w:sz w:val="20"/>
                <w:szCs w:val="20"/>
                <w:color w:val="auto"/>
              </w:rPr>
            </w:pPr>
            <w:r>
              <w:rPr>
                <w:rFonts w:ascii="Arial" w:cs="Arial" w:eastAsia="Arial" w:hAnsi="Arial"/>
                <w:sz w:val="18"/>
                <w:szCs w:val="18"/>
                <w:color w:val="auto"/>
              </w:rPr>
              <w:t>Operating expenses</w:t>
            </w:r>
          </w:p>
        </w:tc>
        <w:tc>
          <w:tcPr>
            <w:tcW w:w="8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48,823</w:t>
            </w:r>
          </w:p>
        </w:tc>
        <w:tc>
          <w:tcPr>
            <w:tcW w:w="180" w:type="dxa"/>
            <w:vAlign w:val="bottom"/>
            <w:tcBorders>
              <w:bottom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43,770</w:t>
            </w:r>
          </w:p>
        </w:tc>
        <w:tc>
          <w:tcPr>
            <w:tcW w:w="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50,726</w:t>
            </w:r>
          </w:p>
        </w:tc>
        <w:tc>
          <w:tcPr>
            <w:tcW w:w="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44,783</w:t>
            </w:r>
          </w:p>
        </w:tc>
        <w:tc>
          <w:tcPr>
            <w:tcW w:w="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44,310</w:t>
            </w:r>
          </w:p>
        </w:tc>
        <w:tc>
          <w:tcPr>
            <w:tcW w:w="1120" w:type="dxa"/>
            <w:vAlign w:val="bottom"/>
            <w:gridSpan w:val="2"/>
          </w:tcPr>
          <w:p>
            <w:pPr>
              <w:jc w:val="right"/>
              <w:ind w:right="151"/>
              <w:spacing w:after="0"/>
              <w:rPr>
                <w:sz w:val="20"/>
                <w:szCs w:val="20"/>
                <w:color w:val="auto"/>
              </w:rPr>
            </w:pPr>
            <w:r>
              <w:rPr>
                <w:rFonts w:ascii="Arial" w:cs="Arial" w:eastAsia="Arial" w:hAnsi="Arial"/>
                <w:sz w:val="18"/>
                <w:szCs w:val="18"/>
                <w:color w:val="auto"/>
              </w:rPr>
              <w:t>10</w:t>
            </w:r>
          </w:p>
        </w:tc>
        <w:tc>
          <w:tcPr>
            <w:tcW w:w="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92,593</w:t>
            </w:r>
          </w:p>
        </w:tc>
        <w:tc>
          <w:tcPr>
            <w:tcW w:w="6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91,265</w:t>
            </w:r>
          </w:p>
        </w:tc>
        <w:tc>
          <w:tcPr>
            <w:tcW w:w="900" w:type="dxa"/>
            <w:vAlign w:val="bottom"/>
            <w:gridSpan w:val="2"/>
          </w:tcPr>
          <w:p>
            <w:pPr>
              <w:jc w:val="right"/>
              <w:ind w:right="151"/>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0"/>
        </w:trPr>
        <w:tc>
          <w:tcPr>
            <w:tcW w:w="3120" w:type="dxa"/>
            <w:vAlign w:val="bottom"/>
          </w:tcPr>
          <w:p>
            <w:pPr>
              <w:ind w:left="160"/>
              <w:spacing w:after="0" w:line="200" w:lineRule="exact"/>
              <w:rPr>
                <w:sz w:val="20"/>
                <w:szCs w:val="20"/>
                <w:color w:val="auto"/>
              </w:rPr>
            </w:pPr>
            <w:r>
              <w:rPr>
                <w:rFonts w:ascii="Arial" w:cs="Arial" w:eastAsia="Arial" w:hAnsi="Arial"/>
                <w:sz w:val="18"/>
                <w:szCs w:val="18"/>
                <w:color w:val="auto"/>
              </w:rPr>
              <w:t>(Loss) income before income taxes</w:t>
            </w:r>
          </w:p>
        </w:tc>
        <w:tc>
          <w:tcPr>
            <w:tcW w:w="80" w:type="dxa"/>
            <w:vAlign w:val="bottom"/>
          </w:tcPr>
          <w:p>
            <w:pPr>
              <w:spacing w:after="0"/>
              <w:rPr>
                <w:sz w:val="17"/>
                <w:szCs w:val="17"/>
                <w:color w:val="auto"/>
              </w:rPr>
            </w:pPr>
          </w:p>
        </w:tc>
        <w:tc>
          <w:tcPr>
            <w:tcW w:w="860" w:type="dxa"/>
            <w:vAlign w:val="bottom"/>
            <w:gridSpan w:val="2"/>
          </w:tcPr>
          <w:p>
            <w:pPr>
              <w:jc w:val="right"/>
              <w:ind w:right="78"/>
              <w:spacing w:after="0" w:line="200" w:lineRule="exact"/>
              <w:rPr>
                <w:sz w:val="20"/>
                <w:szCs w:val="20"/>
                <w:color w:val="auto"/>
              </w:rPr>
            </w:pPr>
            <w:r>
              <w:rPr>
                <w:rFonts w:ascii="Arial" w:cs="Arial" w:eastAsia="Arial" w:hAnsi="Arial"/>
                <w:sz w:val="18"/>
                <w:szCs w:val="18"/>
                <w:color w:val="auto"/>
              </w:rPr>
              <w:t>(26,449)</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right"/>
              <w:ind w:right="91"/>
              <w:spacing w:after="0" w:line="200" w:lineRule="exact"/>
              <w:rPr>
                <w:sz w:val="20"/>
                <w:szCs w:val="20"/>
                <w:color w:val="auto"/>
              </w:rPr>
            </w:pPr>
            <w:r>
              <w:rPr>
                <w:rFonts w:ascii="Arial" w:cs="Arial" w:eastAsia="Arial" w:hAnsi="Arial"/>
                <w:sz w:val="18"/>
                <w:szCs w:val="18"/>
                <w:color w:val="auto"/>
              </w:rPr>
              <w:t>12,715</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ind w:right="71"/>
              <w:spacing w:after="0" w:line="200" w:lineRule="exact"/>
              <w:rPr>
                <w:sz w:val="20"/>
                <w:szCs w:val="20"/>
                <w:color w:val="auto"/>
              </w:rPr>
            </w:pPr>
            <w:r>
              <w:rPr>
                <w:rFonts w:ascii="Arial" w:cs="Arial" w:eastAsia="Arial" w:hAnsi="Arial"/>
                <w:sz w:val="18"/>
                <w:szCs w:val="18"/>
                <w:color w:val="auto"/>
              </w:rPr>
              <w:t>6,063</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ind w:right="71"/>
              <w:spacing w:after="0" w:line="200" w:lineRule="exact"/>
              <w:rPr>
                <w:sz w:val="20"/>
                <w:szCs w:val="20"/>
                <w:color w:val="auto"/>
              </w:rPr>
            </w:pPr>
            <w:r>
              <w:rPr>
                <w:rFonts w:ascii="Arial" w:cs="Arial" w:eastAsia="Arial" w:hAnsi="Arial"/>
                <w:sz w:val="18"/>
                <w:szCs w:val="18"/>
                <w:color w:val="auto"/>
              </w:rPr>
              <w:t>10,852</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ind w:right="71"/>
              <w:spacing w:after="0" w:line="200" w:lineRule="exact"/>
              <w:rPr>
                <w:sz w:val="20"/>
                <w:szCs w:val="20"/>
                <w:color w:val="auto"/>
              </w:rPr>
            </w:pPr>
            <w:r>
              <w:rPr>
                <w:rFonts w:ascii="Arial" w:cs="Arial" w:eastAsia="Arial" w:hAnsi="Arial"/>
                <w:sz w:val="18"/>
                <w:szCs w:val="18"/>
                <w:color w:val="auto"/>
              </w:rPr>
              <w:t>7,393</w:t>
            </w:r>
          </w:p>
        </w:tc>
        <w:tc>
          <w:tcPr>
            <w:tcW w:w="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ind w:right="11"/>
              <w:spacing w:after="0" w:line="200" w:lineRule="exact"/>
              <w:rPr>
                <w:sz w:val="20"/>
                <w:szCs w:val="20"/>
                <w:color w:val="auto"/>
              </w:rPr>
            </w:pPr>
            <w:r>
              <w:rPr>
                <w:rFonts w:ascii="Arial" w:cs="Arial" w:eastAsia="Arial" w:hAnsi="Arial"/>
                <w:sz w:val="18"/>
                <w:szCs w:val="18"/>
                <w:color w:val="auto"/>
              </w:rPr>
              <w:t>(13,734)</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jc w:val="right"/>
              <w:ind w:right="71"/>
              <w:spacing w:after="0" w:line="200" w:lineRule="exact"/>
              <w:rPr>
                <w:sz w:val="20"/>
                <w:szCs w:val="20"/>
                <w:color w:val="auto"/>
              </w:rPr>
            </w:pPr>
            <w:r>
              <w:rPr>
                <w:rFonts w:ascii="Arial" w:cs="Arial" w:eastAsia="Arial" w:hAnsi="Arial"/>
                <w:sz w:val="18"/>
                <w:szCs w:val="18"/>
                <w:color w:val="auto"/>
              </w:rPr>
              <w:t>19,681</w:t>
            </w:r>
          </w:p>
        </w:tc>
        <w:tc>
          <w:tcPr>
            <w:tcW w:w="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3120" w:type="dxa"/>
            <w:vAlign w:val="bottom"/>
          </w:tcPr>
          <w:p>
            <w:pPr>
              <w:spacing w:after="0"/>
              <w:rPr>
                <w:sz w:val="20"/>
                <w:szCs w:val="20"/>
                <w:color w:val="auto"/>
              </w:rPr>
            </w:pPr>
            <w:r>
              <w:rPr>
                <w:rFonts w:ascii="Arial" w:cs="Arial" w:eastAsia="Arial" w:hAnsi="Arial"/>
                <w:sz w:val="18"/>
                <w:szCs w:val="18"/>
                <w:color w:val="auto"/>
              </w:rPr>
              <w:t>Income tax (benefit) expense</w:t>
            </w:r>
          </w:p>
        </w:tc>
        <w:tc>
          <w:tcPr>
            <w:tcW w:w="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gridSpan w:val="2"/>
          </w:tcPr>
          <w:p>
            <w:pPr>
              <w:jc w:val="right"/>
              <w:ind w:right="78"/>
              <w:spacing w:after="0"/>
              <w:rPr>
                <w:sz w:val="20"/>
                <w:szCs w:val="20"/>
                <w:color w:val="auto"/>
              </w:rPr>
            </w:pPr>
            <w:r>
              <w:rPr>
                <w:rFonts w:ascii="Arial" w:cs="Arial" w:eastAsia="Arial" w:hAnsi="Arial"/>
                <w:sz w:val="18"/>
                <w:szCs w:val="18"/>
                <w:color w:val="auto"/>
                <w:w w:val="90"/>
              </w:rPr>
              <w:t>(256,413)</w:t>
            </w:r>
          </w:p>
        </w:tc>
        <w:tc>
          <w:tcPr>
            <w:tcW w:w="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950</w:t>
            </w:r>
          </w:p>
        </w:tc>
        <w:tc>
          <w:tcPr>
            <w:tcW w:w="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802</w:t>
            </w:r>
          </w:p>
        </w:tc>
        <w:tc>
          <w:tcPr>
            <w:tcW w:w="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284</w:t>
            </w:r>
          </w:p>
        </w:tc>
        <w:tc>
          <w:tcPr>
            <w:tcW w:w="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894</w:t>
            </w:r>
          </w:p>
        </w:tc>
        <w:tc>
          <w:tcPr>
            <w:tcW w:w="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w w:val="88"/>
              </w:rPr>
              <w:t>(255,463)</w:t>
            </w:r>
          </w:p>
        </w:tc>
        <w:tc>
          <w:tcPr>
            <w:tcW w:w="6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1,654</w:t>
            </w:r>
          </w:p>
        </w:tc>
        <w:tc>
          <w:tcPr>
            <w:tcW w:w="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0"/>
        </w:trPr>
        <w:tc>
          <w:tcPr>
            <w:tcW w:w="3120" w:type="dxa"/>
            <w:vAlign w:val="bottom"/>
          </w:tcPr>
          <w:p>
            <w:pPr>
              <w:ind w:left="160"/>
              <w:spacing w:after="0" w:line="200" w:lineRule="exact"/>
              <w:rPr>
                <w:sz w:val="20"/>
                <w:szCs w:val="20"/>
                <w:color w:val="auto"/>
              </w:rPr>
            </w:pPr>
            <w:r>
              <w:rPr>
                <w:rFonts w:ascii="Arial" w:cs="Arial" w:eastAsia="Arial" w:hAnsi="Arial"/>
                <w:sz w:val="18"/>
                <w:szCs w:val="18"/>
                <w:b w:val="1"/>
                <w:bCs w:val="1"/>
                <w:color w:val="auto"/>
              </w:rPr>
              <w:t>Net income</w:t>
            </w:r>
          </w:p>
        </w:tc>
        <w:tc>
          <w:tcPr>
            <w:tcW w:w="80" w:type="dxa"/>
            <w:vAlign w:val="bottom"/>
          </w:tcPr>
          <w:p>
            <w:pPr>
              <w:spacing w:after="0"/>
              <w:rPr>
                <w:sz w:val="17"/>
                <w:szCs w:val="17"/>
                <w:color w:val="auto"/>
              </w:rPr>
            </w:pPr>
          </w:p>
        </w:tc>
        <w:tc>
          <w:tcPr>
            <w:tcW w:w="680" w:type="dxa"/>
            <w:vAlign w:val="bottom"/>
          </w:tcPr>
          <w:p>
            <w:pPr>
              <w:jc w:val="right"/>
              <w:spacing w:after="0" w:line="200" w:lineRule="exact"/>
              <w:rPr>
                <w:sz w:val="20"/>
                <w:szCs w:val="20"/>
                <w:color w:val="auto"/>
              </w:rPr>
            </w:pPr>
            <w:r>
              <w:rPr>
                <w:rFonts w:ascii="Arial" w:cs="Arial" w:eastAsia="Arial" w:hAnsi="Arial"/>
                <w:sz w:val="18"/>
                <w:szCs w:val="18"/>
                <w:color w:val="auto"/>
                <w:w w:val="98"/>
              </w:rPr>
              <w:t>229,964</w:t>
            </w: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right"/>
              <w:ind w:right="91"/>
              <w:spacing w:after="0" w:line="200" w:lineRule="exact"/>
              <w:rPr>
                <w:sz w:val="20"/>
                <w:szCs w:val="20"/>
                <w:color w:val="auto"/>
              </w:rPr>
            </w:pPr>
            <w:r>
              <w:rPr>
                <w:rFonts w:ascii="Arial" w:cs="Arial" w:eastAsia="Arial" w:hAnsi="Arial"/>
                <w:sz w:val="18"/>
                <w:szCs w:val="18"/>
                <w:color w:val="auto"/>
              </w:rPr>
              <w:t>11,765</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ind w:right="71"/>
              <w:spacing w:after="0" w:line="200" w:lineRule="exact"/>
              <w:rPr>
                <w:sz w:val="20"/>
                <w:szCs w:val="20"/>
                <w:color w:val="auto"/>
              </w:rPr>
            </w:pPr>
            <w:r>
              <w:rPr>
                <w:rFonts w:ascii="Arial" w:cs="Arial" w:eastAsia="Arial" w:hAnsi="Arial"/>
                <w:sz w:val="18"/>
                <w:szCs w:val="18"/>
                <w:color w:val="auto"/>
              </w:rPr>
              <w:t>5,261</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ind w:right="71"/>
              <w:spacing w:after="0" w:line="200" w:lineRule="exact"/>
              <w:rPr>
                <w:sz w:val="20"/>
                <w:szCs w:val="20"/>
                <w:color w:val="auto"/>
              </w:rPr>
            </w:pPr>
            <w:r>
              <w:rPr>
                <w:rFonts w:ascii="Arial" w:cs="Arial" w:eastAsia="Arial" w:hAnsi="Arial"/>
                <w:sz w:val="18"/>
                <w:szCs w:val="18"/>
                <w:color w:val="auto"/>
              </w:rPr>
              <w:t>10,568</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ind w:right="71"/>
              <w:spacing w:after="0" w:line="200" w:lineRule="exact"/>
              <w:rPr>
                <w:sz w:val="20"/>
                <w:szCs w:val="20"/>
                <w:color w:val="auto"/>
              </w:rPr>
            </w:pPr>
            <w:r>
              <w:rPr>
                <w:rFonts w:ascii="Arial" w:cs="Arial" w:eastAsia="Arial" w:hAnsi="Arial"/>
                <w:sz w:val="18"/>
                <w:szCs w:val="18"/>
                <w:color w:val="auto"/>
              </w:rPr>
              <w:t>6,499</w:t>
            </w:r>
          </w:p>
        </w:tc>
        <w:tc>
          <w:tcPr>
            <w:tcW w:w="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ind w:right="71"/>
              <w:spacing w:after="0" w:line="200" w:lineRule="exact"/>
              <w:rPr>
                <w:sz w:val="20"/>
                <w:szCs w:val="20"/>
                <w:color w:val="auto"/>
              </w:rPr>
            </w:pPr>
            <w:r>
              <w:rPr>
                <w:rFonts w:ascii="Arial" w:cs="Arial" w:eastAsia="Arial" w:hAnsi="Arial"/>
                <w:sz w:val="18"/>
                <w:szCs w:val="18"/>
                <w:color w:val="auto"/>
                <w:w w:val="95"/>
              </w:rPr>
              <w:t>241,729</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jc w:val="right"/>
              <w:ind w:right="71"/>
              <w:spacing w:after="0" w:line="200" w:lineRule="exact"/>
              <w:rPr>
                <w:sz w:val="20"/>
                <w:szCs w:val="20"/>
                <w:color w:val="auto"/>
              </w:rPr>
            </w:pPr>
            <w:r>
              <w:rPr>
                <w:rFonts w:ascii="Arial" w:cs="Arial" w:eastAsia="Arial" w:hAnsi="Arial"/>
                <w:sz w:val="18"/>
                <w:szCs w:val="18"/>
                <w:color w:val="auto"/>
              </w:rPr>
              <w:t>18,027</w:t>
            </w:r>
          </w:p>
        </w:tc>
        <w:tc>
          <w:tcPr>
            <w:tcW w:w="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3120" w:type="dxa"/>
            <w:vAlign w:val="bottom"/>
          </w:tcPr>
          <w:p>
            <w:pPr>
              <w:spacing w:after="0"/>
              <w:rPr>
                <w:sz w:val="20"/>
                <w:szCs w:val="20"/>
                <w:color w:val="auto"/>
              </w:rPr>
            </w:pPr>
            <w:r>
              <w:rPr>
                <w:rFonts w:ascii="Arial" w:cs="Arial" w:eastAsia="Arial" w:hAnsi="Arial"/>
                <w:sz w:val="18"/>
                <w:szCs w:val="18"/>
                <w:color w:val="auto"/>
                <w:w w:val="90"/>
              </w:rPr>
              <w:t>Preferred dividends and discount accretion</w:t>
            </w:r>
          </w:p>
        </w:tc>
        <w:tc>
          <w:tcPr>
            <w:tcW w:w="8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3,055</w:t>
            </w:r>
          </w:p>
        </w:tc>
        <w:tc>
          <w:tcPr>
            <w:tcW w:w="180" w:type="dxa"/>
            <w:vAlign w:val="bottom"/>
            <w:tcBorders>
              <w:bottom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3,052</w:t>
            </w:r>
          </w:p>
        </w:tc>
        <w:tc>
          <w:tcPr>
            <w:tcW w:w="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3,045</w:t>
            </w:r>
          </w:p>
        </w:tc>
        <w:tc>
          <w:tcPr>
            <w:tcW w:w="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3,041</w:t>
            </w:r>
          </w:p>
        </w:tc>
        <w:tc>
          <w:tcPr>
            <w:tcW w:w="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3,032</w:t>
            </w:r>
          </w:p>
        </w:tc>
        <w:tc>
          <w:tcPr>
            <w:tcW w:w="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6,107</w:t>
            </w:r>
          </w:p>
        </w:tc>
        <w:tc>
          <w:tcPr>
            <w:tcW w:w="6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6,062</w:t>
            </w:r>
          </w:p>
        </w:tc>
        <w:tc>
          <w:tcPr>
            <w:tcW w:w="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3120" w:type="dxa"/>
            <w:vAlign w:val="bottom"/>
          </w:tcPr>
          <w:p>
            <w:pPr>
              <w:spacing w:after="0" w:line="196" w:lineRule="exact"/>
              <w:rPr>
                <w:sz w:val="20"/>
                <w:szCs w:val="20"/>
                <w:color w:val="auto"/>
              </w:rPr>
            </w:pPr>
            <w:r>
              <w:rPr>
                <w:rFonts w:ascii="Arial" w:cs="Arial" w:eastAsia="Arial" w:hAnsi="Arial"/>
                <w:sz w:val="18"/>
                <w:szCs w:val="18"/>
                <w:b w:val="1"/>
                <w:bCs w:val="1"/>
                <w:color w:val="auto"/>
              </w:rPr>
              <w:t>Net income available to common</w:t>
            </w: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1"/>
        </w:trPr>
        <w:tc>
          <w:tcPr>
            <w:tcW w:w="3120" w:type="dxa"/>
            <w:vAlign w:val="bottom"/>
          </w:tcPr>
          <w:p>
            <w:pPr>
              <w:ind w:left="180"/>
              <w:spacing w:after="0"/>
              <w:rPr>
                <w:sz w:val="20"/>
                <w:szCs w:val="20"/>
                <w:color w:val="auto"/>
              </w:rPr>
            </w:pPr>
            <w:r>
              <w:rPr>
                <w:rFonts w:ascii="Arial" w:cs="Arial" w:eastAsia="Arial" w:hAnsi="Arial"/>
                <w:sz w:val="18"/>
                <w:szCs w:val="18"/>
                <w:b w:val="1"/>
                <w:bCs w:val="1"/>
                <w:color w:val="auto"/>
              </w:rPr>
              <w:t>shareholders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98"/>
              </w:rPr>
              <w:t>226,909</w:t>
            </w:r>
          </w:p>
        </w:tc>
        <w:tc>
          <w:tcPr>
            <w:tcW w:w="180" w:type="dxa"/>
            <w:vAlign w:val="bottom"/>
          </w:tcPr>
          <w:p>
            <w:pPr>
              <w:spacing w:after="0"/>
              <w:rPr>
                <w:sz w:val="20"/>
                <w:szCs w:val="20"/>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91"/>
              <w:spacing w:after="0"/>
              <w:rPr>
                <w:sz w:val="20"/>
                <w:szCs w:val="20"/>
                <w:color w:val="auto"/>
              </w:rPr>
            </w:pPr>
            <w:r>
              <w:rPr>
                <w:rFonts w:ascii="Arial" w:cs="Arial" w:eastAsia="Arial" w:hAnsi="Arial"/>
                <w:sz w:val="18"/>
                <w:szCs w:val="18"/>
                <w:color w:val="auto"/>
              </w:rPr>
              <w:t>8,713</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71"/>
              <w:spacing w:after="0"/>
              <w:rPr>
                <w:sz w:val="20"/>
                <w:szCs w:val="20"/>
                <w:color w:val="auto"/>
              </w:rPr>
            </w:pPr>
            <w:r>
              <w:rPr>
                <w:rFonts w:ascii="Arial" w:cs="Arial" w:eastAsia="Arial" w:hAnsi="Arial"/>
                <w:sz w:val="18"/>
                <w:szCs w:val="18"/>
                <w:color w:val="auto"/>
              </w:rPr>
              <w:t>2,216</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71"/>
              <w:spacing w:after="0"/>
              <w:rPr>
                <w:sz w:val="20"/>
                <w:szCs w:val="20"/>
                <w:color w:val="auto"/>
              </w:rPr>
            </w:pPr>
            <w:r>
              <w:rPr>
                <w:rFonts w:ascii="Arial" w:cs="Arial" w:eastAsia="Arial" w:hAnsi="Arial"/>
                <w:sz w:val="18"/>
                <w:szCs w:val="18"/>
                <w:color w:val="auto"/>
              </w:rPr>
              <w:t>7,527</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71"/>
              <w:spacing w:after="0"/>
              <w:rPr>
                <w:sz w:val="20"/>
                <w:szCs w:val="20"/>
                <w:color w:val="auto"/>
              </w:rPr>
            </w:pPr>
            <w:r>
              <w:rPr>
                <w:rFonts w:ascii="Arial" w:cs="Arial" w:eastAsia="Arial" w:hAnsi="Arial"/>
                <w:sz w:val="18"/>
                <w:szCs w:val="18"/>
                <w:color w:val="auto"/>
              </w:rPr>
              <w:t>3,467</w:t>
            </w:r>
          </w:p>
        </w:tc>
        <w:tc>
          <w:tcPr>
            <w:tcW w:w="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ind w:right="71"/>
              <w:spacing w:after="0"/>
              <w:rPr>
                <w:sz w:val="20"/>
                <w:szCs w:val="20"/>
                <w:color w:val="auto"/>
              </w:rPr>
            </w:pPr>
            <w:r>
              <w:rPr>
                <w:rFonts w:ascii="Arial" w:cs="Arial" w:eastAsia="Arial" w:hAnsi="Arial"/>
                <w:sz w:val="18"/>
                <w:szCs w:val="18"/>
                <w:color w:val="auto"/>
                <w:w w:val="95"/>
              </w:rPr>
              <w:t>235,622</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71"/>
              <w:spacing w:after="0"/>
              <w:rPr>
                <w:sz w:val="20"/>
                <w:szCs w:val="20"/>
                <w:color w:val="auto"/>
              </w:rPr>
            </w:pPr>
            <w:r>
              <w:rPr>
                <w:rFonts w:ascii="Arial" w:cs="Arial" w:eastAsia="Arial" w:hAnsi="Arial"/>
                <w:sz w:val="18"/>
                <w:szCs w:val="18"/>
                <w:color w:val="auto"/>
              </w:rPr>
              <w:t>11,965</w:t>
            </w:r>
          </w:p>
        </w:tc>
        <w:tc>
          <w:tcPr>
            <w:tcW w:w="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
        </w:trPr>
        <w:tc>
          <w:tcPr>
            <w:tcW w:w="3120" w:type="dxa"/>
            <w:vAlign w:val="bottom"/>
            <w:vMerge w:val="restart"/>
          </w:tcPr>
          <w:p>
            <w:pPr>
              <w:spacing w:after="0"/>
              <w:rPr>
                <w:sz w:val="20"/>
                <w:szCs w:val="20"/>
                <w:color w:val="auto"/>
              </w:rPr>
            </w:pPr>
            <w:r>
              <w:rPr>
                <w:rFonts w:ascii="Arial" w:cs="Arial" w:eastAsia="Arial" w:hAnsi="Arial"/>
                <w:sz w:val="18"/>
                <w:szCs w:val="18"/>
                <w:b w:val="1"/>
                <w:bCs w:val="1"/>
                <w:color w:val="auto"/>
              </w:rPr>
              <w:t>PERFORMANCE MEASURES</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08"/>
        </w:trPr>
        <w:tc>
          <w:tcPr>
            <w:tcW w:w="312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3120" w:type="dxa"/>
            <w:vAlign w:val="bottom"/>
          </w:tcPr>
          <w:p>
            <w:pPr>
              <w:ind w:left="100"/>
              <w:spacing w:after="0"/>
              <w:rPr>
                <w:sz w:val="20"/>
                <w:szCs w:val="20"/>
                <w:color w:val="auto"/>
              </w:rPr>
            </w:pPr>
            <w:r>
              <w:rPr>
                <w:rFonts w:ascii="Arial" w:cs="Arial" w:eastAsia="Arial" w:hAnsi="Arial"/>
                <w:sz w:val="18"/>
                <w:szCs w:val="18"/>
                <w:color w:val="auto"/>
              </w:rPr>
              <w:t>Per common share:</w:t>
            </w: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120" w:type="dxa"/>
            <w:vAlign w:val="bottom"/>
          </w:tcPr>
          <w:p>
            <w:pPr>
              <w:ind w:left="180"/>
              <w:spacing w:after="0"/>
              <w:rPr>
                <w:sz w:val="20"/>
                <w:szCs w:val="20"/>
                <w:color w:val="auto"/>
              </w:rPr>
            </w:pPr>
            <w:r>
              <w:rPr>
                <w:rFonts w:ascii="Arial" w:cs="Arial" w:eastAsia="Arial" w:hAnsi="Arial"/>
                <w:sz w:val="18"/>
                <w:szCs w:val="18"/>
                <w:color w:val="auto"/>
              </w:rPr>
              <w:t>Diluted income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3.90</w:t>
            </w:r>
          </w:p>
        </w:tc>
        <w:tc>
          <w:tcPr>
            <w:tcW w:w="18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91"/>
              <w:spacing w:after="0"/>
              <w:rPr>
                <w:sz w:val="20"/>
                <w:szCs w:val="20"/>
                <w:color w:val="auto"/>
              </w:rPr>
            </w:pPr>
            <w:r>
              <w:rPr>
                <w:rFonts w:ascii="Arial" w:cs="Arial" w:eastAsia="Arial" w:hAnsi="Arial"/>
                <w:sz w:val="18"/>
                <w:szCs w:val="18"/>
                <w:color w:val="auto"/>
              </w:rPr>
              <w:t>.15</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71"/>
              <w:spacing w:after="0"/>
              <w:rPr>
                <w:sz w:val="20"/>
                <w:szCs w:val="20"/>
                <w:color w:val="auto"/>
              </w:rPr>
            </w:pPr>
            <w:r>
              <w:rPr>
                <w:rFonts w:ascii="Arial" w:cs="Arial" w:eastAsia="Arial" w:hAnsi="Arial"/>
                <w:sz w:val="18"/>
                <w:szCs w:val="18"/>
                <w:color w:val="auto"/>
              </w:rPr>
              <w:t>.04</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71"/>
              <w:spacing w:after="0"/>
              <w:rPr>
                <w:sz w:val="20"/>
                <w:szCs w:val="20"/>
                <w:color w:val="auto"/>
              </w:rPr>
            </w:pPr>
            <w:r>
              <w:rPr>
                <w:rFonts w:ascii="Arial" w:cs="Arial" w:eastAsia="Arial" w:hAnsi="Arial"/>
                <w:sz w:val="18"/>
                <w:szCs w:val="18"/>
                <w:color w:val="auto"/>
              </w:rPr>
              <w:t>.13</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71"/>
              <w:spacing w:after="0"/>
              <w:rPr>
                <w:sz w:val="20"/>
                <w:szCs w:val="20"/>
                <w:color w:val="auto"/>
              </w:rPr>
            </w:pPr>
            <w:r>
              <w:rPr>
                <w:rFonts w:ascii="Arial" w:cs="Arial" w:eastAsia="Arial" w:hAnsi="Arial"/>
                <w:sz w:val="18"/>
                <w:szCs w:val="18"/>
                <w:color w:val="auto"/>
              </w:rPr>
              <w:t>.06</w:t>
            </w:r>
          </w:p>
        </w:tc>
        <w:tc>
          <w:tcPr>
            <w:tcW w:w="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ind w:right="71"/>
              <w:spacing w:after="0"/>
              <w:rPr>
                <w:sz w:val="20"/>
                <w:szCs w:val="20"/>
                <w:color w:val="auto"/>
              </w:rPr>
            </w:pPr>
            <w:r>
              <w:rPr>
                <w:rFonts w:ascii="Arial" w:cs="Arial" w:eastAsia="Arial" w:hAnsi="Arial"/>
                <w:sz w:val="18"/>
                <w:szCs w:val="18"/>
                <w:color w:val="auto"/>
              </w:rPr>
              <w:t>4.05</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71"/>
              <w:spacing w:after="0"/>
              <w:rPr>
                <w:sz w:val="20"/>
                <w:szCs w:val="20"/>
                <w:color w:val="auto"/>
              </w:rPr>
            </w:pPr>
            <w:r>
              <w:rPr>
                <w:rFonts w:ascii="Arial" w:cs="Arial" w:eastAsia="Arial" w:hAnsi="Arial"/>
                <w:sz w:val="18"/>
                <w:szCs w:val="18"/>
                <w:color w:val="auto"/>
              </w:rPr>
              <w:t>.21</w:t>
            </w:r>
          </w:p>
        </w:tc>
        <w:tc>
          <w:tcPr>
            <w:tcW w:w="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120" w:type="dxa"/>
            <w:vAlign w:val="bottom"/>
          </w:tcPr>
          <w:p>
            <w:pPr>
              <w:ind w:left="180"/>
              <w:spacing w:after="0"/>
              <w:rPr>
                <w:sz w:val="20"/>
                <w:szCs w:val="20"/>
                <w:color w:val="auto"/>
              </w:rPr>
            </w:pPr>
            <w:r>
              <w:rPr>
                <w:rFonts w:ascii="Arial" w:cs="Arial" w:eastAsia="Arial" w:hAnsi="Arial"/>
                <w:sz w:val="18"/>
                <w:szCs w:val="18"/>
                <w:color w:val="auto"/>
              </w:rPr>
              <w:t>Book value</w:t>
            </w:r>
          </w:p>
        </w:tc>
        <w:tc>
          <w:tcPr>
            <w:tcW w:w="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10.90</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ind w:right="91"/>
              <w:spacing w:after="0"/>
              <w:rPr>
                <w:sz w:val="20"/>
                <w:szCs w:val="20"/>
                <w:color w:val="auto"/>
              </w:rPr>
            </w:pPr>
            <w:r>
              <w:rPr>
                <w:rFonts w:ascii="Arial" w:cs="Arial" w:eastAsia="Arial" w:hAnsi="Arial"/>
                <w:sz w:val="18"/>
                <w:szCs w:val="18"/>
                <w:color w:val="auto"/>
              </w:rPr>
              <w:t>6.85</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ind w:right="71"/>
              <w:spacing w:after="0"/>
              <w:rPr>
                <w:sz w:val="20"/>
                <w:szCs w:val="20"/>
                <w:color w:val="auto"/>
              </w:rPr>
            </w:pPr>
            <w:r>
              <w:rPr>
                <w:rFonts w:ascii="Arial" w:cs="Arial" w:eastAsia="Arial" w:hAnsi="Arial"/>
                <w:sz w:val="18"/>
                <w:szCs w:val="18"/>
                <w:color w:val="auto"/>
              </w:rPr>
              <w:t>6.67</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ind w:right="71"/>
              <w:spacing w:after="0"/>
              <w:rPr>
                <w:sz w:val="20"/>
                <w:szCs w:val="20"/>
                <w:color w:val="auto"/>
              </w:rPr>
            </w:pPr>
            <w:r>
              <w:rPr>
                <w:rFonts w:ascii="Arial" w:cs="Arial" w:eastAsia="Arial" w:hAnsi="Arial"/>
                <w:sz w:val="18"/>
                <w:szCs w:val="18"/>
                <w:color w:val="auto"/>
              </w:rPr>
              <w:t>6.75</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ind w:right="71"/>
              <w:spacing w:after="0"/>
              <w:rPr>
                <w:sz w:val="20"/>
                <w:szCs w:val="20"/>
                <w:color w:val="auto"/>
              </w:rPr>
            </w:pPr>
            <w:r>
              <w:rPr>
                <w:rFonts w:ascii="Arial" w:cs="Arial" w:eastAsia="Arial" w:hAnsi="Arial"/>
                <w:sz w:val="18"/>
                <w:szCs w:val="18"/>
                <w:color w:val="auto"/>
              </w:rPr>
              <w:t>6.61</w:t>
            </w:r>
          </w:p>
        </w:tc>
        <w:tc>
          <w:tcPr>
            <w:tcW w:w="1120" w:type="dxa"/>
            <w:vAlign w:val="bottom"/>
            <w:gridSpan w:val="2"/>
          </w:tcPr>
          <w:p>
            <w:pPr>
              <w:jc w:val="right"/>
              <w:ind w:right="151"/>
              <w:spacing w:after="0"/>
              <w:rPr>
                <w:sz w:val="20"/>
                <w:szCs w:val="20"/>
                <w:color w:val="auto"/>
              </w:rPr>
            </w:pPr>
            <w:r>
              <w:rPr>
                <w:rFonts w:ascii="Arial" w:cs="Arial" w:eastAsia="Arial" w:hAnsi="Arial"/>
                <w:sz w:val="18"/>
                <w:szCs w:val="18"/>
                <w:color w:val="auto"/>
              </w:rPr>
              <w:t>65</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ind w:right="71"/>
              <w:spacing w:after="0"/>
              <w:rPr>
                <w:sz w:val="20"/>
                <w:szCs w:val="20"/>
                <w:color w:val="auto"/>
              </w:rPr>
            </w:pPr>
            <w:r>
              <w:rPr>
                <w:rFonts w:ascii="Arial" w:cs="Arial" w:eastAsia="Arial" w:hAnsi="Arial"/>
                <w:sz w:val="18"/>
                <w:szCs w:val="18"/>
                <w:color w:val="auto"/>
              </w:rPr>
              <w:t>10.90</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jc w:val="right"/>
              <w:ind w:right="71"/>
              <w:spacing w:after="0"/>
              <w:rPr>
                <w:sz w:val="20"/>
                <w:szCs w:val="20"/>
                <w:color w:val="auto"/>
              </w:rPr>
            </w:pPr>
            <w:r>
              <w:rPr>
                <w:rFonts w:ascii="Arial" w:cs="Arial" w:eastAsia="Arial" w:hAnsi="Arial"/>
                <w:sz w:val="18"/>
                <w:szCs w:val="18"/>
                <w:color w:val="auto"/>
              </w:rPr>
              <w:t>6.61</w:t>
            </w:r>
          </w:p>
        </w:tc>
        <w:tc>
          <w:tcPr>
            <w:tcW w:w="900" w:type="dxa"/>
            <w:vAlign w:val="bottom"/>
            <w:gridSpan w:val="2"/>
          </w:tcPr>
          <w:p>
            <w:pPr>
              <w:jc w:val="right"/>
              <w:ind w:right="151"/>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325"/>
        </w:trPr>
        <w:tc>
          <w:tcPr>
            <w:tcW w:w="3120" w:type="dxa"/>
            <w:vAlign w:val="bottom"/>
          </w:tcPr>
          <w:p>
            <w:pPr>
              <w:ind w:left="180"/>
              <w:spacing w:after="0"/>
              <w:rPr>
                <w:sz w:val="20"/>
                <w:szCs w:val="20"/>
                <w:color w:val="auto"/>
              </w:rPr>
            </w:pPr>
            <w:r>
              <w:rPr>
                <w:rFonts w:ascii="Arial" w:cs="Arial" w:eastAsia="Arial" w:hAnsi="Arial"/>
                <w:sz w:val="18"/>
                <w:szCs w:val="18"/>
                <w:color w:val="auto"/>
              </w:rPr>
              <w:t xml:space="preserve">Tangible book value </w:t>
            </w:r>
            <w:r>
              <w:rPr>
                <w:rFonts w:ascii="Arial" w:cs="Arial" w:eastAsia="Arial" w:hAnsi="Arial"/>
                <w:sz w:val="24"/>
                <w:szCs w:val="24"/>
                <w:color w:val="auto"/>
                <w:vertAlign w:val="superscript"/>
              </w:rPr>
              <w:t>(2)</w:t>
            </w:r>
          </w:p>
        </w:tc>
        <w:tc>
          <w:tcPr>
            <w:tcW w:w="8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10.82</w:t>
            </w: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jc w:val="right"/>
              <w:ind w:right="91"/>
              <w:spacing w:after="0"/>
              <w:rPr>
                <w:sz w:val="20"/>
                <w:szCs w:val="20"/>
                <w:color w:val="auto"/>
              </w:rPr>
            </w:pPr>
            <w:r>
              <w:rPr>
                <w:rFonts w:ascii="Arial" w:cs="Arial" w:eastAsia="Arial" w:hAnsi="Arial"/>
                <w:sz w:val="18"/>
                <w:szCs w:val="18"/>
                <w:color w:val="auto"/>
              </w:rPr>
              <w:t>6.76</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jc w:val="right"/>
              <w:ind w:right="71"/>
              <w:spacing w:after="0"/>
              <w:rPr>
                <w:sz w:val="20"/>
                <w:szCs w:val="20"/>
                <w:color w:val="auto"/>
              </w:rPr>
            </w:pPr>
            <w:r>
              <w:rPr>
                <w:rFonts w:ascii="Arial" w:cs="Arial" w:eastAsia="Arial" w:hAnsi="Arial"/>
                <w:sz w:val="18"/>
                <w:szCs w:val="18"/>
                <w:color w:val="auto"/>
              </w:rPr>
              <w:t>6.57</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jc w:val="right"/>
              <w:ind w:right="71"/>
              <w:spacing w:after="0"/>
              <w:rPr>
                <w:sz w:val="20"/>
                <w:szCs w:val="20"/>
                <w:color w:val="auto"/>
              </w:rPr>
            </w:pPr>
            <w:r>
              <w:rPr>
                <w:rFonts w:ascii="Arial" w:cs="Arial" w:eastAsia="Arial" w:hAnsi="Arial"/>
                <w:sz w:val="18"/>
                <w:szCs w:val="18"/>
                <w:color w:val="auto"/>
              </w:rPr>
              <w:t>6.64</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jc w:val="right"/>
              <w:ind w:right="71"/>
              <w:spacing w:after="0"/>
              <w:rPr>
                <w:sz w:val="20"/>
                <w:szCs w:val="20"/>
                <w:color w:val="auto"/>
              </w:rPr>
            </w:pPr>
            <w:r>
              <w:rPr>
                <w:rFonts w:ascii="Arial" w:cs="Arial" w:eastAsia="Arial" w:hAnsi="Arial"/>
                <w:sz w:val="18"/>
                <w:szCs w:val="18"/>
                <w:color w:val="auto"/>
              </w:rPr>
              <w:t>6.48</w:t>
            </w:r>
          </w:p>
        </w:tc>
        <w:tc>
          <w:tcPr>
            <w:tcW w:w="1120" w:type="dxa"/>
            <w:vAlign w:val="bottom"/>
            <w:gridSpan w:val="2"/>
          </w:tcPr>
          <w:p>
            <w:pPr>
              <w:jc w:val="right"/>
              <w:ind w:right="151"/>
              <w:spacing w:after="0"/>
              <w:rPr>
                <w:sz w:val="20"/>
                <w:szCs w:val="20"/>
                <w:color w:val="auto"/>
              </w:rPr>
            </w:pPr>
            <w:r>
              <w:rPr>
                <w:rFonts w:ascii="Arial" w:cs="Arial" w:eastAsia="Arial" w:hAnsi="Arial"/>
                <w:sz w:val="18"/>
                <w:szCs w:val="18"/>
                <w:color w:val="auto"/>
              </w:rPr>
              <w:t>67</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jc w:val="right"/>
              <w:ind w:right="71"/>
              <w:spacing w:after="0"/>
              <w:rPr>
                <w:sz w:val="20"/>
                <w:szCs w:val="20"/>
                <w:color w:val="auto"/>
              </w:rPr>
            </w:pPr>
            <w:r>
              <w:rPr>
                <w:rFonts w:ascii="Arial" w:cs="Arial" w:eastAsia="Arial" w:hAnsi="Arial"/>
                <w:sz w:val="18"/>
                <w:szCs w:val="18"/>
                <w:color w:val="auto"/>
              </w:rPr>
              <w:t>10.82</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jc w:val="right"/>
              <w:ind w:right="71"/>
              <w:spacing w:after="0"/>
              <w:rPr>
                <w:sz w:val="20"/>
                <w:szCs w:val="20"/>
                <w:color w:val="auto"/>
              </w:rPr>
            </w:pPr>
            <w:r>
              <w:rPr>
                <w:rFonts w:ascii="Arial" w:cs="Arial" w:eastAsia="Arial" w:hAnsi="Arial"/>
                <w:sz w:val="18"/>
                <w:szCs w:val="18"/>
                <w:color w:val="auto"/>
              </w:rPr>
              <w:t>6.48</w:t>
            </w:r>
          </w:p>
        </w:tc>
        <w:tc>
          <w:tcPr>
            <w:tcW w:w="900" w:type="dxa"/>
            <w:vAlign w:val="bottom"/>
            <w:gridSpan w:val="2"/>
          </w:tcPr>
          <w:p>
            <w:pPr>
              <w:jc w:val="right"/>
              <w:ind w:right="151"/>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318"/>
        </w:trPr>
        <w:tc>
          <w:tcPr>
            <w:tcW w:w="3120" w:type="dxa"/>
            <w:vAlign w:val="bottom"/>
          </w:tcPr>
          <w:p>
            <w:pPr>
              <w:ind w:left="100"/>
              <w:spacing w:after="0"/>
              <w:rPr>
                <w:sz w:val="20"/>
                <w:szCs w:val="20"/>
                <w:color w:val="auto"/>
              </w:rPr>
            </w:pPr>
            <w:r>
              <w:rPr>
                <w:rFonts w:ascii="Arial" w:cs="Arial" w:eastAsia="Arial" w:hAnsi="Arial"/>
                <w:sz w:val="18"/>
                <w:szCs w:val="18"/>
                <w:color w:val="auto"/>
              </w:rPr>
              <w:t>Key performance ratios:</w:t>
            </w: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3120" w:type="dxa"/>
            <w:vAlign w:val="bottom"/>
          </w:tcPr>
          <w:p>
            <w:pPr>
              <w:ind w:left="180"/>
              <w:spacing w:after="0" w:line="214" w:lineRule="exact"/>
              <w:rPr>
                <w:sz w:val="20"/>
                <w:szCs w:val="20"/>
                <w:color w:val="auto"/>
              </w:rPr>
            </w:pPr>
            <w:r>
              <w:rPr>
                <w:rFonts w:ascii="Arial" w:cs="Arial" w:eastAsia="Arial" w:hAnsi="Arial"/>
                <w:sz w:val="18"/>
                <w:szCs w:val="18"/>
                <w:color w:val="auto"/>
              </w:rPr>
              <w:t xml:space="preserve">Return on equity </w:t>
            </w:r>
            <w:r>
              <w:rPr>
                <w:rFonts w:ascii="Arial" w:cs="Arial" w:eastAsia="Arial" w:hAnsi="Arial"/>
                <w:sz w:val="24"/>
                <w:szCs w:val="24"/>
                <w:color w:val="auto"/>
                <w:vertAlign w:val="superscript"/>
              </w:rPr>
              <w:t>(1)(3)</w:t>
            </w:r>
          </w:p>
        </w:tc>
        <w:tc>
          <w:tcPr>
            <w:tcW w:w="8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197.22%</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8.51%</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2.15%</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7.43%</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3.51%</w:t>
            </w:r>
          </w:p>
        </w:tc>
        <w:tc>
          <w:tcPr>
            <w:tcW w:w="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108.34%</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6.12%</w:t>
            </w:r>
          </w:p>
        </w:tc>
        <w:tc>
          <w:tcPr>
            <w:tcW w:w="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120" w:type="dxa"/>
            <w:vAlign w:val="bottom"/>
          </w:tcPr>
          <w:p>
            <w:pPr>
              <w:ind w:left="180"/>
              <w:spacing w:after="0" w:line="214" w:lineRule="exact"/>
              <w:rPr>
                <w:sz w:val="20"/>
                <w:szCs w:val="20"/>
                <w:color w:val="auto"/>
              </w:rPr>
            </w:pPr>
            <w:r>
              <w:rPr>
                <w:rFonts w:ascii="Arial" w:cs="Arial" w:eastAsia="Arial" w:hAnsi="Arial"/>
                <w:sz w:val="18"/>
                <w:szCs w:val="18"/>
                <w:color w:val="auto"/>
              </w:rPr>
              <w:t xml:space="preserve">Return on assets </w:t>
            </w:r>
            <w:r>
              <w:rPr>
                <w:rFonts w:ascii="Arial" w:cs="Arial" w:eastAsia="Arial" w:hAnsi="Arial"/>
                <w:sz w:val="24"/>
                <w:szCs w:val="24"/>
                <w:color w:val="auto"/>
                <w:vertAlign w:val="superscript"/>
              </w:rPr>
              <w:t>(3)</w:t>
            </w:r>
          </w:p>
        </w:tc>
        <w:tc>
          <w:tcPr>
            <w:tcW w:w="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13.34</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ind w:right="91"/>
              <w:spacing w:after="0"/>
              <w:rPr>
                <w:sz w:val="20"/>
                <w:szCs w:val="20"/>
                <w:color w:val="auto"/>
              </w:rPr>
            </w:pPr>
            <w:r>
              <w:rPr>
                <w:rFonts w:ascii="Arial" w:cs="Arial" w:eastAsia="Arial" w:hAnsi="Arial"/>
                <w:sz w:val="18"/>
                <w:szCs w:val="18"/>
                <w:color w:val="auto"/>
              </w:rPr>
              <w:t>.70</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ind w:right="71"/>
              <w:spacing w:after="0"/>
              <w:rPr>
                <w:sz w:val="20"/>
                <w:szCs w:val="20"/>
                <w:color w:val="auto"/>
              </w:rPr>
            </w:pPr>
            <w:r>
              <w:rPr>
                <w:rFonts w:ascii="Arial" w:cs="Arial" w:eastAsia="Arial" w:hAnsi="Arial"/>
                <w:sz w:val="18"/>
                <w:szCs w:val="18"/>
                <w:color w:val="auto"/>
              </w:rPr>
              <w:t>.31</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ind w:right="71"/>
              <w:spacing w:after="0"/>
              <w:rPr>
                <w:sz w:val="20"/>
                <w:szCs w:val="20"/>
                <w:color w:val="auto"/>
              </w:rPr>
            </w:pPr>
            <w:r>
              <w:rPr>
                <w:rFonts w:ascii="Arial" w:cs="Arial" w:eastAsia="Arial" w:hAnsi="Arial"/>
                <w:sz w:val="18"/>
                <w:szCs w:val="18"/>
                <w:color w:val="auto"/>
              </w:rPr>
              <w:t>.63</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ind w:right="71"/>
              <w:spacing w:after="0"/>
              <w:rPr>
                <w:sz w:val="20"/>
                <w:szCs w:val="20"/>
                <w:color w:val="auto"/>
              </w:rPr>
            </w:pPr>
            <w:r>
              <w:rPr>
                <w:rFonts w:ascii="Arial" w:cs="Arial" w:eastAsia="Arial" w:hAnsi="Arial"/>
                <w:sz w:val="18"/>
                <w:szCs w:val="18"/>
                <w:color w:val="auto"/>
              </w:rPr>
              <w:t>.37</w:t>
            </w:r>
          </w:p>
        </w:tc>
        <w:tc>
          <w:tcPr>
            <w:tcW w:w="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ind w:right="71"/>
              <w:spacing w:after="0"/>
              <w:rPr>
                <w:sz w:val="20"/>
                <w:szCs w:val="20"/>
                <w:color w:val="auto"/>
              </w:rPr>
            </w:pPr>
            <w:r>
              <w:rPr>
                <w:rFonts w:ascii="Arial" w:cs="Arial" w:eastAsia="Arial" w:hAnsi="Arial"/>
                <w:sz w:val="18"/>
                <w:szCs w:val="18"/>
                <w:color w:val="auto"/>
              </w:rPr>
              <w:t>7.09</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jc w:val="right"/>
              <w:ind w:right="71"/>
              <w:spacing w:after="0"/>
              <w:rPr>
                <w:sz w:val="20"/>
                <w:szCs w:val="20"/>
                <w:color w:val="auto"/>
              </w:rPr>
            </w:pPr>
            <w:r>
              <w:rPr>
                <w:rFonts w:ascii="Arial" w:cs="Arial" w:eastAsia="Arial" w:hAnsi="Arial"/>
                <w:sz w:val="18"/>
                <w:szCs w:val="18"/>
                <w:color w:val="auto"/>
              </w:rPr>
              <w:t>.52</w:t>
            </w:r>
          </w:p>
        </w:tc>
        <w:tc>
          <w:tcPr>
            <w:tcW w:w="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120" w:type="dxa"/>
            <w:vAlign w:val="bottom"/>
          </w:tcPr>
          <w:p>
            <w:pPr>
              <w:ind w:left="180"/>
              <w:spacing w:after="0" w:line="214" w:lineRule="exact"/>
              <w:rPr>
                <w:sz w:val="20"/>
                <w:szCs w:val="20"/>
                <w:color w:val="auto"/>
              </w:rPr>
            </w:pPr>
            <w:r>
              <w:rPr>
                <w:rFonts w:ascii="Arial" w:cs="Arial" w:eastAsia="Arial" w:hAnsi="Arial"/>
                <w:sz w:val="18"/>
                <w:szCs w:val="18"/>
                <w:color w:val="auto"/>
              </w:rPr>
              <w:t xml:space="preserve">Net interest margin </w:t>
            </w:r>
            <w:r>
              <w:rPr>
                <w:rFonts w:ascii="Arial" w:cs="Arial" w:eastAsia="Arial" w:hAnsi="Arial"/>
                <w:sz w:val="24"/>
                <w:szCs w:val="24"/>
                <w:color w:val="auto"/>
                <w:vertAlign w:val="superscript"/>
              </w:rPr>
              <w:t>(3)</w:t>
            </w:r>
          </w:p>
        </w:tc>
        <w:tc>
          <w:tcPr>
            <w:tcW w:w="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3.31</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ind w:right="91"/>
              <w:spacing w:after="0"/>
              <w:rPr>
                <w:sz w:val="20"/>
                <w:szCs w:val="20"/>
                <w:color w:val="auto"/>
              </w:rPr>
            </w:pPr>
            <w:r>
              <w:rPr>
                <w:rFonts w:ascii="Arial" w:cs="Arial" w:eastAsia="Arial" w:hAnsi="Arial"/>
                <w:sz w:val="18"/>
                <w:szCs w:val="18"/>
                <w:color w:val="auto"/>
              </w:rPr>
              <w:t>3.38</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ind w:right="71"/>
              <w:spacing w:after="0"/>
              <w:rPr>
                <w:sz w:val="20"/>
                <w:szCs w:val="20"/>
                <w:color w:val="auto"/>
              </w:rPr>
            </w:pPr>
            <w:r>
              <w:rPr>
                <w:rFonts w:ascii="Arial" w:cs="Arial" w:eastAsia="Arial" w:hAnsi="Arial"/>
                <w:sz w:val="18"/>
                <w:szCs w:val="18"/>
                <w:color w:val="auto"/>
              </w:rPr>
              <w:t>3.44</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ind w:right="71"/>
              <w:spacing w:after="0"/>
              <w:rPr>
                <w:sz w:val="20"/>
                <w:szCs w:val="20"/>
                <w:color w:val="auto"/>
              </w:rPr>
            </w:pPr>
            <w:r>
              <w:rPr>
                <w:rFonts w:ascii="Arial" w:cs="Arial" w:eastAsia="Arial" w:hAnsi="Arial"/>
                <w:sz w:val="18"/>
                <w:szCs w:val="18"/>
                <w:color w:val="auto"/>
              </w:rPr>
              <w:t>3.60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ind w:right="71"/>
              <w:spacing w:after="0"/>
              <w:rPr>
                <w:sz w:val="20"/>
                <w:szCs w:val="20"/>
                <w:color w:val="auto"/>
              </w:rPr>
            </w:pPr>
            <w:r>
              <w:rPr>
                <w:rFonts w:ascii="Arial" w:cs="Arial" w:eastAsia="Arial" w:hAnsi="Arial"/>
                <w:sz w:val="18"/>
                <w:szCs w:val="18"/>
                <w:color w:val="auto"/>
              </w:rPr>
              <w:t>3.43</w:t>
            </w:r>
          </w:p>
        </w:tc>
        <w:tc>
          <w:tcPr>
            <w:tcW w:w="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ind w:right="71"/>
              <w:spacing w:after="0"/>
              <w:rPr>
                <w:sz w:val="20"/>
                <w:szCs w:val="20"/>
                <w:color w:val="auto"/>
              </w:rPr>
            </w:pPr>
            <w:r>
              <w:rPr>
                <w:rFonts w:ascii="Arial" w:cs="Arial" w:eastAsia="Arial" w:hAnsi="Arial"/>
                <w:sz w:val="18"/>
                <w:szCs w:val="18"/>
                <w:color w:val="auto"/>
              </w:rPr>
              <w:t>3.34</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jc w:val="right"/>
              <w:ind w:right="71"/>
              <w:spacing w:after="0"/>
              <w:rPr>
                <w:sz w:val="20"/>
                <w:szCs w:val="20"/>
                <w:color w:val="auto"/>
              </w:rPr>
            </w:pPr>
            <w:r>
              <w:rPr>
                <w:rFonts w:ascii="Arial" w:cs="Arial" w:eastAsia="Arial" w:hAnsi="Arial"/>
                <w:sz w:val="18"/>
                <w:szCs w:val="18"/>
                <w:color w:val="auto"/>
              </w:rPr>
              <w:t>3.48</w:t>
            </w:r>
          </w:p>
        </w:tc>
        <w:tc>
          <w:tcPr>
            <w:tcW w:w="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120" w:type="dxa"/>
            <w:vAlign w:val="bottom"/>
          </w:tcPr>
          <w:p>
            <w:pPr>
              <w:ind w:left="180"/>
              <w:spacing w:after="0"/>
              <w:rPr>
                <w:sz w:val="20"/>
                <w:szCs w:val="20"/>
                <w:color w:val="auto"/>
              </w:rPr>
            </w:pPr>
            <w:r>
              <w:rPr>
                <w:rFonts w:ascii="Arial" w:cs="Arial" w:eastAsia="Arial" w:hAnsi="Arial"/>
                <w:sz w:val="18"/>
                <w:szCs w:val="18"/>
                <w:color w:val="auto"/>
              </w:rPr>
              <w:t>Efficiency ratio</w:t>
            </w:r>
          </w:p>
        </w:tc>
        <w:tc>
          <w:tcPr>
            <w:tcW w:w="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68.89</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ind w:right="91"/>
              <w:spacing w:after="0"/>
              <w:rPr>
                <w:sz w:val="20"/>
                <w:szCs w:val="20"/>
                <w:color w:val="auto"/>
              </w:rPr>
            </w:pPr>
            <w:r>
              <w:rPr>
                <w:rFonts w:ascii="Arial" w:cs="Arial" w:eastAsia="Arial" w:hAnsi="Arial"/>
                <w:sz w:val="18"/>
                <w:szCs w:val="18"/>
                <w:color w:val="auto"/>
              </w:rPr>
              <w:t>64.97</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ind w:right="71"/>
              <w:spacing w:after="0"/>
              <w:rPr>
                <w:sz w:val="20"/>
                <w:szCs w:val="20"/>
                <w:color w:val="auto"/>
              </w:rPr>
            </w:pPr>
            <w:r>
              <w:rPr>
                <w:rFonts w:ascii="Arial" w:cs="Arial" w:eastAsia="Arial" w:hAnsi="Arial"/>
                <w:sz w:val="18"/>
                <w:szCs w:val="18"/>
                <w:color w:val="auto"/>
              </w:rPr>
              <w:t>71.69</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ind w:right="71"/>
              <w:spacing w:after="0"/>
              <w:rPr>
                <w:sz w:val="20"/>
                <w:szCs w:val="20"/>
                <w:color w:val="auto"/>
              </w:rPr>
            </w:pPr>
            <w:r>
              <w:rPr>
                <w:rFonts w:ascii="Arial" w:cs="Arial" w:eastAsia="Arial" w:hAnsi="Arial"/>
                <w:sz w:val="18"/>
                <w:szCs w:val="18"/>
                <w:color w:val="auto"/>
              </w:rPr>
              <w:t>62.95</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ind w:right="71"/>
              <w:spacing w:after="0"/>
              <w:rPr>
                <w:sz w:val="20"/>
                <w:szCs w:val="20"/>
                <w:color w:val="auto"/>
              </w:rPr>
            </w:pPr>
            <w:r>
              <w:rPr>
                <w:rFonts w:ascii="Arial" w:cs="Arial" w:eastAsia="Arial" w:hAnsi="Arial"/>
                <w:sz w:val="18"/>
                <w:szCs w:val="18"/>
                <w:color w:val="auto"/>
              </w:rPr>
              <w:t>63.84</w:t>
            </w:r>
          </w:p>
        </w:tc>
        <w:tc>
          <w:tcPr>
            <w:tcW w:w="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ind w:right="71"/>
              <w:spacing w:after="0"/>
              <w:rPr>
                <w:sz w:val="20"/>
                <w:szCs w:val="20"/>
                <w:color w:val="auto"/>
              </w:rPr>
            </w:pPr>
            <w:r>
              <w:rPr>
                <w:rFonts w:ascii="Arial" w:cs="Arial" w:eastAsia="Arial" w:hAnsi="Arial"/>
                <w:sz w:val="18"/>
                <w:szCs w:val="18"/>
                <w:color w:val="auto"/>
              </w:rPr>
              <w:t>66.98</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jc w:val="right"/>
              <w:ind w:right="71"/>
              <w:spacing w:after="0"/>
              <w:rPr>
                <w:sz w:val="20"/>
                <w:szCs w:val="20"/>
                <w:color w:val="auto"/>
              </w:rPr>
            </w:pPr>
            <w:r>
              <w:rPr>
                <w:rFonts w:ascii="Arial" w:cs="Arial" w:eastAsia="Arial" w:hAnsi="Arial"/>
                <w:sz w:val="18"/>
                <w:szCs w:val="18"/>
                <w:color w:val="auto"/>
              </w:rPr>
              <w:t>63.56</w:t>
            </w:r>
          </w:p>
        </w:tc>
        <w:tc>
          <w:tcPr>
            <w:tcW w:w="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120" w:type="dxa"/>
            <w:vAlign w:val="bottom"/>
          </w:tcPr>
          <w:p>
            <w:pPr>
              <w:ind w:left="180"/>
              <w:spacing w:after="0"/>
              <w:rPr>
                <w:sz w:val="20"/>
                <w:szCs w:val="20"/>
                <w:color w:val="auto"/>
              </w:rPr>
            </w:pPr>
            <w:r>
              <w:rPr>
                <w:rFonts w:ascii="Arial" w:cs="Arial" w:eastAsia="Arial" w:hAnsi="Arial"/>
                <w:sz w:val="18"/>
                <w:szCs w:val="18"/>
                <w:color w:val="auto"/>
              </w:rPr>
              <w:t>Equity to assets</w:t>
            </w:r>
          </w:p>
        </w:tc>
        <w:tc>
          <w:tcPr>
            <w:tcW w:w="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11.57</w:t>
            </w:r>
          </w:p>
        </w:tc>
        <w:tc>
          <w:tcPr>
            <w:tcW w:w="180" w:type="dxa"/>
            <w:vAlign w:val="bottom"/>
          </w:tcPr>
          <w:p>
            <w:pPr>
              <w:jc w:val="right"/>
              <w:spacing w:after="0"/>
              <w:rPr>
                <w:sz w:val="20"/>
                <w:szCs w:val="20"/>
                <w:color w:val="auto"/>
              </w:rPr>
            </w:pPr>
            <w:r>
              <w:rPr>
                <w:rFonts w:ascii="Arial" w:cs="Arial" w:eastAsia="Arial" w:hAnsi="Arial"/>
                <w:sz w:val="12"/>
                <w:szCs w:val="12"/>
                <w:color w:val="auto"/>
                <w:w w:val="95"/>
              </w:rPr>
              <w:t>(4)</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ind w:right="91"/>
              <w:spacing w:after="0"/>
              <w:rPr>
                <w:sz w:val="20"/>
                <w:szCs w:val="20"/>
                <w:color w:val="auto"/>
              </w:rPr>
            </w:pPr>
            <w:r>
              <w:rPr>
                <w:rFonts w:ascii="Arial" w:cs="Arial" w:eastAsia="Arial" w:hAnsi="Arial"/>
                <w:sz w:val="18"/>
                <w:szCs w:val="18"/>
                <w:color w:val="auto"/>
              </w:rPr>
              <w:t>8.60</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ind w:right="71"/>
              <w:spacing w:after="0"/>
              <w:rPr>
                <w:sz w:val="20"/>
                <w:szCs w:val="20"/>
                <w:color w:val="auto"/>
              </w:rPr>
            </w:pPr>
            <w:r>
              <w:rPr>
                <w:rFonts w:ascii="Arial" w:cs="Arial" w:eastAsia="Arial" w:hAnsi="Arial"/>
                <w:sz w:val="18"/>
                <w:szCs w:val="18"/>
                <w:color w:val="auto"/>
              </w:rPr>
              <w:t>8.63</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ind w:right="71"/>
              <w:spacing w:after="0"/>
              <w:rPr>
                <w:sz w:val="20"/>
                <w:szCs w:val="20"/>
                <w:color w:val="auto"/>
              </w:rPr>
            </w:pPr>
            <w:r>
              <w:rPr>
                <w:rFonts w:ascii="Arial" w:cs="Arial" w:eastAsia="Arial" w:hAnsi="Arial"/>
                <w:sz w:val="18"/>
                <w:szCs w:val="18"/>
                <w:color w:val="auto"/>
              </w:rPr>
              <w:t>8.75</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ind w:right="71"/>
              <w:spacing w:after="0"/>
              <w:rPr>
                <w:sz w:val="20"/>
                <w:szCs w:val="20"/>
                <w:color w:val="auto"/>
              </w:rPr>
            </w:pPr>
            <w:r>
              <w:rPr>
                <w:rFonts w:ascii="Arial" w:cs="Arial" w:eastAsia="Arial" w:hAnsi="Arial"/>
                <w:sz w:val="18"/>
                <w:szCs w:val="18"/>
                <w:color w:val="auto"/>
              </w:rPr>
              <w:t>8.33</w:t>
            </w:r>
          </w:p>
        </w:tc>
        <w:tc>
          <w:tcPr>
            <w:tcW w:w="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ind w:right="71"/>
              <w:spacing w:after="0"/>
              <w:rPr>
                <w:sz w:val="20"/>
                <w:szCs w:val="20"/>
                <w:color w:val="auto"/>
              </w:rPr>
            </w:pPr>
            <w:r>
              <w:rPr>
                <w:rFonts w:ascii="Arial" w:cs="Arial" w:eastAsia="Arial" w:hAnsi="Arial"/>
                <w:sz w:val="18"/>
                <w:szCs w:val="18"/>
                <w:color w:val="auto"/>
              </w:rPr>
              <w:t>8.90</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jc w:val="right"/>
              <w:ind w:right="71"/>
              <w:spacing w:after="0"/>
              <w:rPr>
                <w:sz w:val="20"/>
                <w:szCs w:val="20"/>
                <w:color w:val="auto"/>
              </w:rPr>
            </w:pPr>
            <w:r>
              <w:rPr>
                <w:rFonts w:ascii="Arial" w:cs="Arial" w:eastAsia="Arial" w:hAnsi="Arial"/>
                <w:sz w:val="18"/>
                <w:szCs w:val="18"/>
                <w:color w:val="auto"/>
              </w:rPr>
              <w:t>8.26</w:t>
            </w:r>
          </w:p>
        </w:tc>
        <w:tc>
          <w:tcPr>
            <w:tcW w:w="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120" w:type="dxa"/>
            <w:vAlign w:val="bottom"/>
          </w:tcPr>
          <w:p>
            <w:pPr>
              <w:ind w:left="180"/>
              <w:spacing w:after="0" w:line="214" w:lineRule="exact"/>
              <w:rPr>
                <w:sz w:val="20"/>
                <w:szCs w:val="20"/>
                <w:color w:val="auto"/>
              </w:rPr>
            </w:pPr>
            <w:r>
              <w:rPr>
                <w:rFonts w:ascii="Arial" w:cs="Arial" w:eastAsia="Arial" w:hAnsi="Arial"/>
                <w:sz w:val="18"/>
                <w:szCs w:val="18"/>
                <w:color w:val="auto"/>
              </w:rPr>
              <w:t xml:space="preserve">Tangible equity to assets </w:t>
            </w:r>
            <w:r>
              <w:rPr>
                <w:rFonts w:ascii="Arial" w:cs="Arial" w:eastAsia="Arial" w:hAnsi="Arial"/>
                <w:sz w:val="24"/>
                <w:szCs w:val="24"/>
                <w:color w:val="auto"/>
                <w:vertAlign w:val="superscript"/>
              </w:rPr>
              <w:t>(2)</w:t>
            </w:r>
          </w:p>
        </w:tc>
        <w:tc>
          <w:tcPr>
            <w:tcW w:w="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11.53</w:t>
            </w:r>
          </w:p>
        </w:tc>
        <w:tc>
          <w:tcPr>
            <w:tcW w:w="180" w:type="dxa"/>
            <w:vAlign w:val="bottom"/>
          </w:tcPr>
          <w:p>
            <w:pPr>
              <w:jc w:val="right"/>
              <w:spacing w:after="0"/>
              <w:rPr>
                <w:sz w:val="20"/>
                <w:szCs w:val="20"/>
                <w:color w:val="auto"/>
              </w:rPr>
            </w:pPr>
            <w:r>
              <w:rPr>
                <w:rFonts w:ascii="Arial" w:cs="Arial" w:eastAsia="Arial" w:hAnsi="Arial"/>
                <w:sz w:val="12"/>
                <w:szCs w:val="12"/>
                <w:color w:val="auto"/>
                <w:w w:val="95"/>
              </w:rPr>
              <w:t>(4)</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ind w:right="91"/>
              <w:spacing w:after="0"/>
              <w:rPr>
                <w:sz w:val="20"/>
                <w:szCs w:val="20"/>
                <w:color w:val="auto"/>
              </w:rPr>
            </w:pPr>
            <w:r>
              <w:rPr>
                <w:rFonts w:ascii="Arial" w:cs="Arial" w:eastAsia="Arial" w:hAnsi="Arial"/>
                <w:sz w:val="18"/>
                <w:szCs w:val="18"/>
                <w:color w:val="auto"/>
              </w:rPr>
              <w:t>8.53</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ind w:right="71"/>
              <w:spacing w:after="0"/>
              <w:rPr>
                <w:sz w:val="20"/>
                <w:szCs w:val="20"/>
                <w:color w:val="auto"/>
              </w:rPr>
            </w:pPr>
            <w:r>
              <w:rPr>
                <w:rFonts w:ascii="Arial" w:cs="Arial" w:eastAsia="Arial" w:hAnsi="Arial"/>
                <w:sz w:val="18"/>
                <w:szCs w:val="18"/>
                <w:color w:val="auto"/>
              </w:rPr>
              <w:t>8.55</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ind w:right="71"/>
              <w:spacing w:after="0"/>
              <w:rPr>
                <w:sz w:val="20"/>
                <w:szCs w:val="20"/>
                <w:color w:val="auto"/>
              </w:rPr>
            </w:pPr>
            <w:r>
              <w:rPr>
                <w:rFonts w:ascii="Arial" w:cs="Arial" w:eastAsia="Arial" w:hAnsi="Arial"/>
                <w:sz w:val="18"/>
                <w:szCs w:val="18"/>
                <w:color w:val="auto"/>
              </w:rPr>
              <w:t>8.66</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ind w:right="71"/>
              <w:spacing w:after="0"/>
              <w:rPr>
                <w:sz w:val="20"/>
                <w:szCs w:val="20"/>
                <w:color w:val="auto"/>
              </w:rPr>
            </w:pPr>
            <w:r>
              <w:rPr>
                <w:rFonts w:ascii="Arial" w:cs="Arial" w:eastAsia="Arial" w:hAnsi="Arial"/>
                <w:sz w:val="18"/>
                <w:szCs w:val="18"/>
                <w:color w:val="auto"/>
              </w:rPr>
              <w:t>8.24</w:t>
            </w:r>
          </w:p>
        </w:tc>
        <w:tc>
          <w:tcPr>
            <w:tcW w:w="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ind w:right="71"/>
              <w:spacing w:after="0"/>
              <w:rPr>
                <w:sz w:val="20"/>
                <w:szCs w:val="20"/>
                <w:color w:val="auto"/>
              </w:rPr>
            </w:pPr>
            <w:r>
              <w:rPr>
                <w:rFonts w:ascii="Arial" w:cs="Arial" w:eastAsia="Arial" w:hAnsi="Arial"/>
                <w:sz w:val="18"/>
                <w:szCs w:val="18"/>
                <w:color w:val="auto"/>
              </w:rPr>
              <w:t>8.83</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jc w:val="right"/>
              <w:ind w:right="71"/>
              <w:spacing w:after="0"/>
              <w:rPr>
                <w:sz w:val="20"/>
                <w:szCs w:val="20"/>
                <w:color w:val="auto"/>
              </w:rPr>
            </w:pPr>
            <w:r>
              <w:rPr>
                <w:rFonts w:ascii="Arial" w:cs="Arial" w:eastAsia="Arial" w:hAnsi="Arial"/>
                <w:sz w:val="18"/>
                <w:szCs w:val="18"/>
                <w:color w:val="auto"/>
              </w:rPr>
              <w:t>8.16</w:t>
            </w:r>
          </w:p>
        </w:tc>
        <w:tc>
          <w:tcPr>
            <w:tcW w:w="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120" w:type="dxa"/>
            <w:vAlign w:val="bottom"/>
          </w:tcPr>
          <w:p>
            <w:pPr>
              <w:ind w:left="180"/>
              <w:spacing w:after="0" w:line="214" w:lineRule="exact"/>
              <w:rPr>
                <w:sz w:val="20"/>
                <w:szCs w:val="20"/>
                <w:color w:val="auto"/>
              </w:rPr>
            </w:pPr>
            <w:r>
              <w:rPr>
                <w:rFonts w:ascii="Arial" w:cs="Arial" w:eastAsia="Arial" w:hAnsi="Arial"/>
                <w:sz w:val="18"/>
                <w:szCs w:val="18"/>
                <w:color w:val="auto"/>
                <w:w w:val="98"/>
              </w:rPr>
              <w:t xml:space="preserve">Tangible common equity to assets </w:t>
            </w:r>
            <w:r>
              <w:rPr>
                <w:rFonts w:ascii="Arial" w:cs="Arial" w:eastAsia="Arial" w:hAnsi="Arial"/>
                <w:sz w:val="24"/>
                <w:szCs w:val="24"/>
                <w:color w:val="auto"/>
                <w:w w:val="98"/>
                <w:vertAlign w:val="superscript"/>
              </w:rPr>
              <w:t>(2)</w:t>
            </w:r>
          </w:p>
        </w:tc>
        <w:tc>
          <w:tcPr>
            <w:tcW w:w="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8.79</w:t>
            </w:r>
          </w:p>
        </w:tc>
        <w:tc>
          <w:tcPr>
            <w:tcW w:w="180" w:type="dxa"/>
            <w:vAlign w:val="bottom"/>
          </w:tcPr>
          <w:p>
            <w:pPr>
              <w:jc w:val="right"/>
              <w:spacing w:after="0"/>
              <w:rPr>
                <w:sz w:val="20"/>
                <w:szCs w:val="20"/>
                <w:color w:val="auto"/>
              </w:rPr>
            </w:pPr>
            <w:r>
              <w:rPr>
                <w:rFonts w:ascii="Arial" w:cs="Arial" w:eastAsia="Arial" w:hAnsi="Arial"/>
                <w:sz w:val="12"/>
                <w:szCs w:val="12"/>
                <w:color w:val="auto"/>
                <w:w w:val="95"/>
              </w:rPr>
              <w:t>(4)</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ind w:right="91"/>
              <w:spacing w:after="0"/>
              <w:rPr>
                <w:sz w:val="20"/>
                <w:szCs w:val="20"/>
                <w:color w:val="auto"/>
              </w:rPr>
            </w:pPr>
            <w:r>
              <w:rPr>
                <w:rFonts w:ascii="Arial" w:cs="Arial" w:eastAsia="Arial" w:hAnsi="Arial"/>
                <w:sz w:val="18"/>
                <w:szCs w:val="18"/>
                <w:color w:val="auto"/>
              </w:rPr>
              <w:t>5.66</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ind w:right="71"/>
              <w:spacing w:after="0"/>
              <w:rPr>
                <w:sz w:val="20"/>
                <w:szCs w:val="20"/>
                <w:color w:val="auto"/>
              </w:rPr>
            </w:pPr>
            <w:r>
              <w:rPr>
                <w:rFonts w:ascii="Arial" w:cs="Arial" w:eastAsia="Arial" w:hAnsi="Arial"/>
                <w:sz w:val="18"/>
                <w:szCs w:val="18"/>
                <w:color w:val="auto"/>
              </w:rPr>
              <w:t>5.67</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ind w:right="71"/>
              <w:spacing w:after="0"/>
              <w:rPr>
                <w:sz w:val="20"/>
                <w:szCs w:val="20"/>
                <w:color w:val="auto"/>
              </w:rPr>
            </w:pPr>
            <w:r>
              <w:rPr>
                <w:rFonts w:ascii="Arial" w:cs="Arial" w:eastAsia="Arial" w:hAnsi="Arial"/>
                <w:sz w:val="18"/>
                <w:szCs w:val="18"/>
                <w:color w:val="auto"/>
              </w:rPr>
              <w:t>5.73</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ind w:right="71"/>
              <w:spacing w:after="0"/>
              <w:rPr>
                <w:sz w:val="20"/>
                <w:szCs w:val="20"/>
                <w:color w:val="auto"/>
              </w:rPr>
            </w:pPr>
            <w:r>
              <w:rPr>
                <w:rFonts w:ascii="Arial" w:cs="Arial" w:eastAsia="Arial" w:hAnsi="Arial"/>
                <w:sz w:val="18"/>
                <w:szCs w:val="18"/>
                <w:color w:val="auto"/>
              </w:rPr>
              <w:t>5.45</w:t>
            </w:r>
          </w:p>
        </w:tc>
        <w:tc>
          <w:tcPr>
            <w:tcW w:w="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ind w:right="71"/>
              <w:spacing w:after="0"/>
              <w:rPr>
                <w:sz w:val="20"/>
                <w:szCs w:val="20"/>
                <w:color w:val="auto"/>
              </w:rPr>
            </w:pPr>
            <w:r>
              <w:rPr>
                <w:rFonts w:ascii="Arial" w:cs="Arial" w:eastAsia="Arial" w:hAnsi="Arial"/>
                <w:sz w:val="18"/>
                <w:szCs w:val="18"/>
                <w:color w:val="auto"/>
              </w:rPr>
              <w:t>5.99</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jc w:val="right"/>
              <w:ind w:right="71"/>
              <w:spacing w:after="0"/>
              <w:rPr>
                <w:sz w:val="20"/>
                <w:szCs w:val="20"/>
                <w:color w:val="auto"/>
              </w:rPr>
            </w:pPr>
            <w:r>
              <w:rPr>
                <w:rFonts w:ascii="Arial" w:cs="Arial" w:eastAsia="Arial" w:hAnsi="Arial"/>
                <w:sz w:val="18"/>
                <w:szCs w:val="18"/>
                <w:color w:val="auto"/>
              </w:rPr>
              <w:t>5.39</w:t>
            </w:r>
          </w:p>
        </w:tc>
        <w:tc>
          <w:tcPr>
            <w:tcW w:w="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120" w:type="dxa"/>
            <w:vAlign w:val="bottom"/>
          </w:tcPr>
          <w:p>
            <w:pPr>
              <w:ind w:left="180"/>
              <w:spacing w:after="0"/>
              <w:rPr>
                <w:sz w:val="20"/>
                <w:szCs w:val="20"/>
                <w:color w:val="auto"/>
              </w:rPr>
            </w:pPr>
            <w:r>
              <w:rPr>
                <w:rFonts w:ascii="Arial" w:cs="Arial" w:eastAsia="Arial" w:hAnsi="Arial"/>
                <w:sz w:val="18"/>
                <w:szCs w:val="18"/>
                <w:color w:val="auto"/>
              </w:rPr>
              <w:t>Tangible common equity to risk-</w:t>
            </w: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5"/>
        </w:trPr>
        <w:tc>
          <w:tcPr>
            <w:tcW w:w="3120" w:type="dxa"/>
            <w:vAlign w:val="bottom"/>
          </w:tcPr>
          <w:p>
            <w:pPr>
              <w:ind w:left="360"/>
              <w:spacing w:after="0"/>
              <w:rPr>
                <w:sz w:val="20"/>
                <w:szCs w:val="20"/>
                <w:color w:val="auto"/>
              </w:rPr>
            </w:pPr>
            <w:r>
              <w:rPr>
                <w:rFonts w:ascii="Arial" w:cs="Arial" w:eastAsia="Arial" w:hAnsi="Arial"/>
                <w:sz w:val="18"/>
                <w:szCs w:val="18"/>
                <w:color w:val="auto"/>
              </w:rPr>
              <w:t xml:space="preserve">weighted assets </w:t>
            </w:r>
            <w:r>
              <w:rPr>
                <w:rFonts w:ascii="Arial" w:cs="Arial" w:eastAsia="Arial" w:hAnsi="Arial"/>
                <w:sz w:val="24"/>
                <w:szCs w:val="24"/>
                <w:color w:val="auto"/>
                <w:vertAlign w:val="superscript"/>
              </w:rPr>
              <w:t>(2)</w:t>
            </w:r>
          </w:p>
        </w:tc>
        <w:tc>
          <w:tcPr>
            <w:tcW w:w="8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13.16</w:t>
            </w: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jc w:val="right"/>
              <w:ind w:right="91"/>
              <w:spacing w:after="0"/>
              <w:rPr>
                <w:sz w:val="20"/>
                <w:szCs w:val="20"/>
                <w:color w:val="auto"/>
              </w:rPr>
            </w:pPr>
            <w:r>
              <w:rPr>
                <w:rFonts w:ascii="Arial" w:cs="Arial" w:eastAsia="Arial" w:hAnsi="Arial"/>
                <w:sz w:val="18"/>
                <w:szCs w:val="18"/>
                <w:color w:val="auto"/>
              </w:rPr>
              <w:t>8.45</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jc w:val="right"/>
              <w:ind w:right="71"/>
              <w:spacing w:after="0"/>
              <w:rPr>
                <w:sz w:val="20"/>
                <w:szCs w:val="20"/>
                <w:color w:val="auto"/>
              </w:rPr>
            </w:pPr>
            <w:r>
              <w:rPr>
                <w:rFonts w:ascii="Arial" w:cs="Arial" w:eastAsia="Arial" w:hAnsi="Arial"/>
                <w:sz w:val="18"/>
                <w:szCs w:val="18"/>
                <w:color w:val="auto"/>
              </w:rPr>
              <w:t>8.26</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jc w:val="right"/>
              <w:ind w:right="71"/>
              <w:spacing w:after="0"/>
              <w:rPr>
                <w:sz w:val="20"/>
                <w:szCs w:val="20"/>
                <w:color w:val="auto"/>
              </w:rPr>
            </w:pPr>
            <w:r>
              <w:rPr>
                <w:rFonts w:ascii="Arial" w:cs="Arial" w:eastAsia="Arial" w:hAnsi="Arial"/>
                <w:sz w:val="18"/>
                <w:szCs w:val="18"/>
                <w:color w:val="auto"/>
              </w:rPr>
              <w:t>8.44</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jc w:val="right"/>
              <w:ind w:right="71"/>
              <w:spacing w:after="0"/>
              <w:rPr>
                <w:sz w:val="20"/>
                <w:szCs w:val="20"/>
                <w:color w:val="auto"/>
              </w:rPr>
            </w:pPr>
            <w:r>
              <w:rPr>
                <w:rFonts w:ascii="Arial" w:cs="Arial" w:eastAsia="Arial" w:hAnsi="Arial"/>
                <w:sz w:val="18"/>
                <w:szCs w:val="18"/>
                <w:color w:val="auto"/>
              </w:rPr>
              <w:t>8.37</w:t>
            </w:r>
          </w:p>
        </w:tc>
        <w:tc>
          <w:tcPr>
            <w:tcW w:w="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jc w:val="right"/>
              <w:ind w:right="71"/>
              <w:spacing w:after="0"/>
              <w:rPr>
                <w:sz w:val="20"/>
                <w:szCs w:val="20"/>
                <w:color w:val="auto"/>
              </w:rPr>
            </w:pPr>
            <w:r>
              <w:rPr>
                <w:rFonts w:ascii="Arial" w:cs="Arial" w:eastAsia="Arial" w:hAnsi="Arial"/>
                <w:sz w:val="18"/>
                <w:szCs w:val="18"/>
                <w:color w:val="auto"/>
              </w:rPr>
              <w:t>13.16</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jc w:val="right"/>
              <w:ind w:right="71"/>
              <w:spacing w:after="0"/>
              <w:rPr>
                <w:sz w:val="20"/>
                <w:szCs w:val="20"/>
                <w:color w:val="auto"/>
              </w:rPr>
            </w:pPr>
            <w:r>
              <w:rPr>
                <w:rFonts w:ascii="Arial" w:cs="Arial" w:eastAsia="Arial" w:hAnsi="Arial"/>
                <w:sz w:val="18"/>
                <w:szCs w:val="18"/>
                <w:color w:val="auto"/>
              </w:rPr>
              <w:t>8.37</w:t>
            </w:r>
          </w:p>
        </w:tc>
        <w:tc>
          <w:tcPr>
            <w:tcW w:w="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3120" w:type="dxa"/>
            <w:vAlign w:val="bottom"/>
          </w:tcPr>
          <w:p>
            <w:pPr>
              <w:spacing w:after="0"/>
              <w:rPr>
                <w:sz w:val="20"/>
                <w:szCs w:val="20"/>
                <w:color w:val="auto"/>
              </w:rPr>
            </w:pPr>
            <w:r>
              <w:rPr>
                <w:rFonts w:ascii="Arial" w:cs="Arial" w:eastAsia="Arial" w:hAnsi="Arial"/>
                <w:sz w:val="18"/>
                <w:szCs w:val="18"/>
                <w:b w:val="1"/>
                <w:bCs w:val="1"/>
                <w:color w:val="auto"/>
              </w:rPr>
              <w:t>ASSET QUALITY *</w:t>
            </w: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3120" w:type="dxa"/>
            <w:vAlign w:val="bottom"/>
          </w:tcPr>
          <w:p>
            <w:pPr>
              <w:ind w:left="100"/>
              <w:spacing w:after="0"/>
              <w:rPr>
                <w:sz w:val="20"/>
                <w:szCs w:val="20"/>
                <w:color w:val="auto"/>
              </w:rPr>
            </w:pPr>
            <w:r>
              <w:rPr>
                <w:rFonts w:ascii="Arial" w:cs="Arial" w:eastAsia="Arial" w:hAnsi="Arial"/>
                <w:sz w:val="18"/>
                <w:szCs w:val="18"/>
                <w:color w:val="auto"/>
              </w:rPr>
              <w:t>Non-performing loans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27,864</w:t>
            </w:r>
          </w:p>
        </w:tc>
        <w:tc>
          <w:tcPr>
            <w:tcW w:w="18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91"/>
              <w:spacing w:after="0"/>
              <w:rPr>
                <w:sz w:val="20"/>
                <w:szCs w:val="20"/>
                <w:color w:val="auto"/>
              </w:rPr>
            </w:pPr>
            <w:r>
              <w:rPr>
                <w:rFonts w:ascii="Arial" w:cs="Arial" w:eastAsia="Arial" w:hAnsi="Arial"/>
                <w:sz w:val="18"/>
                <w:szCs w:val="18"/>
                <w:color w:val="auto"/>
              </w:rPr>
              <w:t>96,006</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71"/>
              <w:spacing w:after="0"/>
              <w:rPr>
                <w:sz w:val="20"/>
                <w:szCs w:val="20"/>
                <w:color w:val="auto"/>
              </w:rPr>
            </w:pPr>
            <w:r>
              <w:rPr>
                <w:rFonts w:ascii="Arial" w:cs="Arial" w:eastAsia="Arial" w:hAnsi="Arial"/>
                <w:sz w:val="18"/>
                <w:szCs w:val="18"/>
                <w:color w:val="auto"/>
                <w:w w:val="86"/>
              </w:rPr>
              <w:t>109,894</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71"/>
              <w:spacing w:after="0"/>
              <w:rPr>
                <w:sz w:val="20"/>
                <w:szCs w:val="20"/>
                <w:color w:val="auto"/>
              </w:rPr>
            </w:pPr>
            <w:r>
              <w:rPr>
                <w:rFonts w:ascii="Arial" w:cs="Arial" w:eastAsia="Arial" w:hAnsi="Arial"/>
                <w:sz w:val="18"/>
                <w:szCs w:val="18"/>
                <w:color w:val="auto"/>
                <w:w w:val="86"/>
              </w:rPr>
              <w:t>115,001</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71"/>
              <w:spacing w:after="0"/>
              <w:rPr>
                <w:sz w:val="20"/>
                <w:szCs w:val="20"/>
                <w:color w:val="auto"/>
              </w:rPr>
            </w:pPr>
            <w:r>
              <w:rPr>
                <w:rFonts w:ascii="Arial" w:cs="Arial" w:eastAsia="Arial" w:hAnsi="Arial"/>
                <w:sz w:val="18"/>
                <w:szCs w:val="18"/>
                <w:color w:val="auto"/>
                <w:w w:val="86"/>
              </w:rPr>
              <w:t>115,340</w:t>
            </w:r>
          </w:p>
        </w:tc>
        <w:tc>
          <w:tcPr>
            <w:tcW w:w="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ind w:right="71"/>
              <w:spacing w:after="0"/>
              <w:rPr>
                <w:sz w:val="20"/>
                <w:szCs w:val="20"/>
                <w:color w:val="auto"/>
              </w:rPr>
            </w:pPr>
            <w:r>
              <w:rPr>
                <w:rFonts w:ascii="Arial" w:cs="Arial" w:eastAsia="Arial" w:hAnsi="Arial"/>
                <w:sz w:val="18"/>
                <w:szCs w:val="18"/>
                <w:color w:val="auto"/>
              </w:rPr>
              <w:t>27,864</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71"/>
              <w:spacing w:after="0"/>
              <w:rPr>
                <w:sz w:val="20"/>
                <w:szCs w:val="20"/>
                <w:color w:val="auto"/>
              </w:rPr>
            </w:pPr>
            <w:r>
              <w:rPr>
                <w:rFonts w:ascii="Arial" w:cs="Arial" w:eastAsia="Arial" w:hAnsi="Arial"/>
                <w:sz w:val="18"/>
                <w:szCs w:val="18"/>
                <w:color w:val="auto"/>
                <w:w w:val="89"/>
              </w:rPr>
              <w:t>115,340</w:t>
            </w:r>
          </w:p>
        </w:tc>
        <w:tc>
          <w:tcPr>
            <w:tcW w:w="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3120" w:type="dxa"/>
            <w:vAlign w:val="bottom"/>
          </w:tcPr>
          <w:p>
            <w:pPr>
              <w:ind w:left="100"/>
              <w:spacing w:after="0"/>
              <w:rPr>
                <w:sz w:val="20"/>
                <w:szCs w:val="20"/>
                <w:color w:val="auto"/>
              </w:rPr>
            </w:pPr>
            <w:r>
              <w:rPr>
                <w:rFonts w:ascii="Arial" w:cs="Arial" w:eastAsia="Arial" w:hAnsi="Arial"/>
                <w:sz w:val="18"/>
                <w:szCs w:val="18"/>
                <w:color w:val="auto"/>
              </w:rPr>
              <w:t>Foreclosed properties</w:t>
            </w:r>
          </w:p>
        </w:tc>
        <w:tc>
          <w:tcPr>
            <w:tcW w:w="8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3,936</w:t>
            </w:r>
          </w:p>
        </w:tc>
        <w:tc>
          <w:tcPr>
            <w:tcW w:w="180" w:type="dxa"/>
            <w:vAlign w:val="bottom"/>
            <w:tcBorders>
              <w:bottom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16,734</w:t>
            </w:r>
          </w:p>
        </w:tc>
        <w:tc>
          <w:tcPr>
            <w:tcW w:w="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18,264</w:t>
            </w:r>
          </w:p>
        </w:tc>
        <w:tc>
          <w:tcPr>
            <w:tcW w:w="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26,958</w:t>
            </w:r>
          </w:p>
        </w:tc>
        <w:tc>
          <w:tcPr>
            <w:tcW w:w="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30,421</w:t>
            </w:r>
          </w:p>
        </w:tc>
        <w:tc>
          <w:tcPr>
            <w:tcW w:w="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3,936</w:t>
            </w:r>
          </w:p>
        </w:tc>
        <w:tc>
          <w:tcPr>
            <w:tcW w:w="6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30,421</w:t>
            </w:r>
          </w:p>
        </w:tc>
        <w:tc>
          <w:tcPr>
            <w:tcW w:w="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0"/>
        </w:trPr>
        <w:tc>
          <w:tcPr>
            <w:tcW w:w="3120" w:type="dxa"/>
            <w:vAlign w:val="bottom"/>
          </w:tcPr>
          <w:p>
            <w:pPr>
              <w:ind w:left="180"/>
              <w:spacing w:after="0" w:line="200" w:lineRule="exact"/>
              <w:rPr>
                <w:sz w:val="20"/>
                <w:szCs w:val="20"/>
                <w:color w:val="auto"/>
              </w:rPr>
            </w:pPr>
            <w:r>
              <w:rPr>
                <w:rFonts w:ascii="Arial" w:cs="Arial" w:eastAsia="Arial" w:hAnsi="Arial"/>
                <w:sz w:val="18"/>
                <w:szCs w:val="18"/>
                <w:color w:val="auto"/>
              </w:rPr>
              <w:t>Total non-performing assets (NPAs)</w:t>
            </w:r>
          </w:p>
        </w:tc>
        <w:tc>
          <w:tcPr>
            <w:tcW w:w="80" w:type="dxa"/>
            <w:vAlign w:val="bottom"/>
          </w:tcPr>
          <w:p>
            <w:pPr>
              <w:spacing w:after="0"/>
              <w:rPr>
                <w:sz w:val="17"/>
                <w:szCs w:val="17"/>
                <w:color w:val="auto"/>
              </w:rPr>
            </w:pPr>
          </w:p>
        </w:tc>
        <w:tc>
          <w:tcPr>
            <w:tcW w:w="680" w:type="dxa"/>
            <w:vAlign w:val="bottom"/>
          </w:tcPr>
          <w:p>
            <w:pPr>
              <w:jc w:val="right"/>
              <w:spacing w:after="0" w:line="200" w:lineRule="exact"/>
              <w:rPr>
                <w:sz w:val="20"/>
                <w:szCs w:val="20"/>
                <w:color w:val="auto"/>
              </w:rPr>
            </w:pPr>
            <w:r>
              <w:rPr>
                <w:rFonts w:ascii="Arial" w:cs="Arial" w:eastAsia="Arial" w:hAnsi="Arial"/>
                <w:sz w:val="18"/>
                <w:szCs w:val="18"/>
                <w:color w:val="auto"/>
              </w:rPr>
              <w:t>31,800</w:t>
            </w: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right"/>
              <w:ind w:right="91"/>
              <w:spacing w:after="0" w:line="200" w:lineRule="exact"/>
              <w:rPr>
                <w:sz w:val="20"/>
                <w:szCs w:val="20"/>
                <w:color w:val="auto"/>
              </w:rPr>
            </w:pPr>
            <w:r>
              <w:rPr>
                <w:rFonts w:ascii="Arial" w:cs="Arial" w:eastAsia="Arial" w:hAnsi="Arial"/>
                <w:sz w:val="18"/>
                <w:szCs w:val="18"/>
                <w:color w:val="auto"/>
                <w:w w:val="86"/>
              </w:rPr>
              <w:t>112,740</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ind w:right="71"/>
              <w:spacing w:after="0" w:line="200" w:lineRule="exact"/>
              <w:rPr>
                <w:sz w:val="20"/>
                <w:szCs w:val="20"/>
                <w:color w:val="auto"/>
              </w:rPr>
            </w:pPr>
            <w:r>
              <w:rPr>
                <w:rFonts w:ascii="Arial" w:cs="Arial" w:eastAsia="Arial" w:hAnsi="Arial"/>
                <w:sz w:val="18"/>
                <w:szCs w:val="18"/>
                <w:color w:val="auto"/>
                <w:w w:val="86"/>
              </w:rPr>
              <w:t>128,158</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ind w:right="71"/>
              <w:spacing w:after="0" w:line="200" w:lineRule="exact"/>
              <w:rPr>
                <w:sz w:val="20"/>
                <w:szCs w:val="20"/>
                <w:color w:val="auto"/>
              </w:rPr>
            </w:pPr>
            <w:r>
              <w:rPr>
                <w:rFonts w:ascii="Arial" w:cs="Arial" w:eastAsia="Arial" w:hAnsi="Arial"/>
                <w:sz w:val="18"/>
                <w:szCs w:val="18"/>
                <w:color w:val="auto"/>
                <w:w w:val="86"/>
              </w:rPr>
              <w:t>141,959</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ind w:right="71"/>
              <w:spacing w:after="0" w:line="200" w:lineRule="exact"/>
              <w:rPr>
                <w:sz w:val="20"/>
                <w:szCs w:val="20"/>
                <w:color w:val="auto"/>
              </w:rPr>
            </w:pPr>
            <w:r>
              <w:rPr>
                <w:rFonts w:ascii="Arial" w:cs="Arial" w:eastAsia="Arial" w:hAnsi="Arial"/>
                <w:sz w:val="18"/>
                <w:szCs w:val="18"/>
                <w:color w:val="auto"/>
                <w:w w:val="86"/>
              </w:rPr>
              <w:t>145,761</w:t>
            </w:r>
          </w:p>
        </w:tc>
        <w:tc>
          <w:tcPr>
            <w:tcW w:w="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ind w:right="71"/>
              <w:spacing w:after="0" w:line="200" w:lineRule="exact"/>
              <w:rPr>
                <w:sz w:val="20"/>
                <w:szCs w:val="20"/>
                <w:color w:val="auto"/>
              </w:rPr>
            </w:pPr>
            <w:r>
              <w:rPr>
                <w:rFonts w:ascii="Arial" w:cs="Arial" w:eastAsia="Arial" w:hAnsi="Arial"/>
                <w:sz w:val="18"/>
                <w:szCs w:val="18"/>
                <w:color w:val="auto"/>
              </w:rPr>
              <w:t>31,800</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jc w:val="right"/>
              <w:ind w:right="71"/>
              <w:spacing w:after="0" w:line="200" w:lineRule="exact"/>
              <w:rPr>
                <w:sz w:val="20"/>
                <w:szCs w:val="20"/>
                <w:color w:val="auto"/>
              </w:rPr>
            </w:pPr>
            <w:r>
              <w:rPr>
                <w:rFonts w:ascii="Arial" w:cs="Arial" w:eastAsia="Arial" w:hAnsi="Arial"/>
                <w:sz w:val="18"/>
                <w:szCs w:val="18"/>
                <w:color w:val="auto"/>
                <w:w w:val="89"/>
              </w:rPr>
              <w:t>145,761</w:t>
            </w:r>
          </w:p>
        </w:tc>
        <w:tc>
          <w:tcPr>
            <w:tcW w:w="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3120" w:type="dxa"/>
            <w:vAlign w:val="bottom"/>
          </w:tcPr>
          <w:p>
            <w:pPr>
              <w:ind w:left="80"/>
              <w:spacing w:after="0"/>
              <w:rPr>
                <w:sz w:val="20"/>
                <w:szCs w:val="20"/>
                <w:color w:val="auto"/>
              </w:rPr>
            </w:pPr>
            <w:r>
              <w:rPr>
                <w:rFonts w:ascii="Arial" w:cs="Arial" w:eastAsia="Arial" w:hAnsi="Arial"/>
                <w:sz w:val="18"/>
                <w:szCs w:val="18"/>
                <w:color w:val="auto"/>
              </w:rPr>
              <w:t>Allowance for loan losses</w:t>
            </w:r>
          </w:p>
        </w:tc>
        <w:tc>
          <w:tcPr>
            <w:tcW w:w="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81,845</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ind w:right="91"/>
              <w:spacing w:after="0"/>
              <w:rPr>
                <w:sz w:val="20"/>
                <w:szCs w:val="20"/>
                <w:color w:val="auto"/>
              </w:rPr>
            </w:pPr>
            <w:r>
              <w:rPr>
                <w:rFonts w:ascii="Arial" w:cs="Arial" w:eastAsia="Arial" w:hAnsi="Arial"/>
                <w:sz w:val="18"/>
                <w:szCs w:val="18"/>
                <w:color w:val="auto"/>
                <w:w w:val="86"/>
              </w:rPr>
              <w:t>105,753</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ind w:right="71"/>
              <w:spacing w:after="0"/>
              <w:rPr>
                <w:sz w:val="20"/>
                <w:szCs w:val="20"/>
                <w:color w:val="auto"/>
              </w:rPr>
            </w:pPr>
            <w:r>
              <w:rPr>
                <w:rFonts w:ascii="Arial" w:cs="Arial" w:eastAsia="Arial" w:hAnsi="Arial"/>
                <w:sz w:val="18"/>
                <w:szCs w:val="18"/>
                <w:color w:val="auto"/>
                <w:w w:val="86"/>
              </w:rPr>
              <w:t>107,137</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ind w:right="71"/>
              <w:spacing w:after="0"/>
              <w:rPr>
                <w:sz w:val="20"/>
                <w:szCs w:val="20"/>
                <w:color w:val="auto"/>
              </w:rPr>
            </w:pPr>
            <w:r>
              <w:rPr>
                <w:rFonts w:ascii="Arial" w:cs="Arial" w:eastAsia="Arial" w:hAnsi="Arial"/>
                <w:sz w:val="18"/>
                <w:szCs w:val="18"/>
                <w:color w:val="auto"/>
                <w:w w:val="86"/>
              </w:rPr>
              <w:t>107,642</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ind w:right="71"/>
              <w:spacing w:after="0"/>
              <w:rPr>
                <w:sz w:val="20"/>
                <w:szCs w:val="20"/>
                <w:color w:val="auto"/>
              </w:rPr>
            </w:pPr>
            <w:r>
              <w:rPr>
                <w:rFonts w:ascii="Arial" w:cs="Arial" w:eastAsia="Arial" w:hAnsi="Arial"/>
                <w:sz w:val="18"/>
                <w:szCs w:val="18"/>
                <w:color w:val="auto"/>
                <w:w w:val="86"/>
              </w:rPr>
              <w:t>112,705</w:t>
            </w:r>
          </w:p>
        </w:tc>
        <w:tc>
          <w:tcPr>
            <w:tcW w:w="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ind w:right="71"/>
              <w:spacing w:after="0"/>
              <w:rPr>
                <w:sz w:val="20"/>
                <w:szCs w:val="20"/>
                <w:color w:val="auto"/>
              </w:rPr>
            </w:pPr>
            <w:r>
              <w:rPr>
                <w:rFonts w:ascii="Arial" w:cs="Arial" w:eastAsia="Arial" w:hAnsi="Arial"/>
                <w:sz w:val="18"/>
                <w:szCs w:val="18"/>
                <w:color w:val="auto"/>
              </w:rPr>
              <w:t>81,845</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jc w:val="right"/>
              <w:ind w:right="71"/>
              <w:spacing w:after="0"/>
              <w:rPr>
                <w:sz w:val="20"/>
                <w:szCs w:val="20"/>
                <w:color w:val="auto"/>
              </w:rPr>
            </w:pPr>
            <w:r>
              <w:rPr>
                <w:rFonts w:ascii="Arial" w:cs="Arial" w:eastAsia="Arial" w:hAnsi="Arial"/>
                <w:sz w:val="18"/>
                <w:szCs w:val="18"/>
                <w:color w:val="auto"/>
                <w:w w:val="89"/>
              </w:rPr>
              <w:t>112,705</w:t>
            </w:r>
          </w:p>
        </w:tc>
        <w:tc>
          <w:tcPr>
            <w:tcW w:w="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120" w:type="dxa"/>
            <w:vAlign w:val="bottom"/>
          </w:tcPr>
          <w:p>
            <w:pPr>
              <w:ind w:left="100"/>
              <w:spacing w:after="0"/>
              <w:rPr>
                <w:sz w:val="20"/>
                <w:szCs w:val="20"/>
                <w:color w:val="auto"/>
              </w:rPr>
            </w:pPr>
            <w:r>
              <w:rPr>
                <w:rFonts w:ascii="Arial" w:cs="Arial" w:eastAsia="Arial" w:hAnsi="Arial"/>
                <w:sz w:val="18"/>
                <w:szCs w:val="18"/>
                <w:color w:val="auto"/>
              </w:rPr>
              <w:t>Net charge-offs</w:t>
            </w:r>
          </w:p>
        </w:tc>
        <w:tc>
          <w:tcPr>
            <w:tcW w:w="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72,408</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ind w:right="91"/>
              <w:spacing w:after="0"/>
              <w:rPr>
                <w:sz w:val="20"/>
                <w:szCs w:val="20"/>
                <w:color w:val="auto"/>
              </w:rPr>
            </w:pPr>
            <w:r>
              <w:rPr>
                <w:rFonts w:ascii="Arial" w:cs="Arial" w:eastAsia="Arial" w:hAnsi="Arial"/>
                <w:sz w:val="18"/>
                <w:szCs w:val="18"/>
                <w:color w:val="auto"/>
              </w:rPr>
              <w:t>12,384</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ind w:right="71"/>
              <w:spacing w:after="0"/>
              <w:rPr>
                <w:sz w:val="20"/>
                <w:szCs w:val="20"/>
                <w:color w:val="auto"/>
              </w:rPr>
            </w:pPr>
            <w:r>
              <w:rPr>
                <w:rFonts w:ascii="Arial" w:cs="Arial" w:eastAsia="Arial" w:hAnsi="Arial"/>
                <w:sz w:val="18"/>
                <w:szCs w:val="18"/>
                <w:color w:val="auto"/>
              </w:rPr>
              <w:t>14,505</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ind w:right="71"/>
              <w:spacing w:after="0"/>
              <w:rPr>
                <w:sz w:val="20"/>
                <w:szCs w:val="20"/>
                <w:color w:val="auto"/>
              </w:rPr>
            </w:pPr>
            <w:r>
              <w:rPr>
                <w:rFonts w:ascii="Arial" w:cs="Arial" w:eastAsia="Arial" w:hAnsi="Arial"/>
                <w:sz w:val="18"/>
                <w:szCs w:val="18"/>
                <w:color w:val="auto"/>
              </w:rPr>
              <w:t>20,563</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ind w:right="71"/>
              <w:spacing w:after="0"/>
              <w:rPr>
                <w:sz w:val="20"/>
                <w:szCs w:val="20"/>
                <w:color w:val="auto"/>
              </w:rPr>
            </w:pPr>
            <w:r>
              <w:rPr>
                <w:rFonts w:ascii="Arial" w:cs="Arial" w:eastAsia="Arial" w:hAnsi="Arial"/>
                <w:sz w:val="18"/>
                <w:szCs w:val="18"/>
                <w:color w:val="auto"/>
              </w:rPr>
              <w:t>18,896</w:t>
            </w:r>
          </w:p>
        </w:tc>
        <w:tc>
          <w:tcPr>
            <w:tcW w:w="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ind w:right="71"/>
              <w:spacing w:after="0"/>
              <w:rPr>
                <w:sz w:val="20"/>
                <w:szCs w:val="20"/>
                <w:color w:val="auto"/>
              </w:rPr>
            </w:pPr>
            <w:r>
              <w:rPr>
                <w:rFonts w:ascii="Arial" w:cs="Arial" w:eastAsia="Arial" w:hAnsi="Arial"/>
                <w:sz w:val="18"/>
                <w:szCs w:val="18"/>
                <w:color w:val="auto"/>
              </w:rPr>
              <w:t>84,792</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jc w:val="right"/>
              <w:ind w:right="71"/>
              <w:spacing w:after="0"/>
              <w:rPr>
                <w:sz w:val="20"/>
                <w:szCs w:val="20"/>
                <w:color w:val="auto"/>
              </w:rPr>
            </w:pPr>
            <w:r>
              <w:rPr>
                <w:rFonts w:ascii="Arial" w:cs="Arial" w:eastAsia="Arial" w:hAnsi="Arial"/>
                <w:sz w:val="18"/>
                <w:szCs w:val="18"/>
                <w:color w:val="auto"/>
              </w:rPr>
              <w:t>34,763</w:t>
            </w:r>
          </w:p>
        </w:tc>
        <w:tc>
          <w:tcPr>
            <w:tcW w:w="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120" w:type="dxa"/>
            <w:vAlign w:val="bottom"/>
          </w:tcPr>
          <w:p>
            <w:pPr>
              <w:ind w:left="80"/>
              <w:spacing w:after="0"/>
              <w:rPr>
                <w:sz w:val="20"/>
                <w:szCs w:val="20"/>
                <w:color w:val="auto"/>
              </w:rPr>
            </w:pPr>
            <w:r>
              <w:rPr>
                <w:rFonts w:ascii="Arial" w:cs="Arial" w:eastAsia="Arial" w:hAnsi="Arial"/>
                <w:sz w:val="18"/>
                <w:szCs w:val="18"/>
                <w:color w:val="auto"/>
              </w:rPr>
              <w:t>Allowance for loan losses to loans</w:t>
            </w:r>
          </w:p>
        </w:tc>
        <w:tc>
          <w:tcPr>
            <w:tcW w:w="8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1.95 %</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2.52%</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2.57%</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2.60%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2.74%</w:t>
            </w:r>
          </w:p>
        </w:tc>
        <w:tc>
          <w:tcPr>
            <w:tcW w:w="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1.95%</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2.74%</w:t>
            </w:r>
          </w:p>
        </w:tc>
        <w:tc>
          <w:tcPr>
            <w:tcW w:w="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120" w:type="dxa"/>
            <w:vAlign w:val="bottom"/>
          </w:tcPr>
          <w:p>
            <w:pPr>
              <w:ind w:left="100"/>
              <w:spacing w:after="0" w:line="214" w:lineRule="exact"/>
              <w:rPr>
                <w:sz w:val="20"/>
                <w:szCs w:val="20"/>
                <w:color w:val="auto"/>
              </w:rPr>
            </w:pPr>
            <w:r>
              <w:rPr>
                <w:rFonts w:ascii="Arial" w:cs="Arial" w:eastAsia="Arial" w:hAnsi="Arial"/>
                <w:sz w:val="18"/>
                <w:szCs w:val="18"/>
                <w:color w:val="auto"/>
              </w:rPr>
              <w:t xml:space="preserve">Net charge-offs to average loans </w:t>
            </w:r>
            <w:r>
              <w:rPr>
                <w:rFonts w:ascii="Arial" w:cs="Arial" w:eastAsia="Arial" w:hAnsi="Arial"/>
                <w:sz w:val="24"/>
                <w:szCs w:val="24"/>
                <w:color w:val="auto"/>
                <w:vertAlign w:val="superscript"/>
              </w:rPr>
              <w:t>(3)</w:t>
            </w:r>
          </w:p>
        </w:tc>
        <w:tc>
          <w:tcPr>
            <w:tcW w:w="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6.87</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ind w:right="91"/>
              <w:spacing w:after="0"/>
              <w:rPr>
                <w:sz w:val="20"/>
                <w:szCs w:val="20"/>
                <w:color w:val="auto"/>
              </w:rPr>
            </w:pPr>
            <w:r>
              <w:rPr>
                <w:rFonts w:ascii="Arial" w:cs="Arial" w:eastAsia="Arial" w:hAnsi="Arial"/>
                <w:sz w:val="18"/>
                <w:szCs w:val="18"/>
                <w:color w:val="auto"/>
              </w:rPr>
              <w:t>1.21</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ind w:right="71"/>
              <w:spacing w:after="0"/>
              <w:rPr>
                <w:sz w:val="20"/>
                <w:szCs w:val="20"/>
                <w:color w:val="auto"/>
              </w:rPr>
            </w:pPr>
            <w:r>
              <w:rPr>
                <w:rFonts w:ascii="Arial" w:cs="Arial" w:eastAsia="Arial" w:hAnsi="Arial"/>
                <w:sz w:val="18"/>
                <w:szCs w:val="18"/>
                <w:color w:val="auto"/>
              </w:rPr>
              <w:t>1.39</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ind w:right="71"/>
              <w:spacing w:after="0"/>
              <w:rPr>
                <w:sz w:val="20"/>
                <w:szCs w:val="20"/>
                <w:color w:val="auto"/>
              </w:rPr>
            </w:pPr>
            <w:r>
              <w:rPr>
                <w:rFonts w:ascii="Arial" w:cs="Arial" w:eastAsia="Arial" w:hAnsi="Arial"/>
                <w:sz w:val="18"/>
                <w:szCs w:val="18"/>
                <w:color w:val="auto"/>
              </w:rPr>
              <w:t>1.99</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ind w:right="71"/>
              <w:spacing w:after="0"/>
              <w:rPr>
                <w:sz w:val="20"/>
                <w:szCs w:val="20"/>
                <w:color w:val="auto"/>
              </w:rPr>
            </w:pPr>
            <w:r>
              <w:rPr>
                <w:rFonts w:ascii="Arial" w:cs="Arial" w:eastAsia="Arial" w:hAnsi="Arial"/>
                <w:sz w:val="18"/>
                <w:szCs w:val="18"/>
                <w:color w:val="auto"/>
              </w:rPr>
              <w:t>1.85</w:t>
            </w:r>
          </w:p>
        </w:tc>
        <w:tc>
          <w:tcPr>
            <w:tcW w:w="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ind w:right="71"/>
              <w:spacing w:after="0"/>
              <w:rPr>
                <w:sz w:val="20"/>
                <w:szCs w:val="20"/>
                <w:color w:val="auto"/>
              </w:rPr>
            </w:pPr>
            <w:r>
              <w:rPr>
                <w:rFonts w:ascii="Arial" w:cs="Arial" w:eastAsia="Arial" w:hAnsi="Arial"/>
                <w:sz w:val="18"/>
                <w:szCs w:val="18"/>
                <w:color w:val="auto"/>
              </w:rPr>
              <w:t>4.07</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jc w:val="right"/>
              <w:ind w:right="71"/>
              <w:spacing w:after="0"/>
              <w:rPr>
                <w:sz w:val="20"/>
                <w:szCs w:val="20"/>
                <w:color w:val="auto"/>
              </w:rPr>
            </w:pPr>
            <w:r>
              <w:rPr>
                <w:rFonts w:ascii="Arial" w:cs="Arial" w:eastAsia="Arial" w:hAnsi="Arial"/>
                <w:sz w:val="18"/>
                <w:szCs w:val="18"/>
                <w:color w:val="auto"/>
              </w:rPr>
              <w:t>1.70</w:t>
            </w:r>
          </w:p>
        </w:tc>
        <w:tc>
          <w:tcPr>
            <w:tcW w:w="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120" w:type="dxa"/>
            <w:vAlign w:val="bottom"/>
          </w:tcPr>
          <w:p>
            <w:pPr>
              <w:ind w:left="100"/>
              <w:spacing w:after="0"/>
              <w:rPr>
                <w:sz w:val="20"/>
                <w:szCs w:val="20"/>
                <w:color w:val="auto"/>
              </w:rPr>
            </w:pPr>
            <w:r>
              <w:rPr>
                <w:rFonts w:ascii="Arial" w:cs="Arial" w:eastAsia="Arial" w:hAnsi="Arial"/>
                <w:sz w:val="18"/>
                <w:szCs w:val="18"/>
                <w:color w:val="auto"/>
                <w:w w:val="93"/>
              </w:rPr>
              <w:t>NPAs to loans and foreclosed properties</w:t>
            </w:r>
          </w:p>
        </w:tc>
        <w:tc>
          <w:tcPr>
            <w:tcW w:w="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.76</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ind w:right="91"/>
              <w:spacing w:after="0"/>
              <w:rPr>
                <w:sz w:val="20"/>
                <w:szCs w:val="20"/>
                <w:color w:val="auto"/>
              </w:rPr>
            </w:pPr>
            <w:r>
              <w:rPr>
                <w:rFonts w:ascii="Arial" w:cs="Arial" w:eastAsia="Arial" w:hAnsi="Arial"/>
                <w:sz w:val="18"/>
                <w:szCs w:val="18"/>
                <w:color w:val="auto"/>
              </w:rPr>
              <w:t>2.68</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ind w:right="71"/>
              <w:spacing w:after="0"/>
              <w:rPr>
                <w:sz w:val="20"/>
                <w:szCs w:val="20"/>
                <w:color w:val="auto"/>
              </w:rPr>
            </w:pPr>
            <w:r>
              <w:rPr>
                <w:rFonts w:ascii="Arial" w:cs="Arial" w:eastAsia="Arial" w:hAnsi="Arial"/>
                <w:sz w:val="18"/>
                <w:szCs w:val="18"/>
                <w:color w:val="auto"/>
              </w:rPr>
              <w:t>3.06</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ind w:right="71"/>
              <w:spacing w:after="0"/>
              <w:rPr>
                <w:sz w:val="20"/>
                <w:szCs w:val="20"/>
                <w:color w:val="auto"/>
              </w:rPr>
            </w:pPr>
            <w:r>
              <w:rPr>
                <w:rFonts w:ascii="Arial" w:cs="Arial" w:eastAsia="Arial" w:hAnsi="Arial"/>
                <w:sz w:val="18"/>
                <w:szCs w:val="18"/>
                <w:color w:val="auto"/>
              </w:rPr>
              <w:t>3.41</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ind w:right="71"/>
              <w:spacing w:after="0"/>
              <w:rPr>
                <w:sz w:val="20"/>
                <w:szCs w:val="20"/>
                <w:color w:val="auto"/>
              </w:rPr>
            </w:pPr>
            <w:r>
              <w:rPr>
                <w:rFonts w:ascii="Arial" w:cs="Arial" w:eastAsia="Arial" w:hAnsi="Arial"/>
                <w:sz w:val="18"/>
                <w:szCs w:val="18"/>
                <w:color w:val="auto"/>
              </w:rPr>
              <w:t>3.51</w:t>
            </w:r>
          </w:p>
        </w:tc>
        <w:tc>
          <w:tcPr>
            <w:tcW w:w="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ind w:right="71"/>
              <w:spacing w:after="0"/>
              <w:rPr>
                <w:sz w:val="20"/>
                <w:szCs w:val="20"/>
                <w:color w:val="auto"/>
              </w:rPr>
            </w:pPr>
            <w:r>
              <w:rPr>
                <w:rFonts w:ascii="Arial" w:cs="Arial" w:eastAsia="Arial" w:hAnsi="Arial"/>
                <w:sz w:val="18"/>
                <w:szCs w:val="18"/>
                <w:color w:val="auto"/>
              </w:rPr>
              <w:t>.76</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jc w:val="right"/>
              <w:ind w:right="71"/>
              <w:spacing w:after="0"/>
              <w:rPr>
                <w:sz w:val="20"/>
                <w:szCs w:val="20"/>
                <w:color w:val="auto"/>
              </w:rPr>
            </w:pPr>
            <w:r>
              <w:rPr>
                <w:rFonts w:ascii="Arial" w:cs="Arial" w:eastAsia="Arial" w:hAnsi="Arial"/>
                <w:sz w:val="18"/>
                <w:szCs w:val="18"/>
                <w:color w:val="auto"/>
              </w:rPr>
              <w:t>3.51</w:t>
            </w:r>
          </w:p>
        </w:tc>
        <w:tc>
          <w:tcPr>
            <w:tcW w:w="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3120" w:type="dxa"/>
            <w:vAlign w:val="bottom"/>
          </w:tcPr>
          <w:p>
            <w:pPr>
              <w:ind w:left="100"/>
              <w:spacing w:after="0"/>
              <w:rPr>
                <w:sz w:val="20"/>
                <w:szCs w:val="20"/>
                <w:color w:val="auto"/>
              </w:rPr>
            </w:pPr>
            <w:r>
              <w:rPr>
                <w:rFonts w:ascii="Arial" w:cs="Arial" w:eastAsia="Arial" w:hAnsi="Arial"/>
                <w:sz w:val="18"/>
                <w:szCs w:val="18"/>
                <w:color w:val="auto"/>
              </w:rPr>
              <w:t>NPAs to total assets</w:t>
            </w:r>
          </w:p>
        </w:tc>
        <w:tc>
          <w:tcPr>
            <w:tcW w:w="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.44</w:t>
            </w: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ind w:right="91"/>
              <w:spacing w:after="0"/>
              <w:rPr>
                <w:sz w:val="20"/>
                <w:szCs w:val="20"/>
                <w:color w:val="auto"/>
              </w:rPr>
            </w:pPr>
            <w:r>
              <w:rPr>
                <w:rFonts w:ascii="Arial" w:cs="Arial" w:eastAsia="Arial" w:hAnsi="Arial"/>
                <w:sz w:val="18"/>
                <w:szCs w:val="18"/>
                <w:color w:val="auto"/>
              </w:rPr>
              <w:t>1.65</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ind w:right="71"/>
              <w:spacing w:after="0"/>
              <w:rPr>
                <w:sz w:val="20"/>
                <w:szCs w:val="20"/>
                <w:color w:val="auto"/>
              </w:rPr>
            </w:pPr>
            <w:r>
              <w:rPr>
                <w:rFonts w:ascii="Arial" w:cs="Arial" w:eastAsia="Arial" w:hAnsi="Arial"/>
                <w:sz w:val="18"/>
                <w:szCs w:val="18"/>
                <w:color w:val="auto"/>
              </w:rPr>
              <w:t>1.88</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ind w:right="71"/>
              <w:spacing w:after="0"/>
              <w:rPr>
                <w:sz w:val="20"/>
                <w:szCs w:val="20"/>
                <w:color w:val="auto"/>
              </w:rPr>
            </w:pPr>
            <w:r>
              <w:rPr>
                <w:rFonts w:ascii="Arial" w:cs="Arial" w:eastAsia="Arial" w:hAnsi="Arial"/>
                <w:sz w:val="18"/>
                <w:szCs w:val="18"/>
                <w:color w:val="auto"/>
              </w:rPr>
              <w:t>2.12</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ind w:right="71"/>
              <w:spacing w:after="0"/>
              <w:rPr>
                <w:sz w:val="20"/>
                <w:szCs w:val="20"/>
                <w:color w:val="auto"/>
              </w:rPr>
            </w:pPr>
            <w:r>
              <w:rPr>
                <w:rFonts w:ascii="Arial" w:cs="Arial" w:eastAsia="Arial" w:hAnsi="Arial"/>
                <w:sz w:val="18"/>
                <w:szCs w:val="18"/>
                <w:color w:val="auto"/>
              </w:rPr>
              <w:t>2.16</w:t>
            </w:r>
          </w:p>
        </w:tc>
        <w:tc>
          <w:tcPr>
            <w:tcW w:w="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ind w:right="71"/>
              <w:spacing w:after="0"/>
              <w:rPr>
                <w:sz w:val="20"/>
                <w:szCs w:val="20"/>
                <w:color w:val="auto"/>
              </w:rPr>
            </w:pPr>
            <w:r>
              <w:rPr>
                <w:rFonts w:ascii="Arial" w:cs="Arial" w:eastAsia="Arial" w:hAnsi="Arial"/>
                <w:sz w:val="18"/>
                <w:szCs w:val="18"/>
                <w:color w:val="auto"/>
              </w:rPr>
              <w:t>.44</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jc w:val="right"/>
              <w:ind w:right="71"/>
              <w:spacing w:after="0"/>
              <w:rPr>
                <w:sz w:val="20"/>
                <w:szCs w:val="20"/>
                <w:color w:val="auto"/>
              </w:rPr>
            </w:pPr>
            <w:r>
              <w:rPr>
                <w:rFonts w:ascii="Arial" w:cs="Arial" w:eastAsia="Arial" w:hAnsi="Arial"/>
                <w:sz w:val="18"/>
                <w:szCs w:val="18"/>
                <w:color w:val="auto"/>
              </w:rPr>
              <w:t>2.16</w:t>
            </w:r>
          </w:p>
        </w:tc>
        <w:tc>
          <w:tcPr>
            <w:tcW w:w="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6"/>
        </w:trPr>
        <w:tc>
          <w:tcPr>
            <w:tcW w:w="3120" w:type="dxa"/>
            <w:vAlign w:val="bottom"/>
          </w:tcPr>
          <w:p>
            <w:pPr>
              <w:spacing w:after="0"/>
              <w:rPr>
                <w:sz w:val="20"/>
                <w:szCs w:val="20"/>
                <w:color w:val="auto"/>
              </w:rPr>
            </w:pPr>
            <w:r>
              <w:rPr>
                <w:rFonts w:ascii="Arial" w:cs="Arial" w:eastAsia="Arial" w:hAnsi="Arial"/>
                <w:sz w:val="18"/>
                <w:szCs w:val="18"/>
                <w:b w:val="1"/>
                <w:bCs w:val="1"/>
                <w:color w:val="auto"/>
              </w:rPr>
              <w:t xml:space="preserve">AVERAGE BALANCES </w:t>
            </w:r>
            <w:r>
              <w:rPr>
                <w:rFonts w:ascii="Arial" w:cs="Arial" w:eastAsia="Arial" w:hAnsi="Arial"/>
                <w:sz w:val="18"/>
                <w:szCs w:val="18"/>
                <w:i w:val="1"/>
                <w:iCs w:val="1"/>
                <w:color w:val="auto"/>
              </w:rPr>
              <w:t>($ in millions)</w:t>
            </w: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3120" w:type="dxa"/>
            <w:vAlign w:val="bottom"/>
          </w:tcPr>
          <w:p>
            <w:pPr>
              <w:ind w:left="100"/>
              <w:spacing w:after="0"/>
              <w:rPr>
                <w:sz w:val="20"/>
                <w:szCs w:val="20"/>
                <w:color w:val="auto"/>
              </w:rPr>
            </w:pPr>
            <w:r>
              <w:rPr>
                <w:rFonts w:ascii="Arial" w:cs="Arial" w:eastAsia="Arial" w:hAnsi="Arial"/>
                <w:sz w:val="18"/>
                <w:szCs w:val="18"/>
                <w:color w:val="auto"/>
              </w:rPr>
              <w:t>Loans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4,253</w:t>
            </w:r>
          </w:p>
        </w:tc>
        <w:tc>
          <w:tcPr>
            <w:tcW w:w="18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91"/>
              <w:spacing w:after="0"/>
              <w:rPr>
                <w:sz w:val="20"/>
                <w:szCs w:val="20"/>
                <w:color w:val="auto"/>
              </w:rPr>
            </w:pPr>
            <w:r>
              <w:rPr>
                <w:rFonts w:ascii="Arial" w:cs="Arial" w:eastAsia="Arial" w:hAnsi="Arial"/>
                <w:sz w:val="18"/>
                <w:szCs w:val="18"/>
                <w:color w:val="auto"/>
              </w:rPr>
              <w:t>4,197</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71"/>
              <w:spacing w:after="0"/>
              <w:rPr>
                <w:sz w:val="20"/>
                <w:szCs w:val="20"/>
                <w:color w:val="auto"/>
              </w:rPr>
            </w:pPr>
            <w:r>
              <w:rPr>
                <w:rFonts w:ascii="Arial" w:cs="Arial" w:eastAsia="Arial" w:hAnsi="Arial"/>
                <w:sz w:val="18"/>
                <w:szCs w:val="18"/>
                <w:color w:val="auto"/>
              </w:rPr>
              <w:t>4,191</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71"/>
              <w:spacing w:after="0"/>
              <w:rPr>
                <w:sz w:val="20"/>
                <w:szCs w:val="20"/>
                <w:color w:val="auto"/>
              </w:rPr>
            </w:pPr>
            <w:r>
              <w:rPr>
                <w:rFonts w:ascii="Arial" w:cs="Arial" w:eastAsia="Arial" w:hAnsi="Arial"/>
                <w:sz w:val="18"/>
                <w:szCs w:val="18"/>
                <w:color w:val="auto"/>
              </w:rPr>
              <w:t>4,147</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71"/>
              <w:spacing w:after="0"/>
              <w:rPr>
                <w:sz w:val="20"/>
                <w:szCs w:val="20"/>
                <w:color w:val="auto"/>
              </w:rPr>
            </w:pPr>
            <w:r>
              <w:rPr>
                <w:rFonts w:ascii="Arial" w:cs="Arial" w:eastAsia="Arial" w:hAnsi="Arial"/>
                <w:sz w:val="18"/>
                <w:szCs w:val="18"/>
                <w:color w:val="auto"/>
              </w:rPr>
              <w:t>4,156</w:t>
            </w:r>
          </w:p>
        </w:tc>
        <w:tc>
          <w:tcPr>
            <w:tcW w:w="1120" w:type="dxa"/>
            <w:vAlign w:val="bottom"/>
            <w:gridSpan w:val="2"/>
          </w:tcPr>
          <w:p>
            <w:pPr>
              <w:jc w:val="right"/>
              <w:ind w:right="151"/>
              <w:spacing w:after="0"/>
              <w:rPr>
                <w:sz w:val="20"/>
                <w:szCs w:val="20"/>
                <w:color w:val="auto"/>
              </w:rPr>
            </w:pPr>
            <w:r>
              <w:rPr>
                <w:rFonts w:ascii="Arial" w:cs="Arial" w:eastAsia="Arial" w:hAnsi="Arial"/>
                <w:sz w:val="18"/>
                <w:szCs w:val="18"/>
                <w:color w:val="auto"/>
              </w:rPr>
              <w:t>2</w:t>
            </w:r>
          </w:p>
        </w:tc>
        <w:tc>
          <w:tcPr>
            <w:tcW w:w="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ind w:right="71"/>
              <w:spacing w:after="0"/>
              <w:rPr>
                <w:sz w:val="20"/>
                <w:szCs w:val="20"/>
                <w:color w:val="auto"/>
              </w:rPr>
            </w:pPr>
            <w:r>
              <w:rPr>
                <w:rFonts w:ascii="Arial" w:cs="Arial" w:eastAsia="Arial" w:hAnsi="Arial"/>
                <w:sz w:val="18"/>
                <w:szCs w:val="18"/>
                <w:color w:val="auto"/>
              </w:rPr>
              <w:t>4,225</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71"/>
              <w:spacing w:after="0"/>
              <w:rPr>
                <w:sz w:val="20"/>
                <w:szCs w:val="20"/>
                <w:color w:val="auto"/>
              </w:rPr>
            </w:pPr>
            <w:r>
              <w:rPr>
                <w:rFonts w:ascii="Arial" w:cs="Arial" w:eastAsia="Arial" w:hAnsi="Arial"/>
                <w:sz w:val="18"/>
                <w:szCs w:val="18"/>
                <w:color w:val="auto"/>
              </w:rPr>
              <w:t>4,162</w:t>
            </w:r>
          </w:p>
        </w:tc>
        <w:tc>
          <w:tcPr>
            <w:tcW w:w="900" w:type="dxa"/>
            <w:vAlign w:val="bottom"/>
            <w:gridSpan w:val="2"/>
          </w:tcPr>
          <w:p>
            <w:pPr>
              <w:jc w:val="right"/>
              <w:ind w:right="151"/>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4"/>
        </w:trPr>
        <w:tc>
          <w:tcPr>
            <w:tcW w:w="3120" w:type="dxa"/>
            <w:vAlign w:val="bottom"/>
          </w:tcPr>
          <w:p>
            <w:pPr>
              <w:ind w:left="100"/>
              <w:spacing w:after="0"/>
              <w:rPr>
                <w:sz w:val="20"/>
                <w:szCs w:val="20"/>
                <w:color w:val="auto"/>
              </w:rPr>
            </w:pPr>
            <w:r>
              <w:rPr>
                <w:rFonts w:ascii="Arial" w:cs="Arial" w:eastAsia="Arial" w:hAnsi="Arial"/>
                <w:sz w:val="18"/>
                <w:szCs w:val="18"/>
                <w:color w:val="auto"/>
              </w:rPr>
              <w:t>Investment securities</w:t>
            </w:r>
          </w:p>
        </w:tc>
        <w:tc>
          <w:tcPr>
            <w:tcW w:w="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2,161</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ind w:right="91"/>
              <w:spacing w:after="0"/>
              <w:rPr>
                <w:sz w:val="20"/>
                <w:szCs w:val="20"/>
                <w:color w:val="auto"/>
              </w:rPr>
            </w:pPr>
            <w:r>
              <w:rPr>
                <w:rFonts w:ascii="Arial" w:cs="Arial" w:eastAsia="Arial" w:hAnsi="Arial"/>
                <w:sz w:val="18"/>
                <w:szCs w:val="18"/>
                <w:color w:val="auto"/>
              </w:rPr>
              <w:t>2,141</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ind w:right="71"/>
              <w:spacing w:after="0"/>
              <w:rPr>
                <w:sz w:val="20"/>
                <w:szCs w:val="20"/>
                <w:color w:val="auto"/>
              </w:rPr>
            </w:pPr>
            <w:r>
              <w:rPr>
                <w:rFonts w:ascii="Arial" w:cs="Arial" w:eastAsia="Arial" w:hAnsi="Arial"/>
                <w:sz w:val="18"/>
                <w:szCs w:val="18"/>
                <w:color w:val="auto"/>
              </w:rPr>
              <w:t>2,088</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ind w:right="71"/>
              <w:spacing w:after="0"/>
              <w:rPr>
                <w:sz w:val="20"/>
                <w:szCs w:val="20"/>
                <w:color w:val="auto"/>
              </w:rPr>
            </w:pPr>
            <w:r>
              <w:rPr>
                <w:rFonts w:ascii="Arial" w:cs="Arial" w:eastAsia="Arial" w:hAnsi="Arial"/>
                <w:sz w:val="18"/>
                <w:szCs w:val="18"/>
                <w:color w:val="auto"/>
              </w:rPr>
              <w:t>1,971</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ind w:right="71"/>
              <w:spacing w:after="0"/>
              <w:rPr>
                <w:sz w:val="20"/>
                <w:szCs w:val="20"/>
                <w:color w:val="auto"/>
              </w:rPr>
            </w:pPr>
            <w:r>
              <w:rPr>
                <w:rFonts w:ascii="Arial" w:cs="Arial" w:eastAsia="Arial" w:hAnsi="Arial"/>
                <w:sz w:val="18"/>
                <w:szCs w:val="18"/>
                <w:color w:val="auto"/>
              </w:rPr>
              <w:t>2,145</w:t>
            </w:r>
          </w:p>
        </w:tc>
        <w:tc>
          <w:tcPr>
            <w:tcW w:w="1120" w:type="dxa"/>
            <w:vAlign w:val="bottom"/>
            <w:gridSpan w:val="2"/>
          </w:tcPr>
          <w:p>
            <w:pPr>
              <w:jc w:val="right"/>
              <w:ind w:right="151"/>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ind w:right="71"/>
              <w:spacing w:after="0"/>
              <w:rPr>
                <w:sz w:val="20"/>
                <w:szCs w:val="20"/>
                <w:color w:val="auto"/>
              </w:rPr>
            </w:pPr>
            <w:r>
              <w:rPr>
                <w:rFonts w:ascii="Arial" w:cs="Arial" w:eastAsia="Arial" w:hAnsi="Arial"/>
                <w:sz w:val="18"/>
                <w:szCs w:val="18"/>
                <w:color w:val="auto"/>
              </w:rPr>
              <w:t>2,151</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jc w:val="right"/>
              <w:ind w:right="71"/>
              <w:spacing w:after="0"/>
              <w:rPr>
                <w:sz w:val="20"/>
                <w:szCs w:val="20"/>
                <w:color w:val="auto"/>
              </w:rPr>
            </w:pPr>
            <w:r>
              <w:rPr>
                <w:rFonts w:ascii="Arial" w:cs="Arial" w:eastAsia="Arial" w:hAnsi="Arial"/>
                <w:sz w:val="18"/>
                <w:szCs w:val="18"/>
                <w:color w:val="auto"/>
              </w:rPr>
              <w:t>2,149</w:t>
            </w:r>
          </w:p>
        </w:tc>
        <w:tc>
          <w:tcPr>
            <w:tcW w:w="900" w:type="dxa"/>
            <w:vAlign w:val="bottom"/>
            <w:gridSpan w:val="2"/>
          </w:tcPr>
          <w:p>
            <w:pPr>
              <w:jc w:val="right"/>
              <w:ind w:right="1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4"/>
        </w:trPr>
        <w:tc>
          <w:tcPr>
            <w:tcW w:w="3120" w:type="dxa"/>
            <w:vAlign w:val="bottom"/>
          </w:tcPr>
          <w:p>
            <w:pPr>
              <w:ind w:left="100"/>
              <w:spacing w:after="0"/>
              <w:rPr>
                <w:sz w:val="20"/>
                <w:szCs w:val="20"/>
                <w:color w:val="auto"/>
              </w:rPr>
            </w:pPr>
            <w:r>
              <w:rPr>
                <w:rFonts w:ascii="Arial" w:cs="Arial" w:eastAsia="Arial" w:hAnsi="Arial"/>
                <w:sz w:val="18"/>
                <w:szCs w:val="18"/>
                <w:color w:val="auto"/>
              </w:rPr>
              <w:t>Earning assets</w:t>
            </w:r>
          </w:p>
        </w:tc>
        <w:tc>
          <w:tcPr>
            <w:tcW w:w="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6,608</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ind w:right="91"/>
              <w:spacing w:after="0"/>
              <w:rPr>
                <w:sz w:val="20"/>
                <w:szCs w:val="20"/>
                <w:color w:val="auto"/>
              </w:rPr>
            </w:pPr>
            <w:r>
              <w:rPr>
                <w:rFonts w:ascii="Arial" w:cs="Arial" w:eastAsia="Arial" w:hAnsi="Arial"/>
                <w:sz w:val="18"/>
                <w:szCs w:val="18"/>
                <w:color w:val="auto"/>
              </w:rPr>
              <w:t>6,547</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ind w:right="71"/>
              <w:spacing w:after="0"/>
              <w:rPr>
                <w:sz w:val="20"/>
                <w:szCs w:val="20"/>
                <w:color w:val="auto"/>
              </w:rPr>
            </w:pPr>
            <w:r>
              <w:rPr>
                <w:rFonts w:ascii="Arial" w:cs="Arial" w:eastAsia="Arial" w:hAnsi="Arial"/>
                <w:sz w:val="18"/>
                <w:szCs w:val="18"/>
                <w:color w:val="auto"/>
              </w:rPr>
              <w:t>6,482</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ind w:right="71"/>
              <w:spacing w:after="0"/>
              <w:rPr>
                <w:sz w:val="20"/>
                <w:szCs w:val="20"/>
                <w:color w:val="auto"/>
              </w:rPr>
            </w:pPr>
            <w:r>
              <w:rPr>
                <w:rFonts w:ascii="Arial" w:cs="Arial" w:eastAsia="Arial" w:hAnsi="Arial"/>
                <w:sz w:val="18"/>
                <w:szCs w:val="18"/>
                <w:color w:val="auto"/>
              </w:rPr>
              <w:t>6,346</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ind w:right="71"/>
              <w:spacing w:after="0"/>
              <w:rPr>
                <w:sz w:val="20"/>
                <w:szCs w:val="20"/>
                <w:color w:val="auto"/>
              </w:rPr>
            </w:pPr>
            <w:r>
              <w:rPr>
                <w:rFonts w:ascii="Arial" w:cs="Arial" w:eastAsia="Arial" w:hAnsi="Arial"/>
                <w:sz w:val="18"/>
                <w:szCs w:val="18"/>
                <w:color w:val="auto"/>
              </w:rPr>
              <w:t>6,665</w:t>
            </w:r>
          </w:p>
        </w:tc>
        <w:tc>
          <w:tcPr>
            <w:tcW w:w="1120" w:type="dxa"/>
            <w:vAlign w:val="bottom"/>
            <w:gridSpan w:val="2"/>
          </w:tcPr>
          <w:p>
            <w:pPr>
              <w:jc w:val="right"/>
              <w:ind w:right="91"/>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ind w:right="71"/>
              <w:spacing w:after="0"/>
              <w:rPr>
                <w:sz w:val="20"/>
                <w:szCs w:val="20"/>
                <w:color w:val="auto"/>
              </w:rPr>
            </w:pPr>
            <w:r>
              <w:rPr>
                <w:rFonts w:ascii="Arial" w:cs="Arial" w:eastAsia="Arial" w:hAnsi="Arial"/>
                <w:sz w:val="18"/>
                <w:szCs w:val="18"/>
                <w:color w:val="auto"/>
              </w:rPr>
              <w:t>6,578</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jc w:val="right"/>
              <w:ind w:right="71"/>
              <w:spacing w:after="0"/>
              <w:rPr>
                <w:sz w:val="20"/>
                <w:szCs w:val="20"/>
                <w:color w:val="auto"/>
              </w:rPr>
            </w:pPr>
            <w:r>
              <w:rPr>
                <w:rFonts w:ascii="Arial" w:cs="Arial" w:eastAsia="Arial" w:hAnsi="Arial"/>
                <w:sz w:val="18"/>
                <w:szCs w:val="18"/>
                <w:color w:val="auto"/>
              </w:rPr>
              <w:t>6,682</w:t>
            </w:r>
          </w:p>
        </w:tc>
        <w:tc>
          <w:tcPr>
            <w:tcW w:w="900" w:type="dxa"/>
            <w:vAlign w:val="bottom"/>
            <w:gridSpan w:val="2"/>
          </w:tcPr>
          <w:p>
            <w:pPr>
              <w:jc w:val="right"/>
              <w:ind w:right="91"/>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4"/>
        </w:trPr>
        <w:tc>
          <w:tcPr>
            <w:tcW w:w="3120" w:type="dxa"/>
            <w:vAlign w:val="bottom"/>
          </w:tcPr>
          <w:p>
            <w:pPr>
              <w:ind w:left="100"/>
              <w:spacing w:after="0"/>
              <w:rPr>
                <w:sz w:val="20"/>
                <w:szCs w:val="20"/>
                <w:color w:val="auto"/>
              </w:rPr>
            </w:pPr>
            <w:r>
              <w:rPr>
                <w:rFonts w:ascii="Arial" w:cs="Arial" w:eastAsia="Arial" w:hAnsi="Arial"/>
                <w:sz w:val="18"/>
                <w:szCs w:val="18"/>
                <w:color w:val="auto"/>
              </w:rPr>
              <w:t>Total assets</w:t>
            </w:r>
          </w:p>
        </w:tc>
        <w:tc>
          <w:tcPr>
            <w:tcW w:w="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6,915</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ind w:right="91"/>
              <w:spacing w:after="0"/>
              <w:rPr>
                <w:sz w:val="20"/>
                <w:szCs w:val="20"/>
                <w:color w:val="auto"/>
              </w:rPr>
            </w:pPr>
            <w:r>
              <w:rPr>
                <w:rFonts w:ascii="Arial" w:cs="Arial" w:eastAsia="Arial" w:hAnsi="Arial"/>
                <w:sz w:val="18"/>
                <w:szCs w:val="18"/>
                <w:color w:val="auto"/>
              </w:rPr>
              <w:t>6,834</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ind w:right="71"/>
              <w:spacing w:after="0"/>
              <w:rPr>
                <w:sz w:val="20"/>
                <w:szCs w:val="20"/>
                <w:color w:val="auto"/>
              </w:rPr>
            </w:pPr>
            <w:r>
              <w:rPr>
                <w:rFonts w:ascii="Arial" w:cs="Arial" w:eastAsia="Arial" w:hAnsi="Arial"/>
                <w:sz w:val="18"/>
                <w:szCs w:val="18"/>
                <w:color w:val="auto"/>
              </w:rPr>
              <w:t>6,778</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ind w:right="71"/>
              <w:spacing w:after="0"/>
              <w:rPr>
                <w:sz w:val="20"/>
                <w:szCs w:val="20"/>
                <w:color w:val="auto"/>
              </w:rPr>
            </w:pPr>
            <w:r>
              <w:rPr>
                <w:rFonts w:ascii="Arial" w:cs="Arial" w:eastAsia="Arial" w:hAnsi="Arial"/>
                <w:sz w:val="18"/>
                <w:szCs w:val="18"/>
                <w:color w:val="auto"/>
              </w:rPr>
              <w:t>6,648</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ind w:right="71"/>
              <w:spacing w:after="0"/>
              <w:rPr>
                <w:sz w:val="20"/>
                <w:szCs w:val="20"/>
                <w:color w:val="auto"/>
              </w:rPr>
            </w:pPr>
            <w:r>
              <w:rPr>
                <w:rFonts w:ascii="Arial" w:cs="Arial" w:eastAsia="Arial" w:hAnsi="Arial"/>
                <w:sz w:val="18"/>
                <w:szCs w:val="18"/>
                <w:color w:val="auto"/>
              </w:rPr>
              <w:t>6,993</w:t>
            </w:r>
          </w:p>
        </w:tc>
        <w:tc>
          <w:tcPr>
            <w:tcW w:w="1120" w:type="dxa"/>
            <w:vAlign w:val="bottom"/>
            <w:gridSpan w:val="2"/>
          </w:tcPr>
          <w:p>
            <w:pPr>
              <w:jc w:val="right"/>
              <w:ind w:right="91"/>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ind w:right="71"/>
              <w:spacing w:after="0"/>
              <w:rPr>
                <w:sz w:val="20"/>
                <w:szCs w:val="20"/>
                <w:color w:val="auto"/>
              </w:rPr>
            </w:pPr>
            <w:r>
              <w:rPr>
                <w:rFonts w:ascii="Arial" w:cs="Arial" w:eastAsia="Arial" w:hAnsi="Arial"/>
                <w:sz w:val="18"/>
                <w:szCs w:val="18"/>
                <w:color w:val="auto"/>
              </w:rPr>
              <w:t>6,875</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jc w:val="right"/>
              <w:ind w:right="71"/>
              <w:spacing w:after="0"/>
              <w:rPr>
                <w:sz w:val="20"/>
                <w:szCs w:val="20"/>
                <w:color w:val="auto"/>
              </w:rPr>
            </w:pPr>
            <w:r>
              <w:rPr>
                <w:rFonts w:ascii="Arial" w:cs="Arial" w:eastAsia="Arial" w:hAnsi="Arial"/>
                <w:sz w:val="18"/>
                <w:szCs w:val="18"/>
                <w:color w:val="auto"/>
              </w:rPr>
              <w:t>7,019</w:t>
            </w:r>
          </w:p>
        </w:tc>
        <w:tc>
          <w:tcPr>
            <w:tcW w:w="900" w:type="dxa"/>
            <w:vAlign w:val="bottom"/>
            <w:gridSpan w:val="2"/>
          </w:tcPr>
          <w:p>
            <w:pPr>
              <w:jc w:val="right"/>
              <w:ind w:right="91"/>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4"/>
        </w:trPr>
        <w:tc>
          <w:tcPr>
            <w:tcW w:w="3120" w:type="dxa"/>
            <w:vAlign w:val="bottom"/>
          </w:tcPr>
          <w:p>
            <w:pPr>
              <w:ind w:left="100"/>
              <w:spacing w:after="0"/>
              <w:rPr>
                <w:sz w:val="20"/>
                <w:szCs w:val="20"/>
                <w:color w:val="auto"/>
              </w:rPr>
            </w:pPr>
            <w:r>
              <w:rPr>
                <w:rFonts w:ascii="Arial" w:cs="Arial" w:eastAsia="Arial" w:hAnsi="Arial"/>
                <w:sz w:val="18"/>
                <w:szCs w:val="18"/>
                <w:color w:val="auto"/>
              </w:rPr>
              <w:t>Deposits</w:t>
            </w:r>
          </w:p>
        </w:tc>
        <w:tc>
          <w:tcPr>
            <w:tcW w:w="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5,983</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ind w:right="91"/>
              <w:spacing w:after="0"/>
              <w:rPr>
                <w:sz w:val="20"/>
                <w:szCs w:val="20"/>
                <w:color w:val="auto"/>
              </w:rPr>
            </w:pPr>
            <w:r>
              <w:rPr>
                <w:rFonts w:ascii="Arial" w:cs="Arial" w:eastAsia="Arial" w:hAnsi="Arial"/>
                <w:sz w:val="18"/>
                <w:szCs w:val="18"/>
                <w:color w:val="auto"/>
              </w:rPr>
              <w:t>5,946</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ind w:right="71"/>
              <w:spacing w:after="0"/>
              <w:rPr>
                <w:sz w:val="20"/>
                <w:szCs w:val="20"/>
                <w:color w:val="auto"/>
              </w:rPr>
            </w:pPr>
            <w:r>
              <w:rPr>
                <w:rFonts w:ascii="Arial" w:cs="Arial" w:eastAsia="Arial" w:hAnsi="Arial"/>
                <w:sz w:val="18"/>
                <w:szCs w:val="18"/>
                <w:color w:val="auto"/>
              </w:rPr>
              <w:t>5,873</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ind w:right="71"/>
              <w:spacing w:after="0"/>
              <w:rPr>
                <w:sz w:val="20"/>
                <w:szCs w:val="20"/>
                <w:color w:val="auto"/>
              </w:rPr>
            </w:pPr>
            <w:r>
              <w:rPr>
                <w:rFonts w:ascii="Arial" w:cs="Arial" w:eastAsia="Arial" w:hAnsi="Arial"/>
                <w:sz w:val="18"/>
                <w:szCs w:val="18"/>
                <w:color w:val="auto"/>
              </w:rPr>
              <w:t>5,789</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ind w:right="71"/>
              <w:spacing w:after="0"/>
              <w:rPr>
                <w:sz w:val="20"/>
                <w:szCs w:val="20"/>
                <w:color w:val="auto"/>
              </w:rPr>
            </w:pPr>
            <w:r>
              <w:rPr>
                <w:rFonts w:ascii="Arial" w:cs="Arial" w:eastAsia="Arial" w:hAnsi="Arial"/>
                <w:sz w:val="18"/>
                <w:szCs w:val="18"/>
                <w:color w:val="auto"/>
              </w:rPr>
              <w:t>5,853</w:t>
            </w:r>
          </w:p>
        </w:tc>
        <w:tc>
          <w:tcPr>
            <w:tcW w:w="1120" w:type="dxa"/>
            <w:vAlign w:val="bottom"/>
            <w:gridSpan w:val="2"/>
          </w:tcPr>
          <w:p>
            <w:pPr>
              <w:jc w:val="right"/>
              <w:ind w:right="151"/>
              <w:spacing w:after="0"/>
              <w:rPr>
                <w:sz w:val="20"/>
                <w:szCs w:val="20"/>
                <w:color w:val="auto"/>
              </w:rPr>
            </w:pPr>
            <w:r>
              <w:rPr>
                <w:rFonts w:ascii="Arial" w:cs="Arial" w:eastAsia="Arial" w:hAnsi="Arial"/>
                <w:sz w:val="18"/>
                <w:szCs w:val="18"/>
                <w:color w:val="auto"/>
              </w:rPr>
              <w:t>2</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ind w:right="71"/>
              <w:spacing w:after="0"/>
              <w:rPr>
                <w:sz w:val="20"/>
                <w:szCs w:val="20"/>
                <w:color w:val="auto"/>
              </w:rPr>
            </w:pPr>
            <w:r>
              <w:rPr>
                <w:rFonts w:ascii="Arial" w:cs="Arial" w:eastAsia="Arial" w:hAnsi="Arial"/>
                <w:sz w:val="18"/>
                <w:szCs w:val="18"/>
                <w:color w:val="auto"/>
              </w:rPr>
              <w:t>5,964</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jc w:val="right"/>
              <w:ind w:right="71"/>
              <w:spacing w:after="0"/>
              <w:rPr>
                <w:sz w:val="20"/>
                <w:szCs w:val="20"/>
                <w:color w:val="auto"/>
              </w:rPr>
            </w:pPr>
            <w:r>
              <w:rPr>
                <w:rFonts w:ascii="Arial" w:cs="Arial" w:eastAsia="Arial" w:hAnsi="Arial"/>
                <w:sz w:val="18"/>
                <w:szCs w:val="18"/>
                <w:color w:val="auto"/>
              </w:rPr>
              <w:t>5,940</w:t>
            </w:r>
          </w:p>
        </w:tc>
        <w:tc>
          <w:tcPr>
            <w:tcW w:w="900" w:type="dxa"/>
            <w:vAlign w:val="bottom"/>
            <w:gridSpan w:val="2"/>
          </w:tcPr>
          <w:p>
            <w:pPr>
              <w:jc w:val="right"/>
              <w:ind w:right="1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4"/>
        </w:trPr>
        <w:tc>
          <w:tcPr>
            <w:tcW w:w="3120" w:type="dxa"/>
            <w:vAlign w:val="bottom"/>
          </w:tcPr>
          <w:p>
            <w:pPr>
              <w:ind w:left="100"/>
              <w:spacing w:after="0"/>
              <w:rPr>
                <w:sz w:val="20"/>
                <w:szCs w:val="20"/>
                <w:color w:val="auto"/>
              </w:rPr>
            </w:pPr>
            <w:r>
              <w:rPr>
                <w:rFonts w:ascii="Arial" w:cs="Arial" w:eastAsia="Arial" w:hAnsi="Arial"/>
                <w:sz w:val="18"/>
                <w:szCs w:val="18"/>
                <w:color w:val="auto"/>
              </w:rPr>
              <w:t>Shareholders’ equity</w:t>
            </w:r>
          </w:p>
        </w:tc>
        <w:tc>
          <w:tcPr>
            <w:tcW w:w="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636</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ind w:right="91"/>
              <w:spacing w:after="0"/>
              <w:rPr>
                <w:sz w:val="20"/>
                <w:szCs w:val="20"/>
                <w:color w:val="auto"/>
              </w:rPr>
            </w:pPr>
            <w:r>
              <w:rPr>
                <w:rFonts w:ascii="Arial" w:cs="Arial" w:eastAsia="Arial" w:hAnsi="Arial"/>
                <w:sz w:val="18"/>
                <w:szCs w:val="18"/>
                <w:color w:val="auto"/>
              </w:rPr>
              <w:t>588</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ind w:right="71"/>
              <w:spacing w:after="0"/>
              <w:rPr>
                <w:sz w:val="20"/>
                <w:szCs w:val="20"/>
                <w:color w:val="auto"/>
              </w:rPr>
            </w:pPr>
            <w:r>
              <w:rPr>
                <w:rFonts w:ascii="Arial" w:cs="Arial" w:eastAsia="Arial" w:hAnsi="Arial"/>
                <w:sz w:val="18"/>
                <w:szCs w:val="18"/>
                <w:color w:val="auto"/>
              </w:rPr>
              <w:t>585</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ind w:right="71"/>
              <w:spacing w:after="0"/>
              <w:rPr>
                <w:sz w:val="20"/>
                <w:szCs w:val="20"/>
                <w:color w:val="auto"/>
              </w:rPr>
            </w:pPr>
            <w:r>
              <w:rPr>
                <w:rFonts w:ascii="Arial" w:cs="Arial" w:eastAsia="Arial" w:hAnsi="Arial"/>
                <w:sz w:val="18"/>
                <w:szCs w:val="18"/>
                <w:color w:val="auto"/>
              </w:rPr>
              <w:t>582</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ind w:right="71"/>
              <w:spacing w:after="0"/>
              <w:rPr>
                <w:sz w:val="20"/>
                <w:szCs w:val="20"/>
                <w:color w:val="auto"/>
              </w:rPr>
            </w:pPr>
            <w:r>
              <w:rPr>
                <w:rFonts w:ascii="Arial" w:cs="Arial" w:eastAsia="Arial" w:hAnsi="Arial"/>
                <w:sz w:val="18"/>
                <w:szCs w:val="18"/>
                <w:color w:val="auto"/>
              </w:rPr>
              <w:t>583</w:t>
            </w:r>
          </w:p>
        </w:tc>
        <w:tc>
          <w:tcPr>
            <w:tcW w:w="1120" w:type="dxa"/>
            <w:vAlign w:val="bottom"/>
            <w:gridSpan w:val="2"/>
          </w:tcPr>
          <w:p>
            <w:pPr>
              <w:jc w:val="right"/>
              <w:ind w:right="151"/>
              <w:spacing w:after="0"/>
              <w:rPr>
                <w:sz w:val="20"/>
                <w:szCs w:val="20"/>
                <w:color w:val="auto"/>
              </w:rPr>
            </w:pPr>
            <w:r>
              <w:rPr>
                <w:rFonts w:ascii="Arial" w:cs="Arial" w:eastAsia="Arial" w:hAnsi="Arial"/>
                <w:sz w:val="18"/>
                <w:szCs w:val="18"/>
                <w:color w:val="auto"/>
              </w:rPr>
              <w:t>9</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ind w:right="71"/>
              <w:spacing w:after="0"/>
              <w:rPr>
                <w:sz w:val="20"/>
                <w:szCs w:val="20"/>
                <w:color w:val="auto"/>
              </w:rPr>
            </w:pPr>
            <w:r>
              <w:rPr>
                <w:rFonts w:ascii="Arial" w:cs="Arial" w:eastAsia="Arial" w:hAnsi="Arial"/>
                <w:sz w:val="18"/>
                <w:szCs w:val="18"/>
                <w:color w:val="auto"/>
              </w:rPr>
              <w:t>612</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jc w:val="right"/>
              <w:ind w:right="71"/>
              <w:spacing w:after="0"/>
              <w:rPr>
                <w:sz w:val="20"/>
                <w:szCs w:val="20"/>
                <w:color w:val="auto"/>
              </w:rPr>
            </w:pPr>
            <w:r>
              <w:rPr>
                <w:rFonts w:ascii="Arial" w:cs="Arial" w:eastAsia="Arial" w:hAnsi="Arial"/>
                <w:sz w:val="18"/>
                <w:szCs w:val="18"/>
                <w:color w:val="auto"/>
              </w:rPr>
              <w:t>580</w:t>
            </w:r>
          </w:p>
        </w:tc>
        <w:tc>
          <w:tcPr>
            <w:tcW w:w="900" w:type="dxa"/>
            <w:vAlign w:val="bottom"/>
            <w:gridSpan w:val="2"/>
          </w:tcPr>
          <w:p>
            <w:pPr>
              <w:jc w:val="right"/>
              <w:ind w:right="151"/>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4"/>
        </w:trPr>
        <w:tc>
          <w:tcPr>
            <w:tcW w:w="3120" w:type="dxa"/>
            <w:vAlign w:val="bottom"/>
          </w:tcPr>
          <w:p>
            <w:pPr>
              <w:ind w:left="100"/>
              <w:spacing w:after="0"/>
              <w:rPr>
                <w:sz w:val="20"/>
                <w:szCs w:val="20"/>
                <w:color w:val="auto"/>
              </w:rPr>
            </w:pPr>
            <w:r>
              <w:rPr>
                <w:rFonts w:ascii="Arial" w:cs="Arial" w:eastAsia="Arial" w:hAnsi="Arial"/>
                <w:sz w:val="18"/>
                <w:szCs w:val="18"/>
                <w:color w:val="auto"/>
              </w:rPr>
              <w:t xml:space="preserve">Common shares - basic </w:t>
            </w:r>
            <w:r>
              <w:rPr>
                <w:rFonts w:ascii="Arial" w:cs="Arial" w:eastAsia="Arial" w:hAnsi="Arial"/>
                <w:sz w:val="18"/>
                <w:szCs w:val="18"/>
                <w:i w:val="1"/>
                <w:iCs w:val="1"/>
                <w:color w:val="auto"/>
              </w:rPr>
              <w:t>(thousands)</w:t>
            </w:r>
          </w:p>
        </w:tc>
        <w:tc>
          <w:tcPr>
            <w:tcW w:w="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58,141</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ind w:right="91"/>
              <w:spacing w:after="0"/>
              <w:rPr>
                <w:sz w:val="20"/>
                <w:szCs w:val="20"/>
                <w:color w:val="auto"/>
              </w:rPr>
            </w:pPr>
            <w:r>
              <w:rPr>
                <w:rFonts w:ascii="Arial" w:cs="Arial" w:eastAsia="Arial" w:hAnsi="Arial"/>
                <w:sz w:val="18"/>
                <w:szCs w:val="18"/>
                <w:color w:val="auto"/>
              </w:rPr>
              <w:t>58,081</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ind w:right="71"/>
              <w:spacing w:after="0"/>
              <w:rPr>
                <w:sz w:val="20"/>
                <w:szCs w:val="20"/>
                <w:color w:val="auto"/>
              </w:rPr>
            </w:pPr>
            <w:r>
              <w:rPr>
                <w:rFonts w:ascii="Arial" w:cs="Arial" w:eastAsia="Arial" w:hAnsi="Arial"/>
                <w:sz w:val="18"/>
                <w:szCs w:val="18"/>
                <w:color w:val="auto"/>
              </w:rPr>
              <w:t>57,971</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ind w:right="71"/>
              <w:spacing w:after="0"/>
              <w:rPr>
                <w:sz w:val="20"/>
                <w:szCs w:val="20"/>
                <w:color w:val="auto"/>
              </w:rPr>
            </w:pPr>
            <w:r>
              <w:rPr>
                <w:rFonts w:ascii="Arial" w:cs="Arial" w:eastAsia="Arial" w:hAnsi="Arial"/>
                <w:sz w:val="18"/>
                <w:szCs w:val="18"/>
                <w:color w:val="auto"/>
              </w:rPr>
              <w:t>57,880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ind w:right="71"/>
              <w:spacing w:after="0"/>
              <w:rPr>
                <w:sz w:val="20"/>
                <w:szCs w:val="20"/>
                <w:color w:val="auto"/>
              </w:rPr>
            </w:pPr>
            <w:r>
              <w:rPr>
                <w:rFonts w:ascii="Arial" w:cs="Arial" w:eastAsia="Arial" w:hAnsi="Arial"/>
                <w:sz w:val="18"/>
                <w:szCs w:val="18"/>
                <w:color w:val="auto"/>
              </w:rPr>
              <w:t>57,840</w:t>
            </w:r>
          </w:p>
        </w:tc>
        <w:tc>
          <w:tcPr>
            <w:tcW w:w="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ind w:right="71"/>
              <w:spacing w:after="0"/>
              <w:rPr>
                <w:sz w:val="20"/>
                <w:szCs w:val="20"/>
                <w:color w:val="auto"/>
              </w:rPr>
            </w:pPr>
            <w:r>
              <w:rPr>
                <w:rFonts w:ascii="Arial" w:cs="Arial" w:eastAsia="Arial" w:hAnsi="Arial"/>
                <w:sz w:val="18"/>
                <w:szCs w:val="18"/>
                <w:color w:val="auto"/>
              </w:rPr>
              <w:t>58,111</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jc w:val="right"/>
              <w:ind w:right="71"/>
              <w:spacing w:after="0"/>
              <w:rPr>
                <w:sz w:val="20"/>
                <w:szCs w:val="20"/>
                <w:color w:val="auto"/>
              </w:rPr>
            </w:pPr>
            <w:r>
              <w:rPr>
                <w:rFonts w:ascii="Arial" w:cs="Arial" w:eastAsia="Arial" w:hAnsi="Arial"/>
                <w:sz w:val="18"/>
                <w:szCs w:val="18"/>
                <w:color w:val="auto"/>
              </w:rPr>
              <w:t>57,803</w:t>
            </w:r>
          </w:p>
        </w:tc>
        <w:tc>
          <w:tcPr>
            <w:tcW w:w="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3120" w:type="dxa"/>
            <w:vAlign w:val="bottom"/>
          </w:tcPr>
          <w:p>
            <w:pPr>
              <w:ind w:left="100"/>
              <w:spacing w:after="0"/>
              <w:rPr>
                <w:sz w:val="20"/>
                <w:szCs w:val="20"/>
                <w:color w:val="auto"/>
              </w:rPr>
            </w:pPr>
            <w:r>
              <w:rPr>
                <w:rFonts w:ascii="Arial" w:cs="Arial" w:eastAsia="Arial" w:hAnsi="Arial"/>
                <w:sz w:val="18"/>
                <w:szCs w:val="18"/>
                <w:color w:val="auto"/>
                <w:w w:val="99"/>
              </w:rPr>
              <w:t xml:space="preserve">Common shares - diluted </w:t>
            </w:r>
            <w:r>
              <w:rPr>
                <w:rFonts w:ascii="Arial" w:cs="Arial" w:eastAsia="Arial" w:hAnsi="Arial"/>
                <w:sz w:val="18"/>
                <w:szCs w:val="18"/>
                <w:i w:val="1"/>
                <w:iCs w:val="1"/>
                <w:color w:val="auto"/>
                <w:w w:val="99"/>
              </w:rPr>
              <w:t>(thousands)</w:t>
            </w:r>
          </w:p>
        </w:tc>
        <w:tc>
          <w:tcPr>
            <w:tcW w:w="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58,141</w:t>
            </w: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ind w:right="91"/>
              <w:spacing w:after="0"/>
              <w:rPr>
                <w:sz w:val="20"/>
                <w:szCs w:val="20"/>
                <w:color w:val="auto"/>
              </w:rPr>
            </w:pPr>
            <w:r>
              <w:rPr>
                <w:rFonts w:ascii="Arial" w:cs="Arial" w:eastAsia="Arial" w:hAnsi="Arial"/>
                <w:sz w:val="18"/>
                <w:szCs w:val="18"/>
                <w:color w:val="auto"/>
              </w:rPr>
              <w:t>58,081</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ind w:right="71"/>
              <w:spacing w:after="0"/>
              <w:rPr>
                <w:sz w:val="20"/>
                <w:szCs w:val="20"/>
                <w:color w:val="auto"/>
              </w:rPr>
            </w:pPr>
            <w:r>
              <w:rPr>
                <w:rFonts w:ascii="Arial" w:cs="Arial" w:eastAsia="Arial" w:hAnsi="Arial"/>
                <w:sz w:val="18"/>
                <w:szCs w:val="18"/>
                <w:color w:val="auto"/>
              </w:rPr>
              <w:t>57,971</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ind w:right="71"/>
              <w:spacing w:after="0"/>
              <w:rPr>
                <w:sz w:val="20"/>
                <w:szCs w:val="20"/>
                <w:color w:val="auto"/>
              </w:rPr>
            </w:pPr>
            <w:r>
              <w:rPr>
                <w:rFonts w:ascii="Arial" w:cs="Arial" w:eastAsia="Arial" w:hAnsi="Arial"/>
                <w:sz w:val="18"/>
                <w:szCs w:val="18"/>
                <w:color w:val="auto"/>
              </w:rPr>
              <w:t>57,880</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ind w:right="71"/>
              <w:spacing w:after="0"/>
              <w:rPr>
                <w:sz w:val="20"/>
                <w:szCs w:val="20"/>
                <w:color w:val="auto"/>
              </w:rPr>
            </w:pPr>
            <w:r>
              <w:rPr>
                <w:rFonts w:ascii="Arial" w:cs="Arial" w:eastAsia="Arial" w:hAnsi="Arial"/>
                <w:sz w:val="18"/>
                <w:szCs w:val="18"/>
                <w:color w:val="auto"/>
              </w:rPr>
              <w:t>57,840</w:t>
            </w:r>
          </w:p>
        </w:tc>
        <w:tc>
          <w:tcPr>
            <w:tcW w:w="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ind w:right="71"/>
              <w:spacing w:after="0"/>
              <w:rPr>
                <w:sz w:val="20"/>
                <w:szCs w:val="20"/>
                <w:color w:val="auto"/>
              </w:rPr>
            </w:pPr>
            <w:r>
              <w:rPr>
                <w:rFonts w:ascii="Arial" w:cs="Arial" w:eastAsia="Arial" w:hAnsi="Arial"/>
                <w:sz w:val="18"/>
                <w:szCs w:val="18"/>
                <w:color w:val="auto"/>
              </w:rPr>
              <w:t>58,111</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jc w:val="right"/>
              <w:ind w:right="71"/>
              <w:spacing w:after="0"/>
              <w:rPr>
                <w:sz w:val="20"/>
                <w:szCs w:val="20"/>
                <w:color w:val="auto"/>
              </w:rPr>
            </w:pPr>
            <w:r>
              <w:rPr>
                <w:rFonts w:ascii="Arial" w:cs="Arial" w:eastAsia="Arial" w:hAnsi="Arial"/>
                <w:sz w:val="18"/>
                <w:szCs w:val="18"/>
                <w:color w:val="auto"/>
              </w:rPr>
              <w:t>57,803</w:t>
            </w:r>
          </w:p>
        </w:tc>
        <w:tc>
          <w:tcPr>
            <w:tcW w:w="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6"/>
        </w:trPr>
        <w:tc>
          <w:tcPr>
            <w:tcW w:w="3120" w:type="dxa"/>
            <w:vAlign w:val="bottom"/>
          </w:tcPr>
          <w:p>
            <w:pPr>
              <w:spacing w:after="0"/>
              <w:rPr>
                <w:sz w:val="20"/>
                <w:szCs w:val="20"/>
                <w:color w:val="auto"/>
              </w:rPr>
            </w:pPr>
            <w:r>
              <w:rPr>
                <w:rFonts w:ascii="Arial" w:cs="Arial" w:eastAsia="Arial" w:hAnsi="Arial"/>
                <w:sz w:val="18"/>
                <w:szCs w:val="18"/>
                <w:b w:val="1"/>
                <w:bCs w:val="1"/>
                <w:color w:val="auto"/>
              </w:rPr>
              <w:t xml:space="preserve">AT PERIOD END </w:t>
            </w:r>
            <w:r>
              <w:rPr>
                <w:rFonts w:ascii="Arial" w:cs="Arial" w:eastAsia="Arial" w:hAnsi="Arial"/>
                <w:sz w:val="18"/>
                <w:szCs w:val="18"/>
                <w:i w:val="1"/>
                <w:iCs w:val="1"/>
                <w:color w:val="auto"/>
              </w:rPr>
              <w:t>($ in millions)</w:t>
            </w: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3120" w:type="dxa"/>
            <w:vAlign w:val="bottom"/>
          </w:tcPr>
          <w:p>
            <w:pPr>
              <w:ind w:left="100"/>
              <w:spacing w:after="0"/>
              <w:rPr>
                <w:sz w:val="20"/>
                <w:szCs w:val="20"/>
                <w:color w:val="auto"/>
              </w:rPr>
            </w:pPr>
            <w:r>
              <w:rPr>
                <w:rFonts w:ascii="Arial" w:cs="Arial" w:eastAsia="Arial" w:hAnsi="Arial"/>
                <w:sz w:val="18"/>
                <w:szCs w:val="18"/>
                <w:color w:val="auto"/>
              </w:rPr>
              <w:t>Loans *</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4,189</w:t>
            </w:r>
          </w:p>
        </w:tc>
        <w:tc>
          <w:tcPr>
            <w:tcW w:w="18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91"/>
              <w:spacing w:after="0"/>
              <w:rPr>
                <w:sz w:val="20"/>
                <w:szCs w:val="20"/>
                <w:color w:val="auto"/>
              </w:rPr>
            </w:pPr>
            <w:r>
              <w:rPr>
                <w:rFonts w:ascii="Arial" w:cs="Arial" w:eastAsia="Arial" w:hAnsi="Arial"/>
                <w:sz w:val="18"/>
                <w:szCs w:val="18"/>
                <w:color w:val="auto"/>
              </w:rPr>
              <w:t>4,194</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71"/>
              <w:spacing w:after="0"/>
              <w:rPr>
                <w:sz w:val="20"/>
                <w:szCs w:val="20"/>
                <w:color w:val="auto"/>
              </w:rPr>
            </w:pPr>
            <w:r>
              <w:rPr>
                <w:rFonts w:ascii="Arial" w:cs="Arial" w:eastAsia="Arial" w:hAnsi="Arial"/>
                <w:sz w:val="18"/>
                <w:szCs w:val="18"/>
                <w:color w:val="auto"/>
              </w:rPr>
              <w:t>4,175</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71"/>
              <w:spacing w:after="0"/>
              <w:rPr>
                <w:sz w:val="20"/>
                <w:szCs w:val="20"/>
                <w:color w:val="auto"/>
              </w:rPr>
            </w:pPr>
            <w:r>
              <w:rPr>
                <w:rFonts w:ascii="Arial" w:cs="Arial" w:eastAsia="Arial" w:hAnsi="Arial"/>
                <w:sz w:val="18"/>
                <w:szCs w:val="18"/>
                <w:color w:val="auto"/>
              </w:rPr>
              <w:t>4,138</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71"/>
              <w:spacing w:after="0"/>
              <w:rPr>
                <w:sz w:val="20"/>
                <w:szCs w:val="20"/>
                <w:color w:val="auto"/>
              </w:rPr>
            </w:pPr>
            <w:r>
              <w:rPr>
                <w:rFonts w:ascii="Arial" w:cs="Arial" w:eastAsia="Arial" w:hAnsi="Arial"/>
                <w:sz w:val="18"/>
                <w:szCs w:val="18"/>
                <w:color w:val="auto"/>
              </w:rPr>
              <w:t>4,119</w:t>
            </w:r>
          </w:p>
        </w:tc>
        <w:tc>
          <w:tcPr>
            <w:tcW w:w="1120" w:type="dxa"/>
            <w:vAlign w:val="bottom"/>
            <w:gridSpan w:val="2"/>
          </w:tcPr>
          <w:p>
            <w:pPr>
              <w:jc w:val="right"/>
              <w:ind w:right="151"/>
              <w:spacing w:after="0"/>
              <w:rPr>
                <w:sz w:val="20"/>
                <w:szCs w:val="20"/>
                <w:color w:val="auto"/>
              </w:rPr>
            </w:pPr>
            <w:r>
              <w:rPr>
                <w:rFonts w:ascii="Arial" w:cs="Arial" w:eastAsia="Arial" w:hAnsi="Arial"/>
                <w:sz w:val="18"/>
                <w:szCs w:val="18"/>
                <w:color w:val="auto"/>
              </w:rPr>
              <w:t>2</w:t>
            </w:r>
          </w:p>
        </w:tc>
        <w:tc>
          <w:tcPr>
            <w:tcW w:w="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ind w:right="71"/>
              <w:spacing w:after="0"/>
              <w:rPr>
                <w:sz w:val="20"/>
                <w:szCs w:val="20"/>
                <w:color w:val="auto"/>
              </w:rPr>
            </w:pPr>
            <w:r>
              <w:rPr>
                <w:rFonts w:ascii="Arial" w:cs="Arial" w:eastAsia="Arial" w:hAnsi="Arial"/>
                <w:sz w:val="18"/>
                <w:szCs w:val="18"/>
                <w:color w:val="auto"/>
              </w:rPr>
              <w:t>4,189</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71"/>
              <w:spacing w:after="0"/>
              <w:rPr>
                <w:sz w:val="20"/>
                <w:szCs w:val="20"/>
                <w:color w:val="auto"/>
              </w:rPr>
            </w:pPr>
            <w:r>
              <w:rPr>
                <w:rFonts w:ascii="Arial" w:cs="Arial" w:eastAsia="Arial" w:hAnsi="Arial"/>
                <w:sz w:val="18"/>
                <w:szCs w:val="18"/>
                <w:color w:val="auto"/>
              </w:rPr>
              <w:t>4,119</w:t>
            </w:r>
          </w:p>
        </w:tc>
        <w:tc>
          <w:tcPr>
            <w:tcW w:w="900" w:type="dxa"/>
            <w:vAlign w:val="bottom"/>
            <w:gridSpan w:val="2"/>
          </w:tcPr>
          <w:p>
            <w:pPr>
              <w:jc w:val="right"/>
              <w:ind w:right="151"/>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4"/>
        </w:trPr>
        <w:tc>
          <w:tcPr>
            <w:tcW w:w="3120" w:type="dxa"/>
            <w:vAlign w:val="bottom"/>
          </w:tcPr>
          <w:p>
            <w:pPr>
              <w:ind w:left="100"/>
              <w:spacing w:after="0"/>
              <w:rPr>
                <w:sz w:val="20"/>
                <w:szCs w:val="20"/>
                <w:color w:val="auto"/>
              </w:rPr>
            </w:pPr>
            <w:r>
              <w:rPr>
                <w:rFonts w:ascii="Arial" w:cs="Arial" w:eastAsia="Arial" w:hAnsi="Arial"/>
                <w:sz w:val="18"/>
                <w:szCs w:val="18"/>
                <w:color w:val="auto"/>
              </w:rPr>
              <w:t>Investment securities</w:t>
            </w:r>
          </w:p>
        </w:tc>
        <w:tc>
          <w:tcPr>
            <w:tcW w:w="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2,152</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ind w:right="91"/>
              <w:spacing w:after="0"/>
              <w:rPr>
                <w:sz w:val="20"/>
                <w:szCs w:val="20"/>
                <w:color w:val="auto"/>
              </w:rPr>
            </w:pPr>
            <w:r>
              <w:rPr>
                <w:rFonts w:ascii="Arial" w:cs="Arial" w:eastAsia="Arial" w:hAnsi="Arial"/>
                <w:sz w:val="18"/>
                <w:szCs w:val="18"/>
                <w:color w:val="auto"/>
              </w:rPr>
              <w:t>2,141</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ind w:right="71"/>
              <w:spacing w:after="0"/>
              <w:rPr>
                <w:sz w:val="20"/>
                <w:szCs w:val="20"/>
                <w:color w:val="auto"/>
              </w:rPr>
            </w:pPr>
            <w:r>
              <w:rPr>
                <w:rFonts w:ascii="Arial" w:cs="Arial" w:eastAsia="Arial" w:hAnsi="Arial"/>
                <w:sz w:val="18"/>
                <w:szCs w:val="18"/>
                <w:color w:val="auto"/>
              </w:rPr>
              <w:t>2,079</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ind w:right="71"/>
              <w:spacing w:after="0"/>
              <w:rPr>
                <w:sz w:val="20"/>
                <w:szCs w:val="20"/>
                <w:color w:val="auto"/>
              </w:rPr>
            </w:pPr>
            <w:r>
              <w:rPr>
                <w:rFonts w:ascii="Arial" w:cs="Arial" w:eastAsia="Arial" w:hAnsi="Arial"/>
                <w:sz w:val="18"/>
                <w:szCs w:val="18"/>
                <w:color w:val="auto"/>
              </w:rPr>
              <w:t>2,025</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ind w:right="71"/>
              <w:spacing w:after="0"/>
              <w:rPr>
                <w:sz w:val="20"/>
                <w:szCs w:val="20"/>
                <w:color w:val="auto"/>
              </w:rPr>
            </w:pPr>
            <w:r>
              <w:rPr>
                <w:rFonts w:ascii="Arial" w:cs="Arial" w:eastAsia="Arial" w:hAnsi="Arial"/>
                <w:sz w:val="18"/>
                <w:szCs w:val="18"/>
                <w:color w:val="auto"/>
              </w:rPr>
              <w:t>1,984</w:t>
            </w:r>
          </w:p>
        </w:tc>
        <w:tc>
          <w:tcPr>
            <w:tcW w:w="1120" w:type="dxa"/>
            <w:vAlign w:val="bottom"/>
            <w:gridSpan w:val="2"/>
          </w:tcPr>
          <w:p>
            <w:pPr>
              <w:jc w:val="right"/>
              <w:ind w:right="151"/>
              <w:spacing w:after="0"/>
              <w:rPr>
                <w:sz w:val="20"/>
                <w:szCs w:val="20"/>
                <w:color w:val="auto"/>
              </w:rPr>
            </w:pPr>
            <w:r>
              <w:rPr>
                <w:rFonts w:ascii="Arial" w:cs="Arial" w:eastAsia="Arial" w:hAnsi="Arial"/>
                <w:sz w:val="18"/>
                <w:szCs w:val="18"/>
                <w:color w:val="auto"/>
              </w:rPr>
              <w:t>8</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ind w:right="71"/>
              <w:spacing w:after="0"/>
              <w:rPr>
                <w:sz w:val="20"/>
                <w:szCs w:val="20"/>
                <w:color w:val="auto"/>
              </w:rPr>
            </w:pPr>
            <w:r>
              <w:rPr>
                <w:rFonts w:ascii="Arial" w:cs="Arial" w:eastAsia="Arial" w:hAnsi="Arial"/>
                <w:sz w:val="18"/>
                <w:szCs w:val="18"/>
                <w:color w:val="auto"/>
              </w:rPr>
              <w:t>2,152</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jc w:val="right"/>
              <w:ind w:right="71"/>
              <w:spacing w:after="0"/>
              <w:rPr>
                <w:sz w:val="20"/>
                <w:szCs w:val="20"/>
                <w:color w:val="auto"/>
              </w:rPr>
            </w:pPr>
            <w:r>
              <w:rPr>
                <w:rFonts w:ascii="Arial" w:cs="Arial" w:eastAsia="Arial" w:hAnsi="Arial"/>
                <w:sz w:val="18"/>
                <w:szCs w:val="18"/>
                <w:color w:val="auto"/>
              </w:rPr>
              <w:t>1,984</w:t>
            </w:r>
          </w:p>
        </w:tc>
        <w:tc>
          <w:tcPr>
            <w:tcW w:w="900" w:type="dxa"/>
            <w:vAlign w:val="bottom"/>
            <w:gridSpan w:val="2"/>
          </w:tcPr>
          <w:p>
            <w:pPr>
              <w:jc w:val="right"/>
              <w:ind w:right="151"/>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4"/>
        </w:trPr>
        <w:tc>
          <w:tcPr>
            <w:tcW w:w="3120" w:type="dxa"/>
            <w:vAlign w:val="bottom"/>
          </w:tcPr>
          <w:p>
            <w:pPr>
              <w:ind w:left="100"/>
              <w:spacing w:after="0"/>
              <w:rPr>
                <w:sz w:val="20"/>
                <w:szCs w:val="20"/>
                <w:color w:val="auto"/>
              </w:rPr>
            </w:pPr>
            <w:r>
              <w:rPr>
                <w:rFonts w:ascii="Arial" w:cs="Arial" w:eastAsia="Arial" w:hAnsi="Arial"/>
                <w:sz w:val="18"/>
                <w:szCs w:val="18"/>
                <w:color w:val="auto"/>
              </w:rPr>
              <w:t>Total assets</w:t>
            </w:r>
          </w:p>
        </w:tc>
        <w:tc>
          <w:tcPr>
            <w:tcW w:w="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7,163</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ind w:right="91"/>
              <w:spacing w:after="0"/>
              <w:rPr>
                <w:sz w:val="20"/>
                <w:szCs w:val="20"/>
                <w:color w:val="auto"/>
              </w:rPr>
            </w:pPr>
            <w:r>
              <w:rPr>
                <w:rFonts w:ascii="Arial" w:cs="Arial" w:eastAsia="Arial" w:hAnsi="Arial"/>
                <w:sz w:val="18"/>
                <w:szCs w:val="18"/>
                <w:color w:val="auto"/>
              </w:rPr>
              <w:t>6,849</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ind w:right="71"/>
              <w:spacing w:after="0"/>
              <w:rPr>
                <w:sz w:val="20"/>
                <w:szCs w:val="20"/>
                <w:color w:val="auto"/>
              </w:rPr>
            </w:pPr>
            <w:r>
              <w:rPr>
                <w:rFonts w:ascii="Arial" w:cs="Arial" w:eastAsia="Arial" w:hAnsi="Arial"/>
                <w:sz w:val="18"/>
                <w:szCs w:val="18"/>
                <w:color w:val="auto"/>
              </w:rPr>
              <w:t>6,802</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ind w:right="71"/>
              <w:spacing w:after="0"/>
              <w:rPr>
                <w:sz w:val="20"/>
                <w:szCs w:val="20"/>
                <w:color w:val="auto"/>
              </w:rPr>
            </w:pPr>
            <w:r>
              <w:rPr>
                <w:rFonts w:ascii="Arial" w:cs="Arial" w:eastAsia="Arial" w:hAnsi="Arial"/>
                <w:sz w:val="18"/>
                <w:szCs w:val="18"/>
                <w:color w:val="auto"/>
              </w:rPr>
              <w:t>6,699</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ind w:right="71"/>
              <w:spacing w:after="0"/>
              <w:rPr>
                <w:sz w:val="20"/>
                <w:szCs w:val="20"/>
                <w:color w:val="auto"/>
              </w:rPr>
            </w:pPr>
            <w:r>
              <w:rPr>
                <w:rFonts w:ascii="Arial" w:cs="Arial" w:eastAsia="Arial" w:hAnsi="Arial"/>
                <w:sz w:val="18"/>
                <w:szCs w:val="18"/>
                <w:color w:val="auto"/>
              </w:rPr>
              <w:t>6,737</w:t>
            </w:r>
          </w:p>
        </w:tc>
        <w:tc>
          <w:tcPr>
            <w:tcW w:w="1120" w:type="dxa"/>
            <w:vAlign w:val="bottom"/>
            <w:gridSpan w:val="2"/>
          </w:tcPr>
          <w:p>
            <w:pPr>
              <w:jc w:val="right"/>
              <w:ind w:right="151"/>
              <w:spacing w:after="0"/>
              <w:rPr>
                <w:sz w:val="20"/>
                <w:szCs w:val="20"/>
                <w:color w:val="auto"/>
              </w:rPr>
            </w:pPr>
            <w:r>
              <w:rPr>
                <w:rFonts w:ascii="Arial" w:cs="Arial" w:eastAsia="Arial" w:hAnsi="Arial"/>
                <w:sz w:val="18"/>
                <w:szCs w:val="18"/>
                <w:color w:val="auto"/>
              </w:rPr>
              <w:t>6</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ind w:right="71"/>
              <w:spacing w:after="0"/>
              <w:rPr>
                <w:sz w:val="20"/>
                <w:szCs w:val="20"/>
                <w:color w:val="auto"/>
              </w:rPr>
            </w:pPr>
            <w:r>
              <w:rPr>
                <w:rFonts w:ascii="Arial" w:cs="Arial" w:eastAsia="Arial" w:hAnsi="Arial"/>
                <w:sz w:val="18"/>
                <w:szCs w:val="18"/>
                <w:color w:val="auto"/>
              </w:rPr>
              <w:t>7,163</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jc w:val="right"/>
              <w:ind w:right="71"/>
              <w:spacing w:after="0"/>
              <w:rPr>
                <w:sz w:val="20"/>
                <w:szCs w:val="20"/>
                <w:color w:val="auto"/>
              </w:rPr>
            </w:pPr>
            <w:r>
              <w:rPr>
                <w:rFonts w:ascii="Arial" w:cs="Arial" w:eastAsia="Arial" w:hAnsi="Arial"/>
                <w:sz w:val="18"/>
                <w:szCs w:val="18"/>
                <w:color w:val="auto"/>
              </w:rPr>
              <w:t>6,737</w:t>
            </w:r>
          </w:p>
        </w:tc>
        <w:tc>
          <w:tcPr>
            <w:tcW w:w="900" w:type="dxa"/>
            <w:vAlign w:val="bottom"/>
            <w:gridSpan w:val="2"/>
          </w:tcPr>
          <w:p>
            <w:pPr>
              <w:jc w:val="right"/>
              <w:ind w:right="151"/>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4"/>
        </w:trPr>
        <w:tc>
          <w:tcPr>
            <w:tcW w:w="3120" w:type="dxa"/>
            <w:vAlign w:val="bottom"/>
          </w:tcPr>
          <w:p>
            <w:pPr>
              <w:ind w:left="100"/>
              <w:spacing w:after="0"/>
              <w:rPr>
                <w:sz w:val="20"/>
                <w:szCs w:val="20"/>
                <w:color w:val="auto"/>
              </w:rPr>
            </w:pPr>
            <w:r>
              <w:rPr>
                <w:rFonts w:ascii="Arial" w:cs="Arial" w:eastAsia="Arial" w:hAnsi="Arial"/>
                <w:sz w:val="18"/>
                <w:szCs w:val="18"/>
                <w:color w:val="auto"/>
              </w:rPr>
              <w:t>Deposits</w:t>
            </w:r>
          </w:p>
        </w:tc>
        <w:tc>
          <w:tcPr>
            <w:tcW w:w="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6,012</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ind w:right="91"/>
              <w:spacing w:after="0"/>
              <w:rPr>
                <w:sz w:val="20"/>
                <w:szCs w:val="20"/>
                <w:color w:val="auto"/>
              </w:rPr>
            </w:pPr>
            <w:r>
              <w:rPr>
                <w:rFonts w:ascii="Arial" w:cs="Arial" w:eastAsia="Arial" w:hAnsi="Arial"/>
                <w:sz w:val="18"/>
                <w:szCs w:val="18"/>
                <w:color w:val="auto"/>
              </w:rPr>
              <w:t>6,026</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ind w:right="71"/>
              <w:spacing w:after="0"/>
              <w:rPr>
                <w:sz w:val="20"/>
                <w:szCs w:val="20"/>
                <w:color w:val="auto"/>
              </w:rPr>
            </w:pPr>
            <w:r>
              <w:rPr>
                <w:rFonts w:ascii="Arial" w:cs="Arial" w:eastAsia="Arial" w:hAnsi="Arial"/>
                <w:sz w:val="18"/>
                <w:szCs w:val="18"/>
                <w:color w:val="auto"/>
              </w:rPr>
              <w:t>5,952</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ind w:right="71"/>
              <w:spacing w:after="0"/>
              <w:rPr>
                <w:sz w:val="20"/>
                <w:szCs w:val="20"/>
                <w:color w:val="auto"/>
              </w:rPr>
            </w:pPr>
            <w:r>
              <w:rPr>
                <w:rFonts w:ascii="Arial" w:cs="Arial" w:eastAsia="Arial" w:hAnsi="Arial"/>
                <w:sz w:val="18"/>
                <w:szCs w:val="18"/>
                <w:color w:val="auto"/>
              </w:rPr>
              <w:t>5,823</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ind w:right="71"/>
              <w:spacing w:after="0"/>
              <w:rPr>
                <w:sz w:val="20"/>
                <w:szCs w:val="20"/>
                <w:color w:val="auto"/>
              </w:rPr>
            </w:pPr>
            <w:r>
              <w:rPr>
                <w:rFonts w:ascii="Arial" w:cs="Arial" w:eastAsia="Arial" w:hAnsi="Arial"/>
                <w:sz w:val="18"/>
                <w:szCs w:val="18"/>
                <w:color w:val="auto"/>
              </w:rPr>
              <w:t>5,822</w:t>
            </w:r>
          </w:p>
        </w:tc>
        <w:tc>
          <w:tcPr>
            <w:tcW w:w="1120" w:type="dxa"/>
            <w:vAlign w:val="bottom"/>
            <w:gridSpan w:val="2"/>
          </w:tcPr>
          <w:p>
            <w:pPr>
              <w:jc w:val="right"/>
              <w:ind w:right="151"/>
              <w:spacing w:after="0"/>
              <w:rPr>
                <w:sz w:val="20"/>
                <w:szCs w:val="20"/>
                <w:color w:val="auto"/>
              </w:rPr>
            </w:pPr>
            <w:r>
              <w:rPr>
                <w:rFonts w:ascii="Arial" w:cs="Arial" w:eastAsia="Arial" w:hAnsi="Arial"/>
                <w:sz w:val="18"/>
                <w:szCs w:val="18"/>
                <w:color w:val="auto"/>
              </w:rPr>
              <w:t>3</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ind w:right="71"/>
              <w:spacing w:after="0"/>
              <w:rPr>
                <w:sz w:val="20"/>
                <w:szCs w:val="20"/>
                <w:color w:val="auto"/>
              </w:rPr>
            </w:pPr>
            <w:r>
              <w:rPr>
                <w:rFonts w:ascii="Arial" w:cs="Arial" w:eastAsia="Arial" w:hAnsi="Arial"/>
                <w:sz w:val="18"/>
                <w:szCs w:val="18"/>
                <w:color w:val="auto"/>
              </w:rPr>
              <w:t>6,012</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jc w:val="right"/>
              <w:ind w:right="71"/>
              <w:spacing w:after="0"/>
              <w:rPr>
                <w:sz w:val="20"/>
                <w:szCs w:val="20"/>
                <w:color w:val="auto"/>
              </w:rPr>
            </w:pPr>
            <w:r>
              <w:rPr>
                <w:rFonts w:ascii="Arial" w:cs="Arial" w:eastAsia="Arial" w:hAnsi="Arial"/>
                <w:sz w:val="18"/>
                <w:szCs w:val="18"/>
                <w:color w:val="auto"/>
              </w:rPr>
              <w:t>5,822</w:t>
            </w:r>
          </w:p>
        </w:tc>
        <w:tc>
          <w:tcPr>
            <w:tcW w:w="900" w:type="dxa"/>
            <w:vAlign w:val="bottom"/>
            <w:gridSpan w:val="2"/>
          </w:tcPr>
          <w:p>
            <w:pPr>
              <w:jc w:val="right"/>
              <w:ind w:right="151"/>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4"/>
        </w:trPr>
        <w:tc>
          <w:tcPr>
            <w:tcW w:w="3120" w:type="dxa"/>
            <w:vAlign w:val="bottom"/>
          </w:tcPr>
          <w:p>
            <w:pPr>
              <w:ind w:left="100"/>
              <w:spacing w:after="0"/>
              <w:rPr>
                <w:sz w:val="20"/>
                <w:szCs w:val="20"/>
                <w:color w:val="auto"/>
              </w:rPr>
            </w:pPr>
            <w:r>
              <w:rPr>
                <w:rFonts w:ascii="Arial" w:cs="Arial" w:eastAsia="Arial" w:hAnsi="Arial"/>
                <w:sz w:val="18"/>
                <w:szCs w:val="18"/>
                <w:color w:val="auto"/>
              </w:rPr>
              <w:t>Shareholders’ equity</w:t>
            </w:r>
          </w:p>
        </w:tc>
        <w:tc>
          <w:tcPr>
            <w:tcW w:w="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829</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ind w:right="91"/>
              <w:spacing w:after="0"/>
              <w:rPr>
                <w:sz w:val="20"/>
                <w:szCs w:val="20"/>
                <w:color w:val="auto"/>
              </w:rPr>
            </w:pPr>
            <w:r>
              <w:rPr>
                <w:rFonts w:ascii="Arial" w:cs="Arial" w:eastAsia="Arial" w:hAnsi="Arial"/>
                <w:sz w:val="18"/>
                <w:szCs w:val="18"/>
                <w:color w:val="auto"/>
              </w:rPr>
              <w:t>592</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ind w:right="71"/>
              <w:spacing w:after="0"/>
              <w:rPr>
                <w:sz w:val="20"/>
                <w:szCs w:val="20"/>
                <w:color w:val="auto"/>
              </w:rPr>
            </w:pPr>
            <w:r>
              <w:rPr>
                <w:rFonts w:ascii="Arial" w:cs="Arial" w:eastAsia="Arial" w:hAnsi="Arial"/>
                <w:sz w:val="18"/>
                <w:szCs w:val="18"/>
                <w:color w:val="auto"/>
              </w:rPr>
              <w:t>581</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ind w:right="71"/>
              <w:spacing w:after="0"/>
              <w:rPr>
                <w:sz w:val="20"/>
                <w:szCs w:val="20"/>
                <w:color w:val="auto"/>
              </w:rPr>
            </w:pPr>
            <w:r>
              <w:rPr>
                <w:rFonts w:ascii="Arial" w:cs="Arial" w:eastAsia="Arial" w:hAnsi="Arial"/>
                <w:sz w:val="18"/>
                <w:szCs w:val="18"/>
                <w:color w:val="auto"/>
              </w:rPr>
              <w:t>585</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ind w:right="71"/>
              <w:spacing w:after="0"/>
              <w:rPr>
                <w:sz w:val="20"/>
                <w:szCs w:val="20"/>
                <w:color w:val="auto"/>
              </w:rPr>
            </w:pPr>
            <w:r>
              <w:rPr>
                <w:rFonts w:ascii="Arial" w:cs="Arial" w:eastAsia="Arial" w:hAnsi="Arial"/>
                <w:sz w:val="18"/>
                <w:szCs w:val="18"/>
                <w:color w:val="auto"/>
              </w:rPr>
              <w:t>576</w:t>
            </w:r>
          </w:p>
        </w:tc>
        <w:tc>
          <w:tcPr>
            <w:tcW w:w="1120" w:type="dxa"/>
            <w:vAlign w:val="bottom"/>
            <w:gridSpan w:val="2"/>
          </w:tcPr>
          <w:p>
            <w:pPr>
              <w:jc w:val="right"/>
              <w:ind w:right="151"/>
              <w:spacing w:after="0"/>
              <w:rPr>
                <w:sz w:val="20"/>
                <w:szCs w:val="20"/>
                <w:color w:val="auto"/>
              </w:rPr>
            </w:pPr>
            <w:r>
              <w:rPr>
                <w:rFonts w:ascii="Arial" w:cs="Arial" w:eastAsia="Arial" w:hAnsi="Arial"/>
                <w:sz w:val="18"/>
                <w:szCs w:val="18"/>
                <w:color w:val="auto"/>
              </w:rPr>
              <w:t>44</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ind w:right="71"/>
              <w:spacing w:after="0"/>
              <w:rPr>
                <w:sz w:val="20"/>
                <w:szCs w:val="20"/>
                <w:color w:val="auto"/>
              </w:rPr>
            </w:pPr>
            <w:r>
              <w:rPr>
                <w:rFonts w:ascii="Arial" w:cs="Arial" w:eastAsia="Arial" w:hAnsi="Arial"/>
                <w:sz w:val="18"/>
                <w:szCs w:val="18"/>
                <w:color w:val="auto"/>
              </w:rPr>
              <w:t>829</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jc w:val="right"/>
              <w:ind w:right="71"/>
              <w:spacing w:after="0"/>
              <w:rPr>
                <w:sz w:val="20"/>
                <w:szCs w:val="20"/>
                <w:color w:val="auto"/>
              </w:rPr>
            </w:pPr>
            <w:r>
              <w:rPr>
                <w:rFonts w:ascii="Arial" w:cs="Arial" w:eastAsia="Arial" w:hAnsi="Arial"/>
                <w:sz w:val="18"/>
                <w:szCs w:val="18"/>
                <w:color w:val="auto"/>
              </w:rPr>
              <w:t>576</w:t>
            </w:r>
          </w:p>
        </w:tc>
        <w:tc>
          <w:tcPr>
            <w:tcW w:w="900" w:type="dxa"/>
            <w:vAlign w:val="bottom"/>
            <w:gridSpan w:val="2"/>
          </w:tcPr>
          <w:p>
            <w:pPr>
              <w:jc w:val="right"/>
              <w:ind w:right="151"/>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27"/>
        </w:trPr>
        <w:tc>
          <w:tcPr>
            <w:tcW w:w="3120" w:type="dxa"/>
            <w:vAlign w:val="bottom"/>
          </w:tcPr>
          <w:p>
            <w:pPr>
              <w:ind w:left="100"/>
              <w:spacing w:after="0"/>
              <w:rPr>
                <w:sz w:val="20"/>
                <w:szCs w:val="20"/>
                <w:color w:val="auto"/>
              </w:rPr>
            </w:pPr>
            <w:r>
              <w:rPr>
                <w:rFonts w:ascii="Arial" w:cs="Arial" w:eastAsia="Arial" w:hAnsi="Arial"/>
                <w:sz w:val="18"/>
                <w:szCs w:val="18"/>
                <w:color w:val="auto"/>
                <w:w w:val="90"/>
              </w:rPr>
              <w:t xml:space="preserve">Common shares outstanding </w:t>
            </w:r>
            <w:r>
              <w:rPr>
                <w:rFonts w:ascii="Arial" w:cs="Arial" w:eastAsia="Arial" w:hAnsi="Arial"/>
                <w:sz w:val="18"/>
                <w:szCs w:val="18"/>
                <w:i w:val="1"/>
                <w:iCs w:val="1"/>
                <w:color w:val="auto"/>
                <w:w w:val="90"/>
              </w:rPr>
              <w:t>(thousands)</w:t>
            </w:r>
          </w:p>
        </w:tc>
        <w:tc>
          <w:tcPr>
            <w:tcW w:w="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57,831</w:t>
            </w: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ind w:right="91"/>
              <w:spacing w:after="0"/>
              <w:rPr>
                <w:sz w:val="20"/>
                <w:szCs w:val="20"/>
                <w:color w:val="auto"/>
              </w:rPr>
            </w:pPr>
            <w:r>
              <w:rPr>
                <w:rFonts w:ascii="Arial" w:cs="Arial" w:eastAsia="Arial" w:hAnsi="Arial"/>
                <w:sz w:val="18"/>
                <w:szCs w:val="18"/>
                <w:color w:val="auto"/>
              </w:rPr>
              <w:t>57,767</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ind w:right="71"/>
              <w:spacing w:after="0"/>
              <w:rPr>
                <w:sz w:val="20"/>
                <w:szCs w:val="20"/>
                <w:color w:val="auto"/>
              </w:rPr>
            </w:pPr>
            <w:r>
              <w:rPr>
                <w:rFonts w:ascii="Arial" w:cs="Arial" w:eastAsia="Arial" w:hAnsi="Arial"/>
                <w:sz w:val="18"/>
                <w:szCs w:val="18"/>
                <w:color w:val="auto"/>
              </w:rPr>
              <w:t>57,741</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ind w:right="71"/>
              <w:spacing w:after="0"/>
              <w:rPr>
                <w:sz w:val="20"/>
                <w:szCs w:val="20"/>
                <w:color w:val="auto"/>
              </w:rPr>
            </w:pPr>
            <w:r>
              <w:rPr>
                <w:rFonts w:ascii="Arial" w:cs="Arial" w:eastAsia="Arial" w:hAnsi="Arial"/>
                <w:sz w:val="18"/>
                <w:szCs w:val="18"/>
                <w:color w:val="auto"/>
              </w:rPr>
              <w:t>57,710</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ind w:right="71"/>
              <w:spacing w:after="0"/>
              <w:rPr>
                <w:sz w:val="20"/>
                <w:szCs w:val="20"/>
                <w:color w:val="auto"/>
              </w:rPr>
            </w:pPr>
            <w:r>
              <w:rPr>
                <w:rFonts w:ascii="Arial" w:cs="Arial" w:eastAsia="Arial" w:hAnsi="Arial"/>
                <w:sz w:val="18"/>
                <w:szCs w:val="18"/>
                <w:color w:val="auto"/>
              </w:rPr>
              <w:t>57,641</w:t>
            </w:r>
          </w:p>
        </w:tc>
        <w:tc>
          <w:tcPr>
            <w:tcW w:w="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ind w:right="71"/>
              <w:spacing w:after="0"/>
              <w:rPr>
                <w:sz w:val="20"/>
                <w:szCs w:val="20"/>
                <w:color w:val="auto"/>
              </w:rPr>
            </w:pPr>
            <w:r>
              <w:rPr>
                <w:rFonts w:ascii="Arial" w:cs="Arial" w:eastAsia="Arial" w:hAnsi="Arial"/>
                <w:sz w:val="18"/>
                <w:szCs w:val="18"/>
                <w:color w:val="auto"/>
              </w:rPr>
              <w:t>57,831</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jc w:val="right"/>
              <w:ind w:right="71"/>
              <w:spacing w:after="0"/>
              <w:rPr>
                <w:sz w:val="20"/>
                <w:szCs w:val="20"/>
                <w:color w:val="auto"/>
              </w:rPr>
            </w:pPr>
            <w:r>
              <w:rPr>
                <w:rFonts w:ascii="Arial" w:cs="Arial" w:eastAsia="Arial" w:hAnsi="Arial"/>
                <w:sz w:val="18"/>
                <w:szCs w:val="18"/>
                <w:color w:val="auto"/>
              </w:rPr>
              <w:t>57,641</w:t>
            </w:r>
          </w:p>
        </w:tc>
        <w:tc>
          <w:tcPr>
            <w:tcW w:w="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600" w:firstLine="7"/>
        <w:spacing w:after="0" w:line="257" w:lineRule="auto"/>
        <w:tabs>
          <w:tab w:leader="none" w:pos="191" w:val="left"/>
        </w:tabs>
        <w:numPr>
          <w:ilvl w:val="0"/>
          <w:numId w:val="6"/>
        </w:numPr>
        <w:rPr>
          <w:rFonts w:ascii="Arial" w:cs="Arial" w:eastAsia="Arial" w:hAnsi="Arial"/>
          <w:sz w:val="17"/>
          <w:szCs w:val="17"/>
          <w:color w:val="auto"/>
          <w:vertAlign w:val="superscript"/>
        </w:rPr>
      </w:pPr>
      <w:r>
        <w:rPr>
          <w:rFonts w:ascii="Arial" w:cs="Arial" w:eastAsia="Arial" w:hAnsi="Arial"/>
          <w:sz w:val="18"/>
          <w:szCs w:val="18"/>
          <w:color w:val="auto"/>
        </w:rPr>
        <w:t xml:space="preserve">Net income available to common shareholders, which is net of preferred stock dividends, divided by average realized common equity, which excludes accumulated other comprehensive income (loss). </w:t>
      </w:r>
      <w:r>
        <w:rPr>
          <w:rFonts w:ascii="Arial" w:cs="Arial" w:eastAsia="Arial" w:hAnsi="Arial"/>
          <w:sz w:val="18"/>
          <w:szCs w:val="18"/>
          <w:color w:val="auto"/>
          <w:vertAlign w:val="superscript"/>
        </w:rPr>
        <w:t>(2)</w:t>
      </w:r>
      <w:r>
        <w:rPr>
          <w:rFonts w:ascii="Arial" w:cs="Arial" w:eastAsia="Arial" w:hAnsi="Arial"/>
          <w:sz w:val="18"/>
          <w:szCs w:val="18"/>
          <w:color w:val="auto"/>
        </w:rPr>
        <w:t xml:space="preserve"> Excludes effect of acquisition related intangibles and associated</w:t>
      </w:r>
    </w:p>
    <w:p>
      <w:pPr>
        <w:spacing w:after="0" w:line="1" w:lineRule="exact"/>
        <w:rPr>
          <w:rFonts w:ascii="Arial" w:cs="Arial" w:eastAsia="Arial" w:hAnsi="Arial"/>
          <w:sz w:val="17"/>
          <w:szCs w:val="17"/>
          <w:color w:val="auto"/>
          <w:vertAlign w:val="superscript"/>
        </w:rPr>
      </w:pPr>
    </w:p>
    <w:p>
      <w:pPr>
        <w:spacing w:after="0"/>
        <w:rPr>
          <w:rFonts w:ascii="Arial" w:cs="Arial" w:eastAsia="Arial" w:hAnsi="Arial"/>
          <w:sz w:val="17"/>
          <w:szCs w:val="17"/>
          <w:color w:val="auto"/>
          <w:vertAlign w:val="superscript"/>
        </w:rPr>
      </w:pPr>
      <w:r>
        <w:rPr>
          <w:rFonts w:ascii="Arial" w:cs="Arial" w:eastAsia="Arial" w:hAnsi="Arial"/>
          <w:sz w:val="16"/>
          <w:szCs w:val="16"/>
          <w:color w:val="auto"/>
        </w:rPr>
        <w:t xml:space="preserve">amortization. </w:t>
      </w:r>
      <w:r>
        <w:rPr>
          <w:rFonts w:ascii="Arial" w:cs="Arial" w:eastAsia="Arial" w:hAnsi="Arial"/>
          <w:sz w:val="16"/>
          <w:szCs w:val="16"/>
          <w:color w:val="auto"/>
          <w:vertAlign w:val="superscript"/>
        </w:rPr>
        <w:t>(3)</w:t>
      </w:r>
      <w:r>
        <w:rPr>
          <w:rFonts w:ascii="Arial" w:cs="Arial" w:eastAsia="Arial" w:hAnsi="Arial"/>
          <w:sz w:val="16"/>
          <w:szCs w:val="16"/>
          <w:color w:val="auto"/>
        </w:rPr>
        <w:t xml:space="preserve">  Annualized. </w:t>
      </w:r>
      <w:r>
        <w:rPr>
          <w:rFonts w:ascii="Arial" w:cs="Arial" w:eastAsia="Arial" w:hAnsi="Arial"/>
          <w:sz w:val="16"/>
          <w:szCs w:val="16"/>
          <w:color w:val="auto"/>
          <w:vertAlign w:val="superscript"/>
        </w:rPr>
        <w:t>(4)</w:t>
      </w:r>
      <w:r>
        <w:rPr>
          <w:rFonts w:ascii="Arial" w:cs="Arial" w:eastAsia="Arial" w:hAnsi="Arial"/>
          <w:sz w:val="16"/>
          <w:szCs w:val="16"/>
          <w:color w:val="auto"/>
        </w:rPr>
        <w:t xml:space="preserve">  Calculated as of period-end to reflect the full impact of the reversal of the valuation allowance on United’s deferred tax asset.</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 Excludes loans and foreclosed properties covered by loss sharing agreements with the FDIC.</w:t>
      </w:r>
    </w:p>
    <w:p>
      <w:pPr>
        <w:sectPr>
          <w:pgSz w:w="11900" w:h="16838" w:orient="portrait"/>
          <w:cols w:equalWidth="0" w:num="1">
            <w:col w:w="11520"/>
          </w:cols>
          <w:pgMar w:left="240" w:top="670" w:right="139" w:bottom="0" w:gutter="0" w:footer="0" w:header="0"/>
        </w:sectPr>
      </w:pPr>
    </w:p>
    <w:bookmarkStart w:id="44" w:name="page45"/>
    <w:bookmarkEnd w:id="44"/>
    <w:p>
      <w:pPr>
        <w:jc w:val="center"/>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-756920</wp:posOffset>
            </wp:positionH>
            <wp:positionV relativeFrom="paragraph">
              <wp:posOffset>28575</wp:posOffset>
            </wp:positionV>
            <wp:extent cx="724789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7890" cy="825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color w:val="auto"/>
        </w:rPr>
        <w:t>Table 1 Continued - Non-GAAP Performance Measures Reconciliation</w:t>
      </w:r>
    </w:p>
    <w:p>
      <w:pPr>
        <w:spacing w:after="0" w:line="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Selected Financial Information</w:t>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3500" w:type="dxa"/>
            <w:vAlign w:val="bottom"/>
            <w:tcBorders>
              <w:top w:val="single" w:sz="8" w:color="auto"/>
            </w:tcBorders>
          </w:tcPr>
          <w:p>
            <w:pPr>
              <w:spacing w:after="0"/>
              <w:rPr>
                <w:sz w:val="21"/>
                <w:szCs w:val="21"/>
                <w:color w:val="auto"/>
              </w:rPr>
            </w:pPr>
          </w:p>
        </w:tc>
        <w:tc>
          <w:tcPr>
            <w:tcW w:w="40" w:type="dxa"/>
            <w:vAlign w:val="bottom"/>
            <w:tcBorders>
              <w:top w:val="single" w:sz="8" w:color="auto"/>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116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2013</w:t>
            </w:r>
          </w:p>
        </w:tc>
        <w:tc>
          <w:tcPr>
            <w:tcW w:w="960" w:type="dxa"/>
            <w:vAlign w:val="bottom"/>
            <w:tcBorders>
              <w:top w:val="single" w:sz="8" w:color="auto"/>
              <w:bottom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940" w:type="dxa"/>
            <w:vAlign w:val="bottom"/>
            <w:tcBorders>
              <w:top w:val="single" w:sz="8" w:color="auto"/>
              <w:bottom w:val="single" w:sz="8" w:color="auto"/>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940" w:type="dxa"/>
            <w:vAlign w:val="bottom"/>
            <w:tcBorders>
              <w:top w:val="single" w:sz="8" w:color="auto"/>
              <w:bottom w:val="single" w:sz="8" w:color="auto"/>
            </w:tcBorders>
          </w:tcPr>
          <w:p>
            <w:pPr>
              <w:jc w:val="center"/>
              <w:ind w:right="191"/>
              <w:spacing w:after="0"/>
              <w:rPr>
                <w:sz w:val="20"/>
                <w:szCs w:val="20"/>
                <w:color w:val="auto"/>
              </w:rPr>
            </w:pPr>
            <w:r>
              <w:rPr>
                <w:rFonts w:ascii="Arial" w:cs="Arial" w:eastAsia="Arial" w:hAnsi="Arial"/>
                <w:sz w:val="18"/>
                <w:szCs w:val="18"/>
                <w:b w:val="1"/>
                <w:bCs w:val="1"/>
                <w:color w:val="auto"/>
                <w:w w:val="84"/>
              </w:rPr>
              <w:t>2012</w:t>
            </w:r>
          </w:p>
        </w:tc>
        <w:tc>
          <w:tcPr>
            <w:tcW w:w="100" w:type="dxa"/>
            <w:vAlign w:val="bottom"/>
            <w:tcBorders>
              <w:top w:val="single" w:sz="8" w:color="auto"/>
              <w:bottom w:val="single" w:sz="8" w:color="auto"/>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960" w:type="dxa"/>
            <w:vAlign w:val="bottom"/>
            <w:tcBorders>
              <w:top w:val="single" w:sz="8" w:color="auto"/>
              <w:bottom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960" w:type="dxa"/>
            <w:vAlign w:val="bottom"/>
            <w:tcBorders>
              <w:top w:val="single" w:sz="8" w:color="auto"/>
            </w:tcBorders>
            <w:gridSpan w:val="4"/>
          </w:tcPr>
          <w:p>
            <w:pPr>
              <w:jc w:val="right"/>
              <w:ind w:right="631"/>
              <w:spacing w:after="0"/>
              <w:rPr>
                <w:sz w:val="20"/>
                <w:szCs w:val="20"/>
                <w:color w:val="auto"/>
              </w:rPr>
            </w:pPr>
            <w:r>
              <w:rPr>
                <w:rFonts w:ascii="Arial" w:cs="Arial" w:eastAsia="Arial" w:hAnsi="Arial"/>
                <w:sz w:val="18"/>
                <w:szCs w:val="18"/>
                <w:b w:val="1"/>
                <w:bCs w:val="1"/>
                <w:color w:val="auto"/>
              </w:rPr>
              <w:t>For the Six</w:t>
            </w:r>
          </w:p>
        </w:tc>
        <w:tc>
          <w:tcPr>
            <w:tcW w:w="0" w:type="dxa"/>
            <w:vAlign w:val="bottom"/>
          </w:tcPr>
          <w:p>
            <w:pPr>
              <w:spacing w:after="0"/>
              <w:rPr>
                <w:sz w:val="1"/>
                <w:szCs w:val="1"/>
                <w:color w:val="auto"/>
              </w:rPr>
            </w:pPr>
          </w:p>
        </w:tc>
      </w:tr>
      <w:tr>
        <w:trPr>
          <w:trHeight w:val="221"/>
        </w:trPr>
        <w:tc>
          <w:tcPr>
            <w:tcW w:w="3500" w:type="dxa"/>
            <w:vAlign w:val="bottom"/>
          </w:tcPr>
          <w:p>
            <w:pPr>
              <w:spacing w:after="0"/>
              <w:rPr>
                <w:sz w:val="20"/>
                <w:szCs w:val="20"/>
                <w:color w:val="auto"/>
              </w:rPr>
            </w:pPr>
            <w:r>
              <w:rPr>
                <w:rFonts w:ascii="Arial" w:cs="Arial" w:eastAsia="Arial" w:hAnsi="Arial"/>
                <w:sz w:val="18"/>
                <w:szCs w:val="18"/>
                <w:i w:val="1"/>
                <w:iCs w:val="1"/>
                <w:color w:val="auto"/>
              </w:rPr>
              <w:t>(in thousands, except per share</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right"/>
              <w:ind w:right="251"/>
              <w:spacing w:after="0"/>
              <w:rPr>
                <w:sz w:val="20"/>
                <w:szCs w:val="20"/>
                <w:color w:val="auto"/>
              </w:rPr>
            </w:pPr>
            <w:r>
              <w:rPr>
                <w:rFonts w:ascii="Arial" w:cs="Arial" w:eastAsia="Arial" w:hAnsi="Arial"/>
                <w:sz w:val="18"/>
                <w:szCs w:val="18"/>
                <w:b w:val="1"/>
                <w:bCs w:val="1"/>
                <w:color w:val="auto"/>
                <w:w w:val="92"/>
              </w:rPr>
              <w:t>Second</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center"/>
              <w:ind w:right="191"/>
              <w:spacing w:after="0"/>
              <w:rPr>
                <w:sz w:val="20"/>
                <w:szCs w:val="20"/>
                <w:color w:val="auto"/>
              </w:rPr>
            </w:pPr>
            <w:r>
              <w:rPr>
                <w:rFonts w:ascii="Arial" w:cs="Arial" w:eastAsia="Arial" w:hAnsi="Arial"/>
                <w:sz w:val="18"/>
                <w:szCs w:val="18"/>
                <w:b w:val="1"/>
                <w:bCs w:val="1"/>
                <w:color w:val="auto"/>
                <w:w w:val="92"/>
              </w:rPr>
              <w:t>First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ind w:right="251"/>
              <w:spacing w:after="0"/>
              <w:rPr>
                <w:sz w:val="20"/>
                <w:szCs w:val="20"/>
                <w:color w:val="auto"/>
              </w:rPr>
            </w:pPr>
            <w:r>
              <w:rPr>
                <w:rFonts w:ascii="Arial" w:cs="Arial" w:eastAsia="Arial" w:hAnsi="Arial"/>
                <w:sz w:val="18"/>
                <w:szCs w:val="18"/>
                <w:b w:val="1"/>
                <w:bCs w:val="1"/>
                <w:color w:val="auto"/>
              </w:rPr>
              <w:t>Fourth</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center"/>
              <w:ind w:right="191"/>
              <w:spacing w:after="0"/>
              <w:rPr>
                <w:sz w:val="20"/>
                <w:szCs w:val="20"/>
                <w:color w:val="auto"/>
              </w:rPr>
            </w:pPr>
            <w:r>
              <w:rPr>
                <w:rFonts w:ascii="Arial" w:cs="Arial" w:eastAsia="Arial" w:hAnsi="Arial"/>
                <w:sz w:val="18"/>
                <w:szCs w:val="18"/>
                <w:b w:val="1"/>
                <w:bCs w:val="1"/>
                <w:color w:val="auto"/>
              </w:rPr>
              <w:t>Third</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right"/>
              <w:ind w:right="251"/>
              <w:spacing w:after="0"/>
              <w:rPr>
                <w:sz w:val="20"/>
                <w:szCs w:val="20"/>
                <w:color w:val="auto"/>
              </w:rPr>
            </w:pPr>
            <w:r>
              <w:rPr>
                <w:rFonts w:ascii="Arial" w:cs="Arial" w:eastAsia="Arial" w:hAnsi="Arial"/>
                <w:sz w:val="18"/>
                <w:szCs w:val="18"/>
                <w:b w:val="1"/>
                <w:bCs w:val="1"/>
                <w:color w:val="auto"/>
                <w:w w:val="92"/>
              </w:rPr>
              <w:t>Second</w:t>
            </w:r>
          </w:p>
        </w:tc>
        <w:tc>
          <w:tcPr>
            <w:tcW w:w="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gridSpan w:val="4"/>
          </w:tcPr>
          <w:p>
            <w:pPr>
              <w:jc w:val="right"/>
              <w:ind w:right="491"/>
              <w:spacing w:after="0"/>
              <w:rPr>
                <w:sz w:val="20"/>
                <w:szCs w:val="20"/>
                <w:color w:val="auto"/>
              </w:rPr>
            </w:pPr>
            <w:r>
              <w:rPr>
                <w:rFonts w:ascii="Arial" w:cs="Arial" w:eastAsia="Arial" w:hAnsi="Arial"/>
                <w:sz w:val="18"/>
                <w:szCs w:val="18"/>
                <w:b w:val="1"/>
                <w:bCs w:val="1"/>
                <w:color w:val="auto"/>
              </w:rPr>
              <w:t>Months Ended</w:t>
            </w:r>
          </w:p>
        </w:tc>
        <w:tc>
          <w:tcPr>
            <w:tcW w:w="0" w:type="dxa"/>
            <w:vAlign w:val="bottom"/>
          </w:tcPr>
          <w:p>
            <w:pPr>
              <w:spacing w:after="0"/>
              <w:rPr>
                <w:sz w:val="1"/>
                <w:szCs w:val="1"/>
                <w:color w:val="auto"/>
              </w:rPr>
            </w:pPr>
          </w:p>
        </w:tc>
      </w:tr>
      <w:tr>
        <w:trPr>
          <w:trHeight w:val="221"/>
        </w:trPr>
        <w:tc>
          <w:tcPr>
            <w:tcW w:w="3500" w:type="dxa"/>
            <w:vAlign w:val="bottom"/>
          </w:tcPr>
          <w:p>
            <w:pPr>
              <w:spacing w:after="0"/>
              <w:rPr>
                <w:sz w:val="20"/>
                <w:szCs w:val="20"/>
                <w:color w:val="auto"/>
              </w:rPr>
            </w:pPr>
            <w:r>
              <w:rPr>
                <w:rFonts w:ascii="Arial" w:cs="Arial" w:eastAsia="Arial" w:hAnsi="Arial"/>
                <w:sz w:val="18"/>
                <w:szCs w:val="18"/>
                <w:i w:val="1"/>
                <w:iCs w:val="1"/>
                <w:color w:val="auto"/>
              </w:rPr>
              <w:t>data; taxable equivalent)</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right"/>
              <w:ind w:right="211"/>
              <w:spacing w:after="0"/>
              <w:rPr>
                <w:sz w:val="20"/>
                <w:szCs w:val="20"/>
                <w:color w:val="auto"/>
              </w:rPr>
            </w:pPr>
            <w:r>
              <w:rPr>
                <w:rFonts w:ascii="Arial" w:cs="Arial" w:eastAsia="Arial" w:hAnsi="Arial"/>
                <w:sz w:val="18"/>
                <w:szCs w:val="18"/>
                <w:b w:val="1"/>
                <w:bCs w:val="1"/>
                <w:color w:val="auto"/>
                <w:w w:val="98"/>
              </w:rPr>
              <w:t>Quarter</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5"/>
              </w:rPr>
              <w:t>Quarter</w:t>
            </w:r>
          </w:p>
        </w:tc>
        <w:tc>
          <w:tcPr>
            <w:tcW w:w="120" w:type="dxa"/>
            <w:vAlign w:val="bottom"/>
          </w:tcPr>
          <w:p>
            <w:pPr>
              <w:spacing w:after="0"/>
              <w:rPr>
                <w:sz w:val="19"/>
                <w:szCs w:val="19"/>
                <w:color w:val="auto"/>
              </w:rPr>
            </w:pPr>
          </w:p>
        </w:tc>
        <w:tc>
          <w:tcPr>
            <w:tcW w:w="940" w:type="dxa"/>
            <w:vAlign w:val="bottom"/>
          </w:tcPr>
          <w:p>
            <w:pPr>
              <w:jc w:val="right"/>
              <w:ind w:right="211"/>
              <w:spacing w:after="0"/>
              <w:rPr>
                <w:sz w:val="20"/>
                <w:szCs w:val="20"/>
                <w:color w:val="auto"/>
              </w:rPr>
            </w:pPr>
            <w:r>
              <w:rPr>
                <w:rFonts w:ascii="Arial" w:cs="Arial" w:eastAsia="Arial" w:hAnsi="Arial"/>
                <w:sz w:val="18"/>
                <w:szCs w:val="18"/>
                <w:b w:val="1"/>
                <w:bCs w:val="1"/>
                <w:color w:val="auto"/>
                <w:w w:val="95"/>
              </w:rPr>
              <w:t>Quarter</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center"/>
              <w:ind w:right="191"/>
              <w:spacing w:after="0"/>
              <w:rPr>
                <w:sz w:val="20"/>
                <w:szCs w:val="20"/>
                <w:color w:val="auto"/>
              </w:rPr>
            </w:pPr>
            <w:r>
              <w:rPr>
                <w:rFonts w:ascii="Arial" w:cs="Arial" w:eastAsia="Arial" w:hAnsi="Arial"/>
                <w:sz w:val="18"/>
                <w:szCs w:val="18"/>
                <w:b w:val="1"/>
                <w:bCs w:val="1"/>
                <w:color w:val="auto"/>
                <w:w w:val="95"/>
              </w:rPr>
              <w:t>Quarter</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right"/>
              <w:ind w:right="211"/>
              <w:spacing w:after="0"/>
              <w:rPr>
                <w:sz w:val="20"/>
                <w:szCs w:val="20"/>
                <w:color w:val="auto"/>
              </w:rPr>
            </w:pPr>
            <w:r>
              <w:rPr>
                <w:rFonts w:ascii="Arial" w:cs="Arial" w:eastAsia="Arial" w:hAnsi="Arial"/>
                <w:sz w:val="18"/>
                <w:szCs w:val="18"/>
                <w:b w:val="1"/>
                <w:bCs w:val="1"/>
                <w:color w:val="auto"/>
                <w:w w:val="98"/>
              </w:rPr>
              <w:t>Quarter</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ind w:right="311"/>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ind w:right="311"/>
              <w:spacing w:after="0"/>
              <w:rPr>
                <w:sz w:val="20"/>
                <w:szCs w:val="20"/>
                <w:color w:val="auto"/>
              </w:rPr>
            </w:pPr>
            <w:r>
              <w:rPr>
                <w:rFonts w:ascii="Arial" w:cs="Arial" w:eastAsia="Arial" w:hAnsi="Arial"/>
                <w:sz w:val="18"/>
                <w:szCs w:val="18"/>
                <w:b w:val="1"/>
                <w:bCs w:val="1"/>
                <w:color w:val="auto"/>
              </w:rPr>
              <w:t>2012</w:t>
            </w:r>
          </w:p>
        </w:tc>
        <w:tc>
          <w:tcPr>
            <w:tcW w:w="0" w:type="dxa"/>
            <w:vAlign w:val="bottom"/>
          </w:tcPr>
          <w:p>
            <w:pPr>
              <w:spacing w:after="0"/>
              <w:rPr>
                <w:sz w:val="1"/>
                <w:szCs w:val="1"/>
                <w:color w:val="auto"/>
              </w:rPr>
            </w:pPr>
          </w:p>
        </w:tc>
      </w:tr>
      <w:tr>
        <w:trPr>
          <w:trHeight w:val="414"/>
        </w:trPr>
        <w:tc>
          <w:tcPr>
            <w:tcW w:w="350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Interest revenue reconciliation</w:t>
            </w:r>
          </w:p>
        </w:tc>
        <w:tc>
          <w:tcPr>
            <w:tcW w:w="4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3500" w:type="dxa"/>
            <w:vAlign w:val="bottom"/>
          </w:tcPr>
          <w:p>
            <w:pPr>
              <w:spacing w:after="0"/>
              <w:rPr>
                <w:sz w:val="20"/>
                <w:szCs w:val="20"/>
                <w:color w:val="auto"/>
              </w:rPr>
            </w:pPr>
            <w:r>
              <w:rPr>
                <w:rFonts w:ascii="Arial" w:cs="Arial" w:eastAsia="Arial" w:hAnsi="Arial"/>
                <w:sz w:val="18"/>
                <w:szCs w:val="18"/>
                <w:color w:val="auto"/>
              </w:rPr>
              <w:t>Interest revenue - taxable equivalent</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71"/>
              <w:spacing w:after="0"/>
              <w:rPr>
                <w:sz w:val="20"/>
                <w:szCs w:val="20"/>
                <w:color w:val="auto"/>
              </w:rPr>
            </w:pPr>
            <w:r>
              <w:rPr>
                <w:rFonts w:ascii="Arial" w:cs="Arial" w:eastAsia="Arial" w:hAnsi="Arial"/>
                <w:sz w:val="18"/>
                <w:szCs w:val="18"/>
                <w:color w:val="auto"/>
              </w:rPr>
              <w:t>61,693</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71"/>
              <w:spacing w:after="0"/>
              <w:rPr>
                <w:sz w:val="20"/>
                <w:szCs w:val="20"/>
                <w:color w:val="auto"/>
              </w:rPr>
            </w:pPr>
            <w:r>
              <w:rPr>
                <w:rFonts w:ascii="Arial" w:cs="Arial" w:eastAsia="Arial" w:hAnsi="Arial"/>
                <w:sz w:val="18"/>
                <w:szCs w:val="18"/>
                <w:color w:val="auto"/>
              </w:rPr>
              <w:t>62,134</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71"/>
              <w:spacing w:after="0"/>
              <w:rPr>
                <w:sz w:val="20"/>
                <w:szCs w:val="20"/>
                <w:color w:val="auto"/>
              </w:rPr>
            </w:pPr>
            <w:r>
              <w:rPr>
                <w:rFonts w:ascii="Arial" w:cs="Arial" w:eastAsia="Arial" w:hAnsi="Arial"/>
                <w:sz w:val="18"/>
                <w:szCs w:val="18"/>
                <w:color w:val="auto"/>
              </w:rPr>
              <w:t>64,450</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71"/>
              <w:spacing w:after="0"/>
              <w:rPr>
                <w:sz w:val="20"/>
                <w:szCs w:val="20"/>
                <w:color w:val="auto"/>
              </w:rPr>
            </w:pPr>
            <w:r>
              <w:rPr>
                <w:rFonts w:ascii="Arial" w:cs="Arial" w:eastAsia="Arial" w:hAnsi="Arial"/>
                <w:sz w:val="18"/>
                <w:szCs w:val="18"/>
                <w:color w:val="auto"/>
              </w:rPr>
              <w:t>65,978</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91"/>
              <w:spacing w:after="0"/>
              <w:rPr>
                <w:sz w:val="20"/>
                <w:szCs w:val="20"/>
                <w:color w:val="auto"/>
              </w:rPr>
            </w:pPr>
            <w:r>
              <w:rPr>
                <w:rFonts w:ascii="Arial" w:cs="Arial" w:eastAsia="Arial" w:hAnsi="Arial"/>
                <w:sz w:val="18"/>
                <w:szCs w:val="18"/>
                <w:color w:val="auto"/>
              </w:rPr>
              <w:t>66,780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71"/>
              <w:spacing w:after="0"/>
              <w:rPr>
                <w:sz w:val="20"/>
                <w:szCs w:val="20"/>
                <w:color w:val="auto"/>
              </w:rPr>
            </w:pPr>
            <w:r>
              <w:rPr>
                <w:rFonts w:ascii="Arial" w:cs="Arial" w:eastAsia="Arial" w:hAnsi="Arial"/>
                <w:sz w:val="18"/>
                <w:szCs w:val="18"/>
                <w:color w:val="auto"/>
              </w:rPr>
              <w:t>123,827</w:t>
            </w:r>
          </w:p>
        </w:tc>
        <w:tc>
          <w:tcPr>
            <w:tcW w:w="26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71"/>
              <w:spacing w:after="0"/>
              <w:rPr>
                <w:sz w:val="20"/>
                <w:szCs w:val="20"/>
                <w:color w:val="auto"/>
              </w:rPr>
            </w:pPr>
            <w:r>
              <w:rPr>
                <w:rFonts w:ascii="Arial" w:cs="Arial" w:eastAsia="Arial" w:hAnsi="Arial"/>
                <w:sz w:val="18"/>
                <w:szCs w:val="18"/>
                <w:color w:val="auto"/>
              </w:rPr>
              <w:t>137,001</w:t>
            </w:r>
          </w:p>
        </w:tc>
        <w:tc>
          <w:tcPr>
            <w:tcW w:w="0" w:type="dxa"/>
            <w:vAlign w:val="bottom"/>
          </w:tcPr>
          <w:p>
            <w:pPr>
              <w:spacing w:after="0"/>
              <w:rPr>
                <w:sz w:val="1"/>
                <w:szCs w:val="1"/>
                <w:color w:val="auto"/>
              </w:rPr>
            </w:pPr>
          </w:p>
        </w:tc>
      </w:tr>
      <w:tr>
        <w:trPr>
          <w:trHeight w:val="235"/>
        </w:trPr>
        <w:tc>
          <w:tcPr>
            <w:tcW w:w="3500" w:type="dxa"/>
            <w:vAlign w:val="bottom"/>
          </w:tcPr>
          <w:p>
            <w:pPr>
              <w:spacing w:after="0"/>
              <w:rPr>
                <w:sz w:val="20"/>
                <w:szCs w:val="20"/>
                <w:color w:val="auto"/>
              </w:rPr>
            </w:pPr>
            <w:r>
              <w:rPr>
                <w:rFonts w:ascii="Arial" w:cs="Arial" w:eastAsia="Arial" w:hAnsi="Arial"/>
                <w:sz w:val="18"/>
                <w:szCs w:val="18"/>
                <w:color w:val="auto"/>
              </w:rPr>
              <w:t>Taxable equivalent adjustment</w:t>
            </w:r>
          </w:p>
        </w:tc>
        <w:tc>
          <w:tcPr>
            <w:tcW w:w="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(368)</w:t>
            </w: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(365)</w:t>
            </w:r>
          </w:p>
        </w:tc>
        <w:tc>
          <w:tcPr>
            <w:tcW w:w="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(381)</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(419)</w:t>
            </w: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(444)</w:t>
            </w: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(733)</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(890)</w:t>
            </w:r>
          </w:p>
        </w:tc>
        <w:tc>
          <w:tcPr>
            <w:tcW w:w="0" w:type="dxa"/>
            <w:vAlign w:val="bottom"/>
          </w:tcPr>
          <w:p>
            <w:pPr>
              <w:spacing w:after="0"/>
              <w:rPr>
                <w:sz w:val="1"/>
                <w:szCs w:val="1"/>
                <w:color w:val="auto"/>
              </w:rPr>
            </w:pPr>
          </w:p>
        </w:tc>
      </w:tr>
      <w:tr>
        <w:trPr>
          <w:trHeight w:val="214"/>
        </w:trPr>
        <w:tc>
          <w:tcPr>
            <w:tcW w:w="3500" w:type="dxa"/>
            <w:vAlign w:val="bottom"/>
          </w:tcPr>
          <w:p>
            <w:pPr>
              <w:ind w:left="180"/>
              <w:spacing w:after="0"/>
              <w:rPr>
                <w:sz w:val="20"/>
                <w:szCs w:val="20"/>
                <w:color w:val="auto"/>
              </w:rPr>
            </w:pPr>
            <w:r>
              <w:rPr>
                <w:rFonts w:ascii="Arial" w:cs="Arial" w:eastAsia="Arial" w:hAnsi="Arial"/>
                <w:sz w:val="18"/>
                <w:szCs w:val="18"/>
                <w:color w:val="auto"/>
              </w:rPr>
              <w:t>Interest revenue (GAAP)</w:t>
            </w:r>
          </w:p>
        </w:tc>
        <w:tc>
          <w:tcPr>
            <w:tcW w:w="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61,325</w:t>
            </w:r>
          </w:p>
        </w:tc>
        <w:tc>
          <w:tcPr>
            <w:tcW w:w="1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61,769</w:t>
            </w:r>
          </w:p>
        </w:tc>
        <w:tc>
          <w:tcPr>
            <w:tcW w:w="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64,069</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65,559</w:t>
            </w:r>
          </w:p>
        </w:tc>
        <w:tc>
          <w:tcPr>
            <w:tcW w:w="1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66,336</w:t>
            </w:r>
          </w:p>
        </w:tc>
        <w:tc>
          <w:tcPr>
            <w:tcW w:w="8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123,094</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136,111</w:t>
            </w:r>
          </w:p>
        </w:tc>
        <w:tc>
          <w:tcPr>
            <w:tcW w:w="0" w:type="dxa"/>
            <w:vAlign w:val="bottom"/>
          </w:tcPr>
          <w:p>
            <w:pPr>
              <w:spacing w:after="0"/>
              <w:rPr>
                <w:sz w:val="1"/>
                <w:szCs w:val="1"/>
                <w:color w:val="auto"/>
              </w:rPr>
            </w:pPr>
          </w:p>
        </w:tc>
      </w:tr>
      <w:tr>
        <w:trPr>
          <w:trHeight w:val="20"/>
        </w:trPr>
        <w:tc>
          <w:tcPr>
            <w:tcW w:w="3500" w:type="dxa"/>
            <w:vAlign w:val="bottom"/>
            <w:vMerge w:val="restart"/>
          </w:tcPr>
          <w:p>
            <w:pPr>
              <w:spacing w:after="0"/>
              <w:rPr>
                <w:sz w:val="20"/>
                <w:szCs w:val="20"/>
                <w:color w:val="auto"/>
              </w:rPr>
            </w:pPr>
            <w:r>
              <w:rPr>
                <w:rFonts w:ascii="Arial" w:cs="Arial" w:eastAsia="Arial" w:hAnsi="Arial"/>
                <w:sz w:val="18"/>
                <w:szCs w:val="18"/>
                <w:b w:val="1"/>
                <w:bCs w:val="1"/>
                <w:color w:val="auto"/>
              </w:rPr>
              <w:t>Net interest revenue reconciliation</w:t>
            </w: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08"/>
        </w:trPr>
        <w:tc>
          <w:tcPr>
            <w:tcW w:w="3500" w:type="dxa"/>
            <w:vAlign w:val="bottom"/>
            <w:vMerge w:val="continue"/>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3500" w:type="dxa"/>
            <w:vAlign w:val="bottom"/>
          </w:tcPr>
          <w:p>
            <w:pPr>
              <w:spacing w:after="0"/>
              <w:rPr>
                <w:sz w:val="20"/>
                <w:szCs w:val="20"/>
                <w:color w:val="auto"/>
              </w:rPr>
            </w:pPr>
            <w:r>
              <w:rPr>
                <w:rFonts w:ascii="Arial" w:cs="Arial" w:eastAsia="Arial" w:hAnsi="Arial"/>
                <w:sz w:val="18"/>
                <w:szCs w:val="18"/>
                <w:color w:val="auto"/>
              </w:rPr>
              <w:t>Net interest revenue - taxable equivalent</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71"/>
              <w:spacing w:after="0"/>
              <w:rPr>
                <w:sz w:val="20"/>
                <w:szCs w:val="20"/>
                <w:color w:val="auto"/>
              </w:rPr>
            </w:pPr>
            <w:r>
              <w:rPr>
                <w:rFonts w:ascii="Arial" w:cs="Arial" w:eastAsia="Arial" w:hAnsi="Arial"/>
                <w:sz w:val="18"/>
                <w:szCs w:val="18"/>
                <w:color w:val="auto"/>
              </w:rPr>
              <w:t>54,562</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71"/>
              <w:spacing w:after="0"/>
              <w:rPr>
                <w:sz w:val="20"/>
                <w:szCs w:val="20"/>
                <w:color w:val="auto"/>
              </w:rPr>
            </w:pPr>
            <w:r>
              <w:rPr>
                <w:rFonts w:ascii="Arial" w:cs="Arial" w:eastAsia="Arial" w:hAnsi="Arial"/>
                <w:sz w:val="18"/>
                <w:szCs w:val="18"/>
                <w:color w:val="auto"/>
              </w:rPr>
              <w:t>54,659</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71"/>
              <w:spacing w:after="0"/>
              <w:rPr>
                <w:sz w:val="20"/>
                <w:szCs w:val="20"/>
                <w:color w:val="auto"/>
              </w:rPr>
            </w:pPr>
            <w:r>
              <w:rPr>
                <w:rFonts w:ascii="Arial" w:cs="Arial" w:eastAsia="Arial" w:hAnsi="Arial"/>
                <w:sz w:val="18"/>
                <w:szCs w:val="18"/>
                <w:color w:val="auto"/>
              </w:rPr>
              <w:t>56,028</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71"/>
              <w:spacing w:after="0"/>
              <w:rPr>
                <w:sz w:val="20"/>
                <w:szCs w:val="20"/>
                <w:color w:val="auto"/>
              </w:rPr>
            </w:pPr>
            <w:r>
              <w:rPr>
                <w:rFonts w:ascii="Arial" w:cs="Arial" w:eastAsia="Arial" w:hAnsi="Arial"/>
                <w:sz w:val="18"/>
                <w:szCs w:val="18"/>
                <w:color w:val="auto"/>
              </w:rPr>
              <w:t>57,371</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91"/>
              <w:spacing w:after="0"/>
              <w:rPr>
                <w:sz w:val="20"/>
                <w:szCs w:val="20"/>
                <w:color w:val="auto"/>
              </w:rPr>
            </w:pPr>
            <w:r>
              <w:rPr>
                <w:rFonts w:ascii="Arial" w:cs="Arial" w:eastAsia="Arial" w:hAnsi="Arial"/>
                <w:sz w:val="18"/>
                <w:szCs w:val="18"/>
                <w:color w:val="auto"/>
              </w:rPr>
              <w:t>56,836</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71"/>
              <w:spacing w:after="0"/>
              <w:rPr>
                <w:sz w:val="20"/>
                <w:szCs w:val="20"/>
                <w:color w:val="auto"/>
              </w:rPr>
            </w:pPr>
            <w:r>
              <w:rPr>
                <w:rFonts w:ascii="Arial" w:cs="Arial" w:eastAsia="Arial" w:hAnsi="Arial"/>
                <w:sz w:val="18"/>
                <w:szCs w:val="18"/>
                <w:color w:val="auto"/>
              </w:rPr>
              <w:t>109,221</w:t>
            </w:r>
          </w:p>
        </w:tc>
        <w:tc>
          <w:tcPr>
            <w:tcW w:w="26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71"/>
              <w:spacing w:after="0"/>
              <w:rPr>
                <w:sz w:val="20"/>
                <w:szCs w:val="20"/>
                <w:color w:val="auto"/>
              </w:rPr>
            </w:pPr>
            <w:r>
              <w:rPr>
                <w:rFonts w:ascii="Arial" w:cs="Arial" w:eastAsia="Arial" w:hAnsi="Arial"/>
                <w:sz w:val="18"/>
                <w:szCs w:val="18"/>
                <w:color w:val="auto"/>
              </w:rPr>
              <w:t>115,700</w:t>
            </w:r>
          </w:p>
        </w:tc>
        <w:tc>
          <w:tcPr>
            <w:tcW w:w="0" w:type="dxa"/>
            <w:vAlign w:val="bottom"/>
          </w:tcPr>
          <w:p>
            <w:pPr>
              <w:spacing w:after="0"/>
              <w:rPr>
                <w:sz w:val="1"/>
                <w:szCs w:val="1"/>
                <w:color w:val="auto"/>
              </w:rPr>
            </w:pPr>
          </w:p>
        </w:tc>
      </w:tr>
      <w:tr>
        <w:trPr>
          <w:trHeight w:val="235"/>
        </w:trPr>
        <w:tc>
          <w:tcPr>
            <w:tcW w:w="3500" w:type="dxa"/>
            <w:vAlign w:val="bottom"/>
          </w:tcPr>
          <w:p>
            <w:pPr>
              <w:spacing w:after="0"/>
              <w:rPr>
                <w:sz w:val="20"/>
                <w:szCs w:val="20"/>
                <w:color w:val="auto"/>
              </w:rPr>
            </w:pPr>
            <w:r>
              <w:rPr>
                <w:rFonts w:ascii="Arial" w:cs="Arial" w:eastAsia="Arial" w:hAnsi="Arial"/>
                <w:sz w:val="18"/>
                <w:szCs w:val="18"/>
                <w:color w:val="auto"/>
              </w:rPr>
              <w:t>Taxable equivalent adjustment</w:t>
            </w:r>
          </w:p>
        </w:tc>
        <w:tc>
          <w:tcPr>
            <w:tcW w:w="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(368)</w:t>
            </w: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(365)</w:t>
            </w:r>
          </w:p>
        </w:tc>
        <w:tc>
          <w:tcPr>
            <w:tcW w:w="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(381)</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(419)</w:t>
            </w: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(444)</w:t>
            </w: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(733)</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(890)</w:t>
            </w:r>
          </w:p>
        </w:tc>
        <w:tc>
          <w:tcPr>
            <w:tcW w:w="0" w:type="dxa"/>
            <w:vAlign w:val="bottom"/>
          </w:tcPr>
          <w:p>
            <w:pPr>
              <w:spacing w:after="0"/>
              <w:rPr>
                <w:sz w:val="1"/>
                <w:szCs w:val="1"/>
                <w:color w:val="auto"/>
              </w:rPr>
            </w:pPr>
          </w:p>
        </w:tc>
      </w:tr>
      <w:tr>
        <w:trPr>
          <w:trHeight w:val="214"/>
        </w:trPr>
        <w:tc>
          <w:tcPr>
            <w:tcW w:w="3500" w:type="dxa"/>
            <w:vAlign w:val="bottom"/>
          </w:tcPr>
          <w:p>
            <w:pPr>
              <w:ind w:left="180"/>
              <w:spacing w:after="0"/>
              <w:rPr>
                <w:sz w:val="20"/>
                <w:szCs w:val="20"/>
                <w:color w:val="auto"/>
              </w:rPr>
            </w:pPr>
            <w:r>
              <w:rPr>
                <w:rFonts w:ascii="Arial" w:cs="Arial" w:eastAsia="Arial" w:hAnsi="Arial"/>
                <w:sz w:val="18"/>
                <w:szCs w:val="18"/>
                <w:color w:val="auto"/>
              </w:rPr>
              <w:t>Net interest revenue (GAAP)</w:t>
            </w:r>
          </w:p>
        </w:tc>
        <w:tc>
          <w:tcPr>
            <w:tcW w:w="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54,194</w:t>
            </w:r>
          </w:p>
        </w:tc>
        <w:tc>
          <w:tcPr>
            <w:tcW w:w="1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54,294</w:t>
            </w:r>
          </w:p>
        </w:tc>
        <w:tc>
          <w:tcPr>
            <w:tcW w:w="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55,647</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56,952</w:t>
            </w:r>
          </w:p>
        </w:tc>
        <w:tc>
          <w:tcPr>
            <w:tcW w:w="1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56,392</w:t>
            </w:r>
          </w:p>
        </w:tc>
        <w:tc>
          <w:tcPr>
            <w:tcW w:w="8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108,488</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114,810</w:t>
            </w:r>
          </w:p>
        </w:tc>
        <w:tc>
          <w:tcPr>
            <w:tcW w:w="0" w:type="dxa"/>
            <w:vAlign w:val="bottom"/>
          </w:tcPr>
          <w:p>
            <w:pPr>
              <w:spacing w:after="0"/>
              <w:rPr>
                <w:sz w:val="1"/>
                <w:szCs w:val="1"/>
                <w:color w:val="auto"/>
              </w:rPr>
            </w:pPr>
          </w:p>
        </w:tc>
      </w:tr>
      <w:tr>
        <w:trPr>
          <w:trHeight w:val="20"/>
        </w:trPr>
        <w:tc>
          <w:tcPr>
            <w:tcW w:w="3500" w:type="dxa"/>
            <w:vAlign w:val="bottom"/>
            <w:vMerge w:val="restart"/>
          </w:tcPr>
          <w:p>
            <w:pPr>
              <w:spacing w:after="0"/>
              <w:rPr>
                <w:sz w:val="20"/>
                <w:szCs w:val="20"/>
                <w:color w:val="auto"/>
              </w:rPr>
            </w:pPr>
            <w:r>
              <w:rPr>
                <w:rFonts w:ascii="Arial" w:cs="Arial" w:eastAsia="Arial" w:hAnsi="Arial"/>
                <w:sz w:val="18"/>
                <w:szCs w:val="18"/>
                <w:b w:val="1"/>
                <w:bCs w:val="1"/>
                <w:color w:val="auto"/>
              </w:rPr>
              <w:t>Total revenue reconciliation</w:t>
            </w: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08"/>
        </w:trPr>
        <w:tc>
          <w:tcPr>
            <w:tcW w:w="3500" w:type="dxa"/>
            <w:vAlign w:val="bottom"/>
            <w:vMerge w:val="continue"/>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3500" w:type="dxa"/>
            <w:vAlign w:val="bottom"/>
          </w:tcPr>
          <w:p>
            <w:pPr>
              <w:spacing w:after="0"/>
              <w:rPr>
                <w:sz w:val="20"/>
                <w:szCs w:val="20"/>
                <w:color w:val="auto"/>
              </w:rPr>
            </w:pPr>
            <w:r>
              <w:rPr>
                <w:rFonts w:ascii="Arial" w:cs="Arial" w:eastAsia="Arial" w:hAnsi="Arial"/>
                <w:sz w:val="18"/>
                <w:szCs w:val="18"/>
                <w:color w:val="auto"/>
              </w:rPr>
              <w:t>Total operating revenue</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71"/>
              <w:spacing w:after="0"/>
              <w:rPr>
                <w:sz w:val="20"/>
                <w:szCs w:val="20"/>
                <w:color w:val="auto"/>
              </w:rPr>
            </w:pPr>
            <w:r>
              <w:rPr>
                <w:rFonts w:ascii="Arial" w:cs="Arial" w:eastAsia="Arial" w:hAnsi="Arial"/>
                <w:sz w:val="18"/>
                <w:szCs w:val="18"/>
                <w:color w:val="auto"/>
              </w:rPr>
              <w:t>22,374</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71"/>
              <w:spacing w:after="0"/>
              <w:rPr>
                <w:sz w:val="20"/>
                <w:szCs w:val="20"/>
                <w:color w:val="auto"/>
              </w:rPr>
            </w:pPr>
            <w:r>
              <w:rPr>
                <w:rFonts w:ascii="Arial" w:cs="Arial" w:eastAsia="Arial" w:hAnsi="Arial"/>
                <w:sz w:val="18"/>
                <w:szCs w:val="18"/>
                <w:color w:val="auto"/>
              </w:rPr>
              <w:t>56,485</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71"/>
              <w:spacing w:after="0"/>
              <w:rPr>
                <w:sz w:val="20"/>
                <w:szCs w:val="20"/>
                <w:color w:val="auto"/>
              </w:rPr>
            </w:pPr>
            <w:r>
              <w:rPr>
                <w:rFonts w:ascii="Arial" w:cs="Arial" w:eastAsia="Arial" w:hAnsi="Arial"/>
                <w:sz w:val="18"/>
                <w:szCs w:val="18"/>
                <w:color w:val="auto"/>
              </w:rPr>
              <w:t>56,789</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71"/>
              <w:spacing w:after="0"/>
              <w:rPr>
                <w:sz w:val="20"/>
                <w:szCs w:val="20"/>
                <w:color w:val="auto"/>
              </w:rPr>
            </w:pPr>
            <w:r>
              <w:rPr>
                <w:rFonts w:ascii="Arial" w:cs="Arial" w:eastAsia="Arial" w:hAnsi="Arial"/>
                <w:sz w:val="18"/>
                <w:szCs w:val="18"/>
                <w:color w:val="auto"/>
              </w:rPr>
              <w:t>55,635</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91"/>
              <w:spacing w:after="0"/>
              <w:rPr>
                <w:sz w:val="20"/>
                <w:szCs w:val="20"/>
                <w:color w:val="auto"/>
              </w:rPr>
            </w:pPr>
            <w:r>
              <w:rPr>
                <w:rFonts w:ascii="Arial" w:cs="Arial" w:eastAsia="Arial" w:hAnsi="Arial"/>
                <w:sz w:val="18"/>
                <w:szCs w:val="18"/>
                <w:color w:val="auto"/>
              </w:rPr>
              <w:t>51,703</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71"/>
              <w:spacing w:after="0"/>
              <w:rPr>
                <w:sz w:val="20"/>
                <w:szCs w:val="20"/>
                <w:color w:val="auto"/>
              </w:rPr>
            </w:pPr>
            <w:r>
              <w:rPr>
                <w:rFonts w:ascii="Arial" w:cs="Arial" w:eastAsia="Arial" w:hAnsi="Arial"/>
                <w:sz w:val="18"/>
                <w:szCs w:val="18"/>
                <w:color w:val="auto"/>
              </w:rPr>
              <w:t>78,859</w:t>
            </w:r>
          </w:p>
        </w:tc>
        <w:tc>
          <w:tcPr>
            <w:tcW w:w="26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71"/>
              <w:spacing w:after="0"/>
              <w:rPr>
                <w:sz w:val="20"/>
                <w:szCs w:val="20"/>
                <w:color w:val="auto"/>
              </w:rPr>
            </w:pPr>
            <w:r>
              <w:rPr>
                <w:rFonts w:ascii="Arial" w:cs="Arial" w:eastAsia="Arial" w:hAnsi="Arial"/>
                <w:sz w:val="18"/>
                <w:szCs w:val="18"/>
                <w:color w:val="auto"/>
              </w:rPr>
              <w:t>110,946</w:t>
            </w:r>
          </w:p>
        </w:tc>
        <w:tc>
          <w:tcPr>
            <w:tcW w:w="0" w:type="dxa"/>
            <w:vAlign w:val="bottom"/>
          </w:tcPr>
          <w:p>
            <w:pPr>
              <w:spacing w:after="0"/>
              <w:rPr>
                <w:sz w:val="1"/>
                <w:szCs w:val="1"/>
                <w:color w:val="auto"/>
              </w:rPr>
            </w:pPr>
          </w:p>
        </w:tc>
      </w:tr>
      <w:tr>
        <w:trPr>
          <w:trHeight w:val="235"/>
        </w:trPr>
        <w:tc>
          <w:tcPr>
            <w:tcW w:w="3500" w:type="dxa"/>
            <w:vAlign w:val="bottom"/>
          </w:tcPr>
          <w:p>
            <w:pPr>
              <w:spacing w:after="0"/>
              <w:rPr>
                <w:sz w:val="20"/>
                <w:szCs w:val="20"/>
                <w:color w:val="auto"/>
              </w:rPr>
            </w:pPr>
            <w:r>
              <w:rPr>
                <w:rFonts w:ascii="Arial" w:cs="Arial" w:eastAsia="Arial" w:hAnsi="Arial"/>
                <w:sz w:val="18"/>
                <w:szCs w:val="18"/>
                <w:color w:val="auto"/>
              </w:rPr>
              <w:t>Taxable equivalent adjustment</w:t>
            </w:r>
          </w:p>
        </w:tc>
        <w:tc>
          <w:tcPr>
            <w:tcW w:w="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(368)</w:t>
            </w: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(365)</w:t>
            </w:r>
          </w:p>
        </w:tc>
        <w:tc>
          <w:tcPr>
            <w:tcW w:w="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(381)</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(419)</w:t>
            </w: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(444)</w:t>
            </w: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(733)</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(890)</w:t>
            </w:r>
          </w:p>
        </w:tc>
        <w:tc>
          <w:tcPr>
            <w:tcW w:w="0" w:type="dxa"/>
            <w:vAlign w:val="bottom"/>
          </w:tcPr>
          <w:p>
            <w:pPr>
              <w:spacing w:after="0"/>
              <w:rPr>
                <w:sz w:val="1"/>
                <w:szCs w:val="1"/>
                <w:color w:val="auto"/>
              </w:rPr>
            </w:pPr>
          </w:p>
        </w:tc>
      </w:tr>
      <w:tr>
        <w:trPr>
          <w:trHeight w:val="214"/>
        </w:trPr>
        <w:tc>
          <w:tcPr>
            <w:tcW w:w="3500" w:type="dxa"/>
            <w:vAlign w:val="bottom"/>
          </w:tcPr>
          <w:p>
            <w:pPr>
              <w:ind w:left="180"/>
              <w:spacing w:after="0"/>
              <w:rPr>
                <w:sz w:val="20"/>
                <w:szCs w:val="20"/>
                <w:color w:val="auto"/>
              </w:rPr>
            </w:pPr>
            <w:r>
              <w:rPr>
                <w:rFonts w:ascii="Arial" w:cs="Arial" w:eastAsia="Arial" w:hAnsi="Arial"/>
                <w:sz w:val="18"/>
                <w:szCs w:val="18"/>
                <w:color w:val="auto"/>
              </w:rPr>
              <w:t>Total revenue (GAAP)</w:t>
            </w:r>
          </w:p>
        </w:tc>
        <w:tc>
          <w:tcPr>
            <w:tcW w:w="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22,006</w:t>
            </w:r>
          </w:p>
        </w:tc>
        <w:tc>
          <w:tcPr>
            <w:tcW w:w="1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56,120</w:t>
            </w:r>
          </w:p>
        </w:tc>
        <w:tc>
          <w:tcPr>
            <w:tcW w:w="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56,408</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55,216</w:t>
            </w:r>
          </w:p>
        </w:tc>
        <w:tc>
          <w:tcPr>
            <w:tcW w:w="1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51,259</w:t>
            </w:r>
          </w:p>
        </w:tc>
        <w:tc>
          <w:tcPr>
            <w:tcW w:w="8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78,126</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110,056</w:t>
            </w:r>
          </w:p>
        </w:tc>
        <w:tc>
          <w:tcPr>
            <w:tcW w:w="0" w:type="dxa"/>
            <w:vAlign w:val="bottom"/>
          </w:tcPr>
          <w:p>
            <w:pPr>
              <w:spacing w:after="0"/>
              <w:rPr>
                <w:sz w:val="1"/>
                <w:szCs w:val="1"/>
                <w:color w:val="auto"/>
              </w:rPr>
            </w:pPr>
          </w:p>
        </w:tc>
      </w:tr>
      <w:tr>
        <w:trPr>
          <w:trHeight w:val="20"/>
        </w:trPr>
        <w:tc>
          <w:tcPr>
            <w:tcW w:w="3500" w:type="dxa"/>
            <w:vAlign w:val="bottom"/>
            <w:vMerge w:val="restart"/>
          </w:tcPr>
          <w:p>
            <w:pPr>
              <w:spacing w:after="0"/>
              <w:rPr>
                <w:sz w:val="20"/>
                <w:szCs w:val="20"/>
                <w:color w:val="auto"/>
              </w:rPr>
            </w:pPr>
            <w:r>
              <w:rPr>
                <w:rFonts w:ascii="Arial" w:cs="Arial" w:eastAsia="Arial" w:hAnsi="Arial"/>
                <w:sz w:val="18"/>
                <w:szCs w:val="18"/>
                <w:b w:val="1"/>
                <w:bCs w:val="1"/>
                <w:color w:val="auto"/>
                <w:w w:val="97"/>
              </w:rPr>
              <w:t>(Loss) income before taxes reconciliation</w:t>
            </w: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08"/>
        </w:trPr>
        <w:tc>
          <w:tcPr>
            <w:tcW w:w="3500" w:type="dxa"/>
            <w:vAlign w:val="bottom"/>
            <w:vMerge w:val="continue"/>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3500" w:type="dxa"/>
            <w:vAlign w:val="bottom"/>
          </w:tcPr>
          <w:p>
            <w:pPr>
              <w:spacing w:after="0"/>
              <w:rPr>
                <w:sz w:val="20"/>
                <w:szCs w:val="20"/>
                <w:color w:val="auto"/>
              </w:rPr>
            </w:pPr>
            <w:r>
              <w:rPr>
                <w:rFonts w:ascii="Arial" w:cs="Arial" w:eastAsia="Arial" w:hAnsi="Arial"/>
                <w:sz w:val="18"/>
                <w:szCs w:val="18"/>
                <w:color w:val="auto"/>
              </w:rPr>
              <w:t>(Loss) income before taxes</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(26,449)</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71"/>
              <w:spacing w:after="0"/>
              <w:rPr>
                <w:sz w:val="20"/>
                <w:szCs w:val="20"/>
                <w:color w:val="auto"/>
              </w:rPr>
            </w:pPr>
            <w:r>
              <w:rPr>
                <w:rFonts w:ascii="Arial" w:cs="Arial" w:eastAsia="Arial" w:hAnsi="Arial"/>
                <w:sz w:val="18"/>
                <w:szCs w:val="18"/>
                <w:color w:val="auto"/>
              </w:rPr>
              <w:t>12,715</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71"/>
              <w:spacing w:after="0"/>
              <w:rPr>
                <w:sz w:val="20"/>
                <w:szCs w:val="20"/>
                <w:color w:val="auto"/>
              </w:rPr>
            </w:pPr>
            <w:r>
              <w:rPr>
                <w:rFonts w:ascii="Arial" w:cs="Arial" w:eastAsia="Arial" w:hAnsi="Arial"/>
                <w:sz w:val="18"/>
                <w:szCs w:val="18"/>
                <w:color w:val="auto"/>
              </w:rPr>
              <w:t>6,063</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71"/>
              <w:spacing w:after="0"/>
              <w:rPr>
                <w:sz w:val="20"/>
                <w:szCs w:val="20"/>
                <w:color w:val="auto"/>
              </w:rPr>
            </w:pPr>
            <w:r>
              <w:rPr>
                <w:rFonts w:ascii="Arial" w:cs="Arial" w:eastAsia="Arial" w:hAnsi="Arial"/>
                <w:sz w:val="18"/>
                <w:szCs w:val="18"/>
                <w:color w:val="auto"/>
              </w:rPr>
              <w:t>10,852</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91"/>
              <w:spacing w:after="0"/>
              <w:rPr>
                <w:sz w:val="20"/>
                <w:szCs w:val="20"/>
                <w:color w:val="auto"/>
              </w:rPr>
            </w:pPr>
            <w:r>
              <w:rPr>
                <w:rFonts w:ascii="Arial" w:cs="Arial" w:eastAsia="Arial" w:hAnsi="Arial"/>
                <w:sz w:val="18"/>
                <w:szCs w:val="18"/>
                <w:color w:val="auto"/>
              </w:rPr>
              <w:t>7,393</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(13,734)</w:t>
            </w:r>
          </w:p>
        </w:tc>
        <w:tc>
          <w:tcPr>
            <w:tcW w:w="26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71"/>
              <w:spacing w:after="0"/>
              <w:rPr>
                <w:sz w:val="20"/>
                <w:szCs w:val="20"/>
                <w:color w:val="auto"/>
              </w:rPr>
            </w:pPr>
            <w:r>
              <w:rPr>
                <w:rFonts w:ascii="Arial" w:cs="Arial" w:eastAsia="Arial" w:hAnsi="Arial"/>
                <w:sz w:val="18"/>
                <w:szCs w:val="18"/>
                <w:color w:val="auto"/>
              </w:rPr>
              <w:t>19,681</w:t>
            </w:r>
          </w:p>
        </w:tc>
        <w:tc>
          <w:tcPr>
            <w:tcW w:w="0" w:type="dxa"/>
            <w:vAlign w:val="bottom"/>
          </w:tcPr>
          <w:p>
            <w:pPr>
              <w:spacing w:after="0"/>
              <w:rPr>
                <w:sz w:val="1"/>
                <w:szCs w:val="1"/>
                <w:color w:val="auto"/>
              </w:rPr>
            </w:pPr>
          </w:p>
        </w:tc>
      </w:tr>
      <w:tr>
        <w:trPr>
          <w:trHeight w:val="235"/>
        </w:trPr>
        <w:tc>
          <w:tcPr>
            <w:tcW w:w="3500" w:type="dxa"/>
            <w:vAlign w:val="bottom"/>
          </w:tcPr>
          <w:p>
            <w:pPr>
              <w:spacing w:after="0"/>
              <w:rPr>
                <w:sz w:val="20"/>
                <w:szCs w:val="20"/>
                <w:color w:val="auto"/>
              </w:rPr>
            </w:pPr>
            <w:r>
              <w:rPr>
                <w:rFonts w:ascii="Arial" w:cs="Arial" w:eastAsia="Arial" w:hAnsi="Arial"/>
                <w:sz w:val="18"/>
                <w:szCs w:val="18"/>
                <w:color w:val="auto"/>
              </w:rPr>
              <w:t>Taxable equivalent adjustment</w:t>
            </w:r>
          </w:p>
        </w:tc>
        <w:tc>
          <w:tcPr>
            <w:tcW w:w="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(368)</w:t>
            </w: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(365)</w:t>
            </w:r>
          </w:p>
        </w:tc>
        <w:tc>
          <w:tcPr>
            <w:tcW w:w="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(381)</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(419)</w:t>
            </w: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(444)</w:t>
            </w: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(733)</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(890)</w:t>
            </w:r>
          </w:p>
        </w:tc>
        <w:tc>
          <w:tcPr>
            <w:tcW w:w="0" w:type="dxa"/>
            <w:vAlign w:val="bottom"/>
          </w:tcPr>
          <w:p>
            <w:pPr>
              <w:spacing w:after="0"/>
              <w:rPr>
                <w:sz w:val="1"/>
                <w:szCs w:val="1"/>
                <w:color w:val="auto"/>
              </w:rPr>
            </w:pPr>
          </w:p>
        </w:tc>
      </w:tr>
      <w:tr>
        <w:trPr>
          <w:trHeight w:val="214"/>
        </w:trPr>
        <w:tc>
          <w:tcPr>
            <w:tcW w:w="3500" w:type="dxa"/>
            <w:vAlign w:val="bottom"/>
          </w:tcPr>
          <w:p>
            <w:pPr>
              <w:ind w:left="180"/>
              <w:spacing w:after="0"/>
              <w:rPr>
                <w:sz w:val="20"/>
                <w:szCs w:val="20"/>
                <w:color w:val="auto"/>
              </w:rPr>
            </w:pPr>
            <w:r>
              <w:rPr>
                <w:rFonts w:ascii="Arial" w:cs="Arial" w:eastAsia="Arial" w:hAnsi="Arial"/>
                <w:sz w:val="18"/>
                <w:szCs w:val="18"/>
                <w:color w:val="auto"/>
              </w:rPr>
              <w:t>(Loss) income before taxes (GAAP)</w:t>
            </w:r>
          </w:p>
        </w:tc>
        <w:tc>
          <w:tcPr>
            <w:tcW w:w="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(26,817)</w:t>
            </w:r>
          </w:p>
        </w:tc>
        <w:tc>
          <w:tcPr>
            <w:tcW w:w="1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12,350</w:t>
            </w:r>
          </w:p>
        </w:tc>
        <w:tc>
          <w:tcPr>
            <w:tcW w:w="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5,682</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10,433</w:t>
            </w:r>
          </w:p>
        </w:tc>
        <w:tc>
          <w:tcPr>
            <w:tcW w:w="1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6,949</w:t>
            </w:r>
          </w:p>
        </w:tc>
        <w:tc>
          <w:tcPr>
            <w:tcW w:w="8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(14,467)</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18,791</w:t>
            </w:r>
          </w:p>
        </w:tc>
        <w:tc>
          <w:tcPr>
            <w:tcW w:w="0" w:type="dxa"/>
            <w:vAlign w:val="bottom"/>
          </w:tcPr>
          <w:p>
            <w:pPr>
              <w:spacing w:after="0"/>
              <w:rPr>
                <w:sz w:val="1"/>
                <w:szCs w:val="1"/>
                <w:color w:val="auto"/>
              </w:rPr>
            </w:pPr>
          </w:p>
        </w:tc>
      </w:tr>
      <w:tr>
        <w:trPr>
          <w:trHeight w:val="20"/>
        </w:trPr>
        <w:tc>
          <w:tcPr>
            <w:tcW w:w="3500" w:type="dxa"/>
            <w:vAlign w:val="bottom"/>
            <w:vMerge w:val="restart"/>
          </w:tcPr>
          <w:p>
            <w:pPr>
              <w:spacing w:after="0"/>
              <w:rPr>
                <w:sz w:val="20"/>
                <w:szCs w:val="20"/>
                <w:color w:val="auto"/>
              </w:rPr>
            </w:pPr>
            <w:r>
              <w:rPr>
                <w:rFonts w:ascii="Arial" w:cs="Arial" w:eastAsia="Arial" w:hAnsi="Arial"/>
                <w:sz w:val="18"/>
                <w:szCs w:val="18"/>
                <w:b w:val="1"/>
                <w:bCs w:val="1"/>
                <w:color w:val="auto"/>
                <w:w w:val="94"/>
              </w:rPr>
              <w:t>Income tax (benefit) expense reconciliation</w:t>
            </w: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08"/>
        </w:trPr>
        <w:tc>
          <w:tcPr>
            <w:tcW w:w="3500" w:type="dxa"/>
            <w:vAlign w:val="bottom"/>
            <w:vMerge w:val="continue"/>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3500" w:type="dxa"/>
            <w:vAlign w:val="bottom"/>
          </w:tcPr>
          <w:p>
            <w:pPr>
              <w:spacing w:after="0"/>
              <w:rPr>
                <w:sz w:val="20"/>
                <w:szCs w:val="20"/>
                <w:color w:val="auto"/>
              </w:rPr>
            </w:pPr>
            <w:r>
              <w:rPr>
                <w:rFonts w:ascii="Arial" w:cs="Arial" w:eastAsia="Arial" w:hAnsi="Arial"/>
                <w:sz w:val="18"/>
                <w:szCs w:val="18"/>
                <w:color w:val="auto"/>
              </w:rPr>
              <w:t>Income tax (benefit) expense</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(256,413)</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71"/>
              <w:spacing w:after="0"/>
              <w:rPr>
                <w:sz w:val="20"/>
                <w:szCs w:val="20"/>
                <w:color w:val="auto"/>
              </w:rPr>
            </w:pPr>
            <w:r>
              <w:rPr>
                <w:rFonts w:ascii="Arial" w:cs="Arial" w:eastAsia="Arial" w:hAnsi="Arial"/>
                <w:sz w:val="18"/>
                <w:szCs w:val="18"/>
                <w:color w:val="auto"/>
              </w:rPr>
              <w:t>950</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71"/>
              <w:spacing w:after="0"/>
              <w:rPr>
                <w:sz w:val="20"/>
                <w:szCs w:val="20"/>
                <w:color w:val="auto"/>
              </w:rPr>
            </w:pPr>
            <w:r>
              <w:rPr>
                <w:rFonts w:ascii="Arial" w:cs="Arial" w:eastAsia="Arial" w:hAnsi="Arial"/>
                <w:sz w:val="18"/>
                <w:szCs w:val="18"/>
                <w:color w:val="auto"/>
              </w:rPr>
              <w:t>802</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71"/>
              <w:spacing w:after="0"/>
              <w:rPr>
                <w:sz w:val="20"/>
                <w:szCs w:val="20"/>
                <w:color w:val="auto"/>
              </w:rPr>
            </w:pPr>
            <w:r>
              <w:rPr>
                <w:rFonts w:ascii="Arial" w:cs="Arial" w:eastAsia="Arial" w:hAnsi="Arial"/>
                <w:sz w:val="18"/>
                <w:szCs w:val="18"/>
                <w:color w:val="auto"/>
              </w:rPr>
              <w:t>284</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91"/>
              <w:spacing w:after="0"/>
              <w:rPr>
                <w:sz w:val="20"/>
                <w:szCs w:val="20"/>
                <w:color w:val="auto"/>
              </w:rPr>
            </w:pPr>
            <w:r>
              <w:rPr>
                <w:rFonts w:ascii="Arial" w:cs="Arial" w:eastAsia="Arial" w:hAnsi="Arial"/>
                <w:sz w:val="18"/>
                <w:szCs w:val="18"/>
                <w:color w:val="auto"/>
              </w:rPr>
              <w:t>894</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1"/>
              <w:spacing w:after="0"/>
              <w:rPr>
                <w:sz w:val="20"/>
                <w:szCs w:val="20"/>
                <w:color w:val="auto"/>
              </w:rPr>
            </w:pPr>
            <w:r>
              <w:rPr>
                <w:rFonts w:ascii="Arial" w:cs="Arial" w:eastAsia="Arial" w:hAnsi="Arial"/>
                <w:sz w:val="18"/>
                <w:szCs w:val="18"/>
                <w:color w:val="auto"/>
                <w:w w:val="95"/>
              </w:rPr>
              <w:t>(255,463)</w:t>
            </w:r>
          </w:p>
        </w:tc>
        <w:tc>
          <w:tcPr>
            <w:tcW w:w="26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71"/>
              <w:spacing w:after="0"/>
              <w:rPr>
                <w:sz w:val="20"/>
                <w:szCs w:val="20"/>
                <w:color w:val="auto"/>
              </w:rPr>
            </w:pPr>
            <w:r>
              <w:rPr>
                <w:rFonts w:ascii="Arial" w:cs="Arial" w:eastAsia="Arial" w:hAnsi="Arial"/>
                <w:sz w:val="18"/>
                <w:szCs w:val="18"/>
                <w:color w:val="auto"/>
              </w:rPr>
              <w:t>1,654</w:t>
            </w:r>
          </w:p>
        </w:tc>
        <w:tc>
          <w:tcPr>
            <w:tcW w:w="0" w:type="dxa"/>
            <w:vAlign w:val="bottom"/>
          </w:tcPr>
          <w:p>
            <w:pPr>
              <w:spacing w:after="0"/>
              <w:rPr>
                <w:sz w:val="1"/>
                <w:szCs w:val="1"/>
                <w:color w:val="auto"/>
              </w:rPr>
            </w:pPr>
          </w:p>
        </w:tc>
      </w:tr>
      <w:tr>
        <w:trPr>
          <w:trHeight w:val="235"/>
        </w:trPr>
        <w:tc>
          <w:tcPr>
            <w:tcW w:w="3500" w:type="dxa"/>
            <w:vAlign w:val="bottom"/>
          </w:tcPr>
          <w:p>
            <w:pPr>
              <w:spacing w:after="0"/>
              <w:rPr>
                <w:sz w:val="20"/>
                <w:szCs w:val="20"/>
                <w:color w:val="auto"/>
              </w:rPr>
            </w:pPr>
            <w:r>
              <w:rPr>
                <w:rFonts w:ascii="Arial" w:cs="Arial" w:eastAsia="Arial" w:hAnsi="Arial"/>
                <w:sz w:val="18"/>
                <w:szCs w:val="18"/>
                <w:color w:val="auto"/>
              </w:rPr>
              <w:t>Taxable equivalent adjustment</w:t>
            </w:r>
          </w:p>
        </w:tc>
        <w:tc>
          <w:tcPr>
            <w:tcW w:w="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(368)</w:t>
            </w: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(365)</w:t>
            </w:r>
          </w:p>
        </w:tc>
        <w:tc>
          <w:tcPr>
            <w:tcW w:w="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(381)</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(419)</w:t>
            </w: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(444)</w:t>
            </w: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(733)</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(890)</w:t>
            </w:r>
          </w:p>
        </w:tc>
        <w:tc>
          <w:tcPr>
            <w:tcW w:w="0" w:type="dxa"/>
            <w:vAlign w:val="bottom"/>
          </w:tcPr>
          <w:p>
            <w:pPr>
              <w:spacing w:after="0"/>
              <w:rPr>
                <w:sz w:val="1"/>
                <w:szCs w:val="1"/>
                <w:color w:val="auto"/>
              </w:rPr>
            </w:pPr>
          </w:p>
        </w:tc>
      </w:tr>
      <w:tr>
        <w:trPr>
          <w:trHeight w:val="214"/>
        </w:trPr>
        <w:tc>
          <w:tcPr>
            <w:tcW w:w="3500" w:type="dxa"/>
            <w:vAlign w:val="bottom"/>
          </w:tcPr>
          <w:p>
            <w:pPr>
              <w:ind w:left="180"/>
              <w:spacing w:after="0"/>
              <w:rPr>
                <w:sz w:val="20"/>
                <w:szCs w:val="20"/>
                <w:color w:val="auto"/>
              </w:rPr>
            </w:pPr>
            <w:r>
              <w:rPr>
                <w:rFonts w:ascii="Arial" w:cs="Arial" w:eastAsia="Arial" w:hAnsi="Arial"/>
                <w:sz w:val="18"/>
                <w:szCs w:val="18"/>
                <w:color w:val="auto"/>
              </w:rPr>
              <w:t>Income tax (benefit) expense (GAAP)</w:t>
            </w:r>
          </w:p>
        </w:tc>
        <w:tc>
          <w:tcPr>
            <w:tcW w:w="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(256,781)</w:t>
            </w:r>
          </w:p>
        </w:tc>
        <w:tc>
          <w:tcPr>
            <w:tcW w:w="1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585</w:t>
            </w:r>
          </w:p>
        </w:tc>
        <w:tc>
          <w:tcPr>
            <w:tcW w:w="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421</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(135)</w:t>
            </w:r>
          </w:p>
        </w:tc>
        <w:tc>
          <w:tcPr>
            <w:tcW w:w="1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450</w:t>
            </w:r>
          </w:p>
        </w:tc>
        <w:tc>
          <w:tcPr>
            <w:tcW w:w="8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w w:val="95"/>
              </w:rPr>
              <w:t>(256,196)</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764</w:t>
            </w:r>
          </w:p>
        </w:tc>
        <w:tc>
          <w:tcPr>
            <w:tcW w:w="0" w:type="dxa"/>
            <w:vAlign w:val="bottom"/>
          </w:tcPr>
          <w:p>
            <w:pPr>
              <w:spacing w:after="0"/>
              <w:rPr>
                <w:sz w:val="1"/>
                <w:szCs w:val="1"/>
                <w:color w:val="auto"/>
              </w:rPr>
            </w:pPr>
          </w:p>
        </w:tc>
      </w:tr>
      <w:tr>
        <w:trPr>
          <w:trHeight w:val="20"/>
        </w:trPr>
        <w:tc>
          <w:tcPr>
            <w:tcW w:w="3500" w:type="dxa"/>
            <w:vAlign w:val="bottom"/>
            <w:vMerge w:val="restart"/>
          </w:tcPr>
          <w:p>
            <w:pPr>
              <w:spacing w:after="0"/>
              <w:rPr>
                <w:sz w:val="20"/>
                <w:szCs w:val="20"/>
                <w:color w:val="auto"/>
              </w:rPr>
            </w:pPr>
            <w:r>
              <w:rPr>
                <w:rFonts w:ascii="Arial" w:cs="Arial" w:eastAsia="Arial" w:hAnsi="Arial"/>
                <w:sz w:val="18"/>
                <w:szCs w:val="18"/>
                <w:b w:val="1"/>
                <w:bCs w:val="1"/>
                <w:color w:val="auto"/>
                <w:w w:val="90"/>
              </w:rPr>
              <w:t>Book value per common share reconciliation</w:t>
            </w: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08"/>
        </w:trPr>
        <w:tc>
          <w:tcPr>
            <w:tcW w:w="3500" w:type="dxa"/>
            <w:vAlign w:val="bottom"/>
            <w:vMerge w:val="continue"/>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3500" w:type="dxa"/>
            <w:vAlign w:val="bottom"/>
          </w:tcPr>
          <w:p>
            <w:pPr>
              <w:spacing w:after="0"/>
              <w:rPr>
                <w:sz w:val="20"/>
                <w:szCs w:val="20"/>
                <w:color w:val="auto"/>
              </w:rPr>
            </w:pPr>
            <w:r>
              <w:rPr>
                <w:rFonts w:ascii="Arial" w:cs="Arial" w:eastAsia="Arial" w:hAnsi="Arial"/>
                <w:sz w:val="18"/>
                <w:szCs w:val="18"/>
                <w:color w:val="auto"/>
              </w:rPr>
              <w:t>Tangible book value per common share</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71"/>
              <w:spacing w:after="0"/>
              <w:rPr>
                <w:sz w:val="20"/>
                <w:szCs w:val="20"/>
                <w:color w:val="auto"/>
              </w:rPr>
            </w:pPr>
            <w:r>
              <w:rPr>
                <w:rFonts w:ascii="Arial" w:cs="Arial" w:eastAsia="Arial" w:hAnsi="Arial"/>
                <w:sz w:val="18"/>
                <w:szCs w:val="18"/>
                <w:color w:val="auto"/>
              </w:rPr>
              <w:t>10.82</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71"/>
              <w:spacing w:after="0"/>
              <w:rPr>
                <w:sz w:val="20"/>
                <w:szCs w:val="20"/>
                <w:color w:val="auto"/>
              </w:rPr>
            </w:pPr>
            <w:r>
              <w:rPr>
                <w:rFonts w:ascii="Arial" w:cs="Arial" w:eastAsia="Arial" w:hAnsi="Arial"/>
                <w:sz w:val="18"/>
                <w:szCs w:val="18"/>
                <w:color w:val="auto"/>
              </w:rPr>
              <w:t>6.76</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71"/>
              <w:spacing w:after="0"/>
              <w:rPr>
                <w:sz w:val="20"/>
                <w:szCs w:val="20"/>
                <w:color w:val="auto"/>
              </w:rPr>
            </w:pPr>
            <w:r>
              <w:rPr>
                <w:rFonts w:ascii="Arial" w:cs="Arial" w:eastAsia="Arial" w:hAnsi="Arial"/>
                <w:sz w:val="18"/>
                <w:szCs w:val="18"/>
                <w:color w:val="auto"/>
              </w:rPr>
              <w:t>6.57</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71"/>
              <w:spacing w:after="0"/>
              <w:rPr>
                <w:sz w:val="20"/>
                <w:szCs w:val="20"/>
                <w:color w:val="auto"/>
              </w:rPr>
            </w:pPr>
            <w:r>
              <w:rPr>
                <w:rFonts w:ascii="Arial" w:cs="Arial" w:eastAsia="Arial" w:hAnsi="Arial"/>
                <w:sz w:val="18"/>
                <w:szCs w:val="18"/>
                <w:color w:val="auto"/>
              </w:rPr>
              <w:t>6.64</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91"/>
              <w:spacing w:after="0"/>
              <w:rPr>
                <w:sz w:val="20"/>
                <w:szCs w:val="20"/>
                <w:color w:val="auto"/>
              </w:rPr>
            </w:pPr>
            <w:r>
              <w:rPr>
                <w:rFonts w:ascii="Arial" w:cs="Arial" w:eastAsia="Arial" w:hAnsi="Arial"/>
                <w:sz w:val="18"/>
                <w:szCs w:val="18"/>
                <w:color w:val="auto"/>
              </w:rPr>
              <w:t>6.48</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71"/>
              <w:spacing w:after="0"/>
              <w:rPr>
                <w:sz w:val="20"/>
                <w:szCs w:val="20"/>
                <w:color w:val="auto"/>
              </w:rPr>
            </w:pPr>
            <w:r>
              <w:rPr>
                <w:rFonts w:ascii="Arial" w:cs="Arial" w:eastAsia="Arial" w:hAnsi="Arial"/>
                <w:sz w:val="18"/>
                <w:szCs w:val="18"/>
                <w:color w:val="auto"/>
              </w:rPr>
              <w:t>10.82</w:t>
            </w:r>
          </w:p>
        </w:tc>
        <w:tc>
          <w:tcPr>
            <w:tcW w:w="26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71"/>
              <w:spacing w:after="0"/>
              <w:rPr>
                <w:sz w:val="20"/>
                <w:szCs w:val="20"/>
                <w:color w:val="auto"/>
              </w:rPr>
            </w:pPr>
            <w:r>
              <w:rPr>
                <w:rFonts w:ascii="Arial" w:cs="Arial" w:eastAsia="Arial" w:hAnsi="Arial"/>
                <w:sz w:val="18"/>
                <w:szCs w:val="18"/>
                <w:color w:val="auto"/>
              </w:rPr>
              <w:t>6.48</w:t>
            </w:r>
          </w:p>
        </w:tc>
        <w:tc>
          <w:tcPr>
            <w:tcW w:w="0" w:type="dxa"/>
            <w:vAlign w:val="bottom"/>
          </w:tcPr>
          <w:p>
            <w:pPr>
              <w:spacing w:after="0"/>
              <w:rPr>
                <w:sz w:val="1"/>
                <w:szCs w:val="1"/>
                <w:color w:val="auto"/>
              </w:rPr>
            </w:pPr>
          </w:p>
        </w:tc>
      </w:tr>
      <w:tr>
        <w:trPr>
          <w:trHeight w:val="235"/>
        </w:trPr>
        <w:tc>
          <w:tcPr>
            <w:tcW w:w="3500" w:type="dxa"/>
            <w:vAlign w:val="bottom"/>
          </w:tcPr>
          <w:p>
            <w:pPr>
              <w:spacing w:after="0"/>
              <w:rPr>
                <w:sz w:val="20"/>
                <w:szCs w:val="20"/>
                <w:color w:val="auto"/>
              </w:rPr>
            </w:pPr>
            <w:r>
              <w:rPr>
                <w:rFonts w:ascii="Arial" w:cs="Arial" w:eastAsia="Arial" w:hAnsi="Arial"/>
                <w:sz w:val="18"/>
                <w:szCs w:val="18"/>
                <w:color w:val="auto"/>
              </w:rPr>
              <w:t>Effect of goodwill and other intangibles</w:t>
            </w:r>
          </w:p>
        </w:tc>
        <w:tc>
          <w:tcPr>
            <w:tcW w:w="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.09</w:t>
            </w:r>
          </w:p>
        </w:tc>
        <w:tc>
          <w:tcPr>
            <w:tcW w:w="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.13</w:t>
            </w: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4"/>
        </w:trPr>
        <w:tc>
          <w:tcPr>
            <w:tcW w:w="3500" w:type="dxa"/>
            <w:vAlign w:val="bottom"/>
          </w:tcPr>
          <w:p>
            <w:pPr>
              <w:ind w:left="140"/>
              <w:spacing w:after="0"/>
              <w:rPr>
                <w:sz w:val="20"/>
                <w:szCs w:val="20"/>
                <w:color w:val="auto"/>
              </w:rPr>
            </w:pPr>
            <w:r>
              <w:rPr>
                <w:rFonts w:ascii="Arial" w:cs="Arial" w:eastAsia="Arial" w:hAnsi="Arial"/>
                <w:sz w:val="18"/>
                <w:szCs w:val="18"/>
                <w:color w:val="auto"/>
              </w:rPr>
              <w:t>Book value per common share (GAAP)</w:t>
            </w:r>
          </w:p>
        </w:tc>
        <w:tc>
          <w:tcPr>
            <w:tcW w:w="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10.90</w:t>
            </w:r>
          </w:p>
        </w:tc>
        <w:tc>
          <w:tcPr>
            <w:tcW w:w="1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6.85</w:t>
            </w:r>
          </w:p>
        </w:tc>
        <w:tc>
          <w:tcPr>
            <w:tcW w:w="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6.67</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6.75</w:t>
            </w:r>
          </w:p>
        </w:tc>
        <w:tc>
          <w:tcPr>
            <w:tcW w:w="1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6.61</w:t>
            </w:r>
          </w:p>
        </w:tc>
        <w:tc>
          <w:tcPr>
            <w:tcW w:w="8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10.90</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6.61</w:t>
            </w:r>
          </w:p>
        </w:tc>
        <w:tc>
          <w:tcPr>
            <w:tcW w:w="0" w:type="dxa"/>
            <w:vAlign w:val="bottom"/>
          </w:tcPr>
          <w:p>
            <w:pPr>
              <w:spacing w:after="0"/>
              <w:rPr>
                <w:sz w:val="1"/>
                <w:szCs w:val="1"/>
                <w:color w:val="auto"/>
              </w:rPr>
            </w:pPr>
          </w:p>
        </w:tc>
      </w:tr>
      <w:tr>
        <w:trPr>
          <w:trHeight w:val="20"/>
        </w:trPr>
        <w:tc>
          <w:tcPr>
            <w:tcW w:w="3500" w:type="dxa"/>
            <w:vAlign w:val="bottom"/>
            <w:vMerge w:val="restart"/>
          </w:tcPr>
          <w:p>
            <w:pPr>
              <w:spacing w:after="0"/>
              <w:rPr>
                <w:sz w:val="20"/>
                <w:szCs w:val="20"/>
                <w:color w:val="auto"/>
              </w:rPr>
            </w:pPr>
            <w:r>
              <w:rPr>
                <w:rFonts w:ascii="Arial" w:cs="Arial" w:eastAsia="Arial" w:hAnsi="Arial"/>
                <w:sz w:val="18"/>
                <w:szCs w:val="18"/>
                <w:b w:val="1"/>
                <w:bCs w:val="1"/>
                <w:color w:val="auto"/>
              </w:rPr>
              <w:t>Average equity to assets reconciliation</w:t>
            </w: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08"/>
        </w:trPr>
        <w:tc>
          <w:tcPr>
            <w:tcW w:w="3500" w:type="dxa"/>
            <w:vAlign w:val="bottom"/>
            <w:vMerge w:val="continue"/>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3500" w:type="dxa"/>
            <w:vAlign w:val="bottom"/>
          </w:tcPr>
          <w:p>
            <w:pPr>
              <w:spacing w:after="0"/>
              <w:rPr>
                <w:sz w:val="20"/>
                <w:szCs w:val="20"/>
                <w:color w:val="auto"/>
              </w:rPr>
            </w:pPr>
            <w:r>
              <w:rPr>
                <w:rFonts w:ascii="Arial" w:cs="Arial" w:eastAsia="Arial" w:hAnsi="Arial"/>
                <w:sz w:val="18"/>
                <w:szCs w:val="18"/>
                <w:color w:val="auto"/>
              </w:rPr>
              <w:t>Tangible common equity to assets</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8.79%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5.66%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5.67%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5.73%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5.45%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5.99%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5.39%</w:t>
            </w:r>
          </w:p>
        </w:tc>
        <w:tc>
          <w:tcPr>
            <w:tcW w:w="0" w:type="dxa"/>
            <w:vAlign w:val="bottom"/>
          </w:tcPr>
          <w:p>
            <w:pPr>
              <w:spacing w:after="0"/>
              <w:rPr>
                <w:sz w:val="1"/>
                <w:szCs w:val="1"/>
                <w:color w:val="auto"/>
              </w:rPr>
            </w:pPr>
          </w:p>
        </w:tc>
      </w:tr>
      <w:tr>
        <w:trPr>
          <w:trHeight w:val="235"/>
        </w:trPr>
        <w:tc>
          <w:tcPr>
            <w:tcW w:w="3500" w:type="dxa"/>
            <w:vAlign w:val="bottom"/>
          </w:tcPr>
          <w:p>
            <w:pPr>
              <w:spacing w:after="0"/>
              <w:rPr>
                <w:sz w:val="20"/>
                <w:szCs w:val="20"/>
                <w:color w:val="auto"/>
              </w:rPr>
            </w:pPr>
            <w:r>
              <w:rPr>
                <w:rFonts w:ascii="Arial" w:cs="Arial" w:eastAsia="Arial" w:hAnsi="Arial"/>
                <w:sz w:val="18"/>
                <w:szCs w:val="18"/>
                <w:color w:val="auto"/>
              </w:rPr>
              <w:t>Effect of preferred equity</w:t>
            </w:r>
          </w:p>
        </w:tc>
        <w:tc>
          <w:tcPr>
            <w:tcW w:w="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2.74</w:t>
            </w: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2.87</w:t>
            </w:r>
          </w:p>
        </w:tc>
        <w:tc>
          <w:tcPr>
            <w:tcW w:w="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2.88</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2.93</w:t>
            </w: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2.79</w:t>
            </w: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2.84</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2.77</w:t>
            </w:r>
          </w:p>
        </w:tc>
        <w:tc>
          <w:tcPr>
            <w:tcW w:w="0" w:type="dxa"/>
            <w:vAlign w:val="bottom"/>
          </w:tcPr>
          <w:p>
            <w:pPr>
              <w:spacing w:after="0"/>
              <w:rPr>
                <w:sz w:val="1"/>
                <w:szCs w:val="1"/>
                <w:color w:val="auto"/>
              </w:rPr>
            </w:pPr>
          </w:p>
        </w:tc>
      </w:tr>
      <w:tr>
        <w:trPr>
          <w:trHeight w:val="200"/>
        </w:trPr>
        <w:tc>
          <w:tcPr>
            <w:tcW w:w="3500" w:type="dxa"/>
            <w:vAlign w:val="bottom"/>
          </w:tcPr>
          <w:p>
            <w:pPr>
              <w:ind w:left="180"/>
              <w:spacing w:after="0" w:line="200" w:lineRule="exact"/>
              <w:rPr>
                <w:sz w:val="20"/>
                <w:szCs w:val="20"/>
                <w:color w:val="auto"/>
              </w:rPr>
            </w:pPr>
            <w:r>
              <w:rPr>
                <w:rFonts w:ascii="Arial" w:cs="Arial" w:eastAsia="Arial" w:hAnsi="Arial"/>
                <w:sz w:val="18"/>
                <w:szCs w:val="18"/>
                <w:color w:val="auto"/>
              </w:rPr>
              <w:t>Tangible equity to assets</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jc w:val="right"/>
              <w:ind w:right="71"/>
              <w:spacing w:after="0" w:line="200" w:lineRule="exact"/>
              <w:rPr>
                <w:sz w:val="20"/>
                <w:szCs w:val="20"/>
                <w:color w:val="auto"/>
              </w:rPr>
            </w:pPr>
            <w:r>
              <w:rPr>
                <w:rFonts w:ascii="Arial" w:cs="Arial" w:eastAsia="Arial" w:hAnsi="Arial"/>
                <w:sz w:val="18"/>
                <w:szCs w:val="18"/>
                <w:color w:val="auto"/>
              </w:rPr>
              <w:t>11.53</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jc w:val="right"/>
              <w:ind w:right="71"/>
              <w:spacing w:after="0" w:line="200" w:lineRule="exact"/>
              <w:rPr>
                <w:sz w:val="20"/>
                <w:szCs w:val="20"/>
                <w:color w:val="auto"/>
              </w:rPr>
            </w:pPr>
            <w:r>
              <w:rPr>
                <w:rFonts w:ascii="Arial" w:cs="Arial" w:eastAsia="Arial" w:hAnsi="Arial"/>
                <w:sz w:val="18"/>
                <w:szCs w:val="18"/>
                <w:color w:val="auto"/>
              </w:rPr>
              <w:t>8.53</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right"/>
              <w:ind w:right="71"/>
              <w:spacing w:after="0" w:line="200" w:lineRule="exact"/>
              <w:rPr>
                <w:sz w:val="20"/>
                <w:szCs w:val="20"/>
                <w:color w:val="auto"/>
              </w:rPr>
            </w:pPr>
            <w:r>
              <w:rPr>
                <w:rFonts w:ascii="Arial" w:cs="Arial" w:eastAsia="Arial" w:hAnsi="Arial"/>
                <w:sz w:val="18"/>
                <w:szCs w:val="18"/>
                <w:color w:val="auto"/>
              </w:rPr>
              <w:t>8.55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right"/>
              <w:ind w:right="71"/>
              <w:spacing w:after="0" w:line="200" w:lineRule="exact"/>
              <w:rPr>
                <w:sz w:val="20"/>
                <w:szCs w:val="20"/>
                <w:color w:val="auto"/>
              </w:rPr>
            </w:pPr>
            <w:r>
              <w:rPr>
                <w:rFonts w:ascii="Arial" w:cs="Arial" w:eastAsia="Arial" w:hAnsi="Arial"/>
                <w:sz w:val="18"/>
                <w:szCs w:val="18"/>
                <w:color w:val="auto"/>
              </w:rPr>
              <w:t>8.66</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jc w:val="right"/>
              <w:ind w:right="91"/>
              <w:spacing w:after="0" w:line="200" w:lineRule="exact"/>
              <w:rPr>
                <w:sz w:val="20"/>
                <w:szCs w:val="20"/>
                <w:color w:val="auto"/>
              </w:rPr>
            </w:pPr>
            <w:r>
              <w:rPr>
                <w:rFonts w:ascii="Arial" w:cs="Arial" w:eastAsia="Arial" w:hAnsi="Arial"/>
                <w:sz w:val="18"/>
                <w:szCs w:val="18"/>
                <w:color w:val="auto"/>
              </w:rPr>
              <w:t>8.24</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jc w:val="right"/>
              <w:ind w:right="71"/>
              <w:spacing w:after="0" w:line="200" w:lineRule="exact"/>
              <w:rPr>
                <w:sz w:val="20"/>
                <w:szCs w:val="20"/>
                <w:color w:val="auto"/>
              </w:rPr>
            </w:pPr>
            <w:r>
              <w:rPr>
                <w:rFonts w:ascii="Arial" w:cs="Arial" w:eastAsia="Arial" w:hAnsi="Arial"/>
                <w:sz w:val="18"/>
                <w:szCs w:val="18"/>
                <w:color w:val="auto"/>
              </w:rPr>
              <w:t>8.83</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jc w:val="right"/>
              <w:ind w:right="71"/>
              <w:spacing w:after="0" w:line="200" w:lineRule="exact"/>
              <w:rPr>
                <w:sz w:val="20"/>
                <w:szCs w:val="20"/>
                <w:color w:val="auto"/>
              </w:rPr>
            </w:pPr>
            <w:r>
              <w:rPr>
                <w:rFonts w:ascii="Arial" w:cs="Arial" w:eastAsia="Arial" w:hAnsi="Arial"/>
                <w:sz w:val="18"/>
                <w:szCs w:val="18"/>
                <w:color w:val="auto"/>
              </w:rPr>
              <w:t>8.16</w:t>
            </w:r>
          </w:p>
        </w:tc>
        <w:tc>
          <w:tcPr>
            <w:tcW w:w="0" w:type="dxa"/>
            <w:vAlign w:val="bottom"/>
          </w:tcPr>
          <w:p>
            <w:pPr>
              <w:spacing w:after="0"/>
              <w:rPr>
                <w:sz w:val="1"/>
                <w:szCs w:val="1"/>
                <w:color w:val="auto"/>
              </w:rPr>
            </w:pPr>
          </w:p>
        </w:tc>
      </w:tr>
      <w:tr>
        <w:trPr>
          <w:trHeight w:val="235"/>
        </w:trPr>
        <w:tc>
          <w:tcPr>
            <w:tcW w:w="3500" w:type="dxa"/>
            <w:vAlign w:val="bottom"/>
          </w:tcPr>
          <w:p>
            <w:pPr>
              <w:spacing w:after="0"/>
              <w:rPr>
                <w:sz w:val="20"/>
                <w:szCs w:val="20"/>
                <w:color w:val="auto"/>
              </w:rPr>
            </w:pPr>
            <w:r>
              <w:rPr>
                <w:rFonts w:ascii="Arial" w:cs="Arial" w:eastAsia="Arial" w:hAnsi="Arial"/>
                <w:sz w:val="18"/>
                <w:szCs w:val="18"/>
                <w:color w:val="auto"/>
              </w:rPr>
              <w:t>Effect of goodwill and other intangibles</w:t>
            </w:r>
          </w:p>
        </w:tc>
        <w:tc>
          <w:tcPr>
            <w:tcW w:w="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.07</w:t>
            </w:r>
          </w:p>
        </w:tc>
        <w:tc>
          <w:tcPr>
            <w:tcW w:w="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.09</w:t>
            </w: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4"/>
        </w:trPr>
        <w:tc>
          <w:tcPr>
            <w:tcW w:w="3500" w:type="dxa"/>
            <w:vAlign w:val="bottom"/>
          </w:tcPr>
          <w:p>
            <w:pPr>
              <w:ind w:left="180"/>
              <w:spacing w:after="0"/>
              <w:rPr>
                <w:sz w:val="20"/>
                <w:szCs w:val="20"/>
                <w:color w:val="auto"/>
              </w:rPr>
            </w:pPr>
            <w:r>
              <w:rPr>
                <w:rFonts w:ascii="Arial" w:cs="Arial" w:eastAsia="Arial" w:hAnsi="Arial"/>
                <w:sz w:val="18"/>
                <w:szCs w:val="18"/>
                <w:color w:val="auto"/>
              </w:rPr>
              <w:t>Equity to assets (GAAP)</w:t>
            </w:r>
          </w:p>
        </w:tc>
        <w:tc>
          <w:tcPr>
            <w:tcW w:w="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11.57%</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8.60%</w:t>
            </w: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8.63%</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8.75%</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8.33%</w:t>
            </w: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8.90%</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8.26%</w:t>
            </w:r>
          </w:p>
        </w:tc>
        <w:tc>
          <w:tcPr>
            <w:tcW w:w="0" w:type="dxa"/>
            <w:vAlign w:val="bottom"/>
          </w:tcPr>
          <w:p>
            <w:pPr>
              <w:spacing w:after="0"/>
              <w:rPr>
                <w:sz w:val="1"/>
                <w:szCs w:val="1"/>
                <w:color w:val="auto"/>
              </w:rPr>
            </w:pPr>
          </w:p>
        </w:tc>
      </w:tr>
      <w:tr>
        <w:trPr>
          <w:trHeight w:val="20"/>
        </w:trPr>
        <w:tc>
          <w:tcPr>
            <w:tcW w:w="3540" w:type="dxa"/>
            <w:vAlign w:val="bottom"/>
            <w:gridSpan w:val="2"/>
          </w:tcPr>
          <w:p>
            <w:pPr>
              <w:spacing w:after="0" w:line="20" w:lineRule="exact"/>
              <w:rPr>
                <w:sz w:val="1"/>
                <w:szCs w:val="1"/>
                <w:color w:val="auto"/>
              </w:rPr>
            </w:pPr>
          </w:p>
        </w:tc>
        <w:tc>
          <w:tcPr>
            <w:tcW w:w="10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08"/>
        </w:trPr>
        <w:tc>
          <w:tcPr>
            <w:tcW w:w="4800" w:type="dxa"/>
            <w:vAlign w:val="bottom"/>
            <w:gridSpan w:val="6"/>
          </w:tcPr>
          <w:p>
            <w:pPr>
              <w:spacing w:after="0"/>
              <w:rPr>
                <w:sz w:val="20"/>
                <w:szCs w:val="20"/>
                <w:color w:val="auto"/>
              </w:rPr>
            </w:pPr>
            <w:r>
              <w:rPr>
                <w:rFonts w:ascii="Arial" w:cs="Arial" w:eastAsia="Arial" w:hAnsi="Arial"/>
                <w:sz w:val="18"/>
                <w:szCs w:val="18"/>
                <w:b w:val="1"/>
                <w:bCs w:val="1"/>
                <w:color w:val="auto"/>
                <w:w w:val="88"/>
              </w:rPr>
              <w:t>Tangible common equity to risk-weighted assets reconciliation</w:t>
            </w: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3500" w:type="dxa"/>
            <w:vAlign w:val="bottom"/>
          </w:tcPr>
          <w:p>
            <w:pPr>
              <w:spacing w:after="0"/>
              <w:rPr>
                <w:sz w:val="20"/>
                <w:szCs w:val="20"/>
                <w:color w:val="auto"/>
              </w:rPr>
            </w:pPr>
            <w:r>
              <w:rPr>
                <w:rFonts w:ascii="Arial" w:cs="Arial" w:eastAsia="Arial" w:hAnsi="Arial"/>
                <w:sz w:val="18"/>
                <w:szCs w:val="18"/>
                <w:color w:val="auto"/>
                <w:w w:val="90"/>
              </w:rPr>
              <w:t>Tangible common equity to risk-weighted assets</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13.16%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8.45%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8.26%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8.44%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8.37%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13.16%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8.37%</w:t>
            </w:r>
          </w:p>
        </w:tc>
        <w:tc>
          <w:tcPr>
            <w:tcW w:w="0" w:type="dxa"/>
            <w:vAlign w:val="bottom"/>
          </w:tcPr>
          <w:p>
            <w:pPr>
              <w:spacing w:after="0"/>
              <w:rPr>
                <w:sz w:val="1"/>
                <w:szCs w:val="1"/>
                <w:color w:val="auto"/>
              </w:rPr>
            </w:pPr>
          </w:p>
        </w:tc>
      </w:tr>
      <w:tr>
        <w:trPr>
          <w:trHeight w:val="214"/>
        </w:trPr>
        <w:tc>
          <w:tcPr>
            <w:tcW w:w="3500" w:type="dxa"/>
            <w:vAlign w:val="bottom"/>
          </w:tcPr>
          <w:p>
            <w:pPr>
              <w:spacing w:after="0"/>
              <w:rPr>
                <w:sz w:val="20"/>
                <w:szCs w:val="20"/>
                <w:color w:val="auto"/>
              </w:rPr>
            </w:pPr>
            <w:r>
              <w:rPr>
                <w:rFonts w:ascii="Arial" w:cs="Arial" w:eastAsia="Arial" w:hAnsi="Arial"/>
                <w:sz w:val="18"/>
                <w:szCs w:val="18"/>
                <w:color w:val="auto"/>
              </w:rPr>
              <w:t>Effect of other comprehensive income</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ind w:right="71"/>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ind w:right="71"/>
              <w:spacing w:after="0"/>
              <w:rPr>
                <w:sz w:val="20"/>
                <w:szCs w:val="20"/>
                <w:color w:val="auto"/>
              </w:rPr>
            </w:pPr>
            <w:r>
              <w:rPr>
                <w:rFonts w:ascii="Arial" w:cs="Arial" w:eastAsia="Arial" w:hAnsi="Arial"/>
                <w:sz w:val="18"/>
                <w:szCs w:val="18"/>
                <w:color w:val="auto"/>
              </w:rPr>
              <w:t>.49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ind w:right="71"/>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ind w:right="71"/>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ind w:right="91"/>
              <w:spacing w:after="0"/>
              <w:rPr>
                <w:sz w:val="20"/>
                <w:szCs w:val="20"/>
                <w:color w:val="auto"/>
              </w:rPr>
            </w:pPr>
            <w:r>
              <w:rPr>
                <w:rFonts w:ascii="Arial" w:cs="Arial" w:eastAsia="Arial" w:hAnsi="Arial"/>
                <w:sz w:val="18"/>
                <w:szCs w:val="18"/>
                <w:color w:val="auto"/>
              </w:rPr>
              <w:t>.28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ind w:right="71"/>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ind w:right="71"/>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4"/>
        </w:trPr>
        <w:tc>
          <w:tcPr>
            <w:tcW w:w="3500" w:type="dxa"/>
            <w:vAlign w:val="bottom"/>
          </w:tcPr>
          <w:p>
            <w:pPr>
              <w:spacing w:after="0"/>
              <w:rPr>
                <w:sz w:val="20"/>
                <w:szCs w:val="20"/>
                <w:color w:val="auto"/>
              </w:rPr>
            </w:pPr>
            <w:r>
              <w:rPr>
                <w:rFonts w:ascii="Arial" w:cs="Arial" w:eastAsia="Arial" w:hAnsi="Arial"/>
                <w:sz w:val="18"/>
                <w:szCs w:val="18"/>
                <w:color w:val="auto"/>
              </w:rPr>
              <w:t>Effect of deferred tax limitation</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(4.99)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ind w:right="91"/>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(4.99)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4"/>
        </w:trPr>
        <w:tc>
          <w:tcPr>
            <w:tcW w:w="3500" w:type="dxa"/>
            <w:vAlign w:val="bottom"/>
          </w:tcPr>
          <w:p>
            <w:pPr>
              <w:spacing w:after="0"/>
              <w:rPr>
                <w:sz w:val="20"/>
                <w:szCs w:val="20"/>
                <w:color w:val="auto"/>
              </w:rPr>
            </w:pPr>
            <w:r>
              <w:rPr>
                <w:rFonts w:ascii="Arial" w:cs="Arial" w:eastAsia="Arial" w:hAnsi="Arial"/>
                <w:sz w:val="18"/>
                <w:szCs w:val="18"/>
                <w:color w:val="auto"/>
              </w:rPr>
              <w:t>Effect of trust preferred</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ind w:right="71"/>
              <w:spacing w:after="0"/>
              <w:rPr>
                <w:sz w:val="20"/>
                <w:szCs w:val="20"/>
                <w:color w:val="auto"/>
              </w:rPr>
            </w:pPr>
            <w:r>
              <w:rPr>
                <w:rFonts w:ascii="Arial" w:cs="Arial" w:eastAsia="Arial" w:hAnsi="Arial"/>
                <w:sz w:val="18"/>
                <w:szCs w:val="18"/>
                <w:color w:val="auto"/>
              </w:rPr>
              <w:t>1.11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ind w:right="71"/>
              <w:spacing w:after="0"/>
              <w:rPr>
                <w:sz w:val="20"/>
                <w:szCs w:val="20"/>
                <w:color w:val="auto"/>
              </w:rPr>
            </w:pPr>
            <w:r>
              <w:rPr>
                <w:rFonts w:ascii="Arial" w:cs="Arial" w:eastAsia="Arial" w:hAnsi="Arial"/>
                <w:sz w:val="18"/>
                <w:szCs w:val="18"/>
                <w:color w:val="auto"/>
              </w:rPr>
              <w:t>1.15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ind w:right="71"/>
              <w:spacing w:after="0"/>
              <w:rPr>
                <w:sz w:val="20"/>
                <w:szCs w:val="20"/>
                <w:color w:val="auto"/>
              </w:rPr>
            </w:pPr>
            <w:r>
              <w:rPr>
                <w:rFonts w:ascii="Arial" w:cs="Arial" w:eastAsia="Arial" w:hAnsi="Arial"/>
                <w:sz w:val="18"/>
                <w:szCs w:val="18"/>
                <w:color w:val="auto"/>
              </w:rPr>
              <w:t>1.15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ind w:right="71"/>
              <w:spacing w:after="0"/>
              <w:rPr>
                <w:sz w:val="20"/>
                <w:szCs w:val="20"/>
                <w:color w:val="auto"/>
              </w:rPr>
            </w:pPr>
            <w:r>
              <w:rPr>
                <w:rFonts w:ascii="Arial" w:cs="Arial" w:eastAsia="Arial" w:hAnsi="Arial"/>
                <w:sz w:val="18"/>
                <w:szCs w:val="18"/>
                <w:color w:val="auto"/>
              </w:rPr>
              <w:t>1.17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ind w:right="91"/>
              <w:spacing w:after="0"/>
              <w:rPr>
                <w:sz w:val="20"/>
                <w:szCs w:val="20"/>
                <w:color w:val="auto"/>
              </w:rPr>
            </w:pPr>
            <w:r>
              <w:rPr>
                <w:rFonts w:ascii="Arial" w:cs="Arial" w:eastAsia="Arial" w:hAnsi="Arial"/>
                <w:sz w:val="18"/>
                <w:szCs w:val="18"/>
                <w:color w:val="auto"/>
              </w:rPr>
              <w:t>1.19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ind w:right="71"/>
              <w:spacing w:after="0"/>
              <w:rPr>
                <w:sz w:val="20"/>
                <w:szCs w:val="20"/>
                <w:color w:val="auto"/>
              </w:rPr>
            </w:pPr>
            <w:r>
              <w:rPr>
                <w:rFonts w:ascii="Arial" w:cs="Arial" w:eastAsia="Arial" w:hAnsi="Arial"/>
                <w:sz w:val="18"/>
                <w:szCs w:val="18"/>
                <w:color w:val="auto"/>
              </w:rPr>
              <w:t>1.11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ind w:right="71"/>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35"/>
        </w:trPr>
        <w:tc>
          <w:tcPr>
            <w:tcW w:w="3500" w:type="dxa"/>
            <w:vAlign w:val="bottom"/>
          </w:tcPr>
          <w:p>
            <w:pPr>
              <w:spacing w:after="0"/>
              <w:rPr>
                <w:sz w:val="20"/>
                <w:szCs w:val="20"/>
                <w:color w:val="auto"/>
              </w:rPr>
            </w:pPr>
            <w:r>
              <w:rPr>
                <w:rFonts w:ascii="Arial" w:cs="Arial" w:eastAsia="Arial" w:hAnsi="Arial"/>
                <w:sz w:val="18"/>
                <w:szCs w:val="18"/>
                <w:color w:val="auto"/>
              </w:rPr>
              <w:t>Effect of preferred equity</w:t>
            </w:r>
          </w:p>
        </w:tc>
        <w:tc>
          <w:tcPr>
            <w:tcW w:w="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4.11</w:t>
            </w: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4.22</w:t>
            </w:r>
          </w:p>
        </w:tc>
        <w:tc>
          <w:tcPr>
            <w:tcW w:w="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4.24</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4.29</w:t>
            </w: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4.35</w:t>
            </w: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4.11</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4.35</w:t>
            </w:r>
          </w:p>
        </w:tc>
        <w:tc>
          <w:tcPr>
            <w:tcW w:w="0" w:type="dxa"/>
            <w:vAlign w:val="bottom"/>
          </w:tcPr>
          <w:p>
            <w:pPr>
              <w:spacing w:after="0"/>
              <w:rPr>
                <w:sz w:val="1"/>
                <w:szCs w:val="1"/>
                <w:color w:val="auto"/>
              </w:rPr>
            </w:pPr>
          </w:p>
        </w:tc>
      </w:tr>
      <w:tr>
        <w:trPr>
          <w:trHeight w:val="214"/>
        </w:trPr>
        <w:tc>
          <w:tcPr>
            <w:tcW w:w="3500" w:type="dxa"/>
            <w:vAlign w:val="bottom"/>
          </w:tcPr>
          <w:p>
            <w:pPr>
              <w:ind w:left="180"/>
              <w:spacing w:after="0"/>
              <w:rPr>
                <w:sz w:val="20"/>
                <w:szCs w:val="20"/>
                <w:color w:val="auto"/>
              </w:rPr>
            </w:pPr>
            <w:r>
              <w:rPr>
                <w:rFonts w:ascii="Arial" w:cs="Arial" w:eastAsia="Arial" w:hAnsi="Arial"/>
                <w:sz w:val="18"/>
                <w:szCs w:val="18"/>
                <w:color w:val="auto"/>
              </w:rPr>
              <w:t>Tier I capital ratio (Regulatory)</w:t>
            </w:r>
          </w:p>
        </w:tc>
        <w:tc>
          <w:tcPr>
            <w:tcW w:w="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13.68%</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14.31%</w:t>
            </w: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14.16%</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14.26%</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14.19%</w:t>
            </w: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13.68%</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14.19%</w:t>
            </w: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1"/>
        </w:trPr>
        <w:tc>
          <w:tcPr>
            <w:tcW w:w="3500" w:type="dxa"/>
            <w:vAlign w:val="bottom"/>
            <w:tcBorders>
              <w:bottom w:val="single" w:sz="8" w:color="DCDCDC"/>
            </w:tcBorders>
          </w:tcPr>
          <w:p>
            <w:pPr>
              <w:spacing w:after="0"/>
              <w:rPr>
                <w:sz w:val="24"/>
                <w:szCs w:val="24"/>
                <w:color w:val="auto"/>
              </w:rPr>
            </w:pPr>
          </w:p>
        </w:tc>
        <w:tc>
          <w:tcPr>
            <w:tcW w:w="40" w:type="dxa"/>
            <w:vAlign w:val="bottom"/>
            <w:tcBorders>
              <w:bottom w:val="single" w:sz="8" w:color="DCDCDC"/>
            </w:tcBorders>
          </w:tcPr>
          <w:p>
            <w:pPr>
              <w:spacing w:after="0"/>
              <w:rPr>
                <w:sz w:val="24"/>
                <w:szCs w:val="24"/>
                <w:color w:val="auto"/>
              </w:rPr>
            </w:pPr>
          </w:p>
        </w:tc>
        <w:tc>
          <w:tcPr>
            <w:tcW w:w="100" w:type="dxa"/>
            <w:vAlign w:val="bottom"/>
            <w:tcBorders>
              <w:bottom w:val="single" w:sz="8" w:color="DCDCDC"/>
            </w:tcBorders>
          </w:tcPr>
          <w:p>
            <w:pPr>
              <w:spacing w:after="0"/>
              <w:rPr>
                <w:sz w:val="24"/>
                <w:szCs w:val="24"/>
                <w:color w:val="auto"/>
              </w:rPr>
            </w:pPr>
          </w:p>
        </w:tc>
        <w:tc>
          <w:tcPr>
            <w:tcW w:w="960" w:type="dxa"/>
            <w:vAlign w:val="bottom"/>
            <w:tcBorders>
              <w:bottom w:val="single" w:sz="8" w:color="DCDCDC"/>
            </w:tcBorders>
          </w:tcPr>
          <w:p>
            <w:pPr>
              <w:spacing w:after="0"/>
              <w:rPr>
                <w:sz w:val="24"/>
                <w:szCs w:val="24"/>
                <w:color w:val="auto"/>
              </w:rPr>
            </w:pPr>
          </w:p>
        </w:tc>
        <w:tc>
          <w:tcPr>
            <w:tcW w:w="100" w:type="dxa"/>
            <w:vAlign w:val="bottom"/>
            <w:tcBorders>
              <w:bottom w:val="single" w:sz="8" w:color="DCDCDC"/>
            </w:tcBorders>
          </w:tcPr>
          <w:p>
            <w:pPr>
              <w:spacing w:after="0"/>
              <w:rPr>
                <w:sz w:val="24"/>
                <w:szCs w:val="24"/>
                <w:color w:val="auto"/>
              </w:rPr>
            </w:pPr>
          </w:p>
        </w:tc>
        <w:tc>
          <w:tcPr>
            <w:tcW w:w="100" w:type="dxa"/>
            <w:vAlign w:val="bottom"/>
            <w:tcBorders>
              <w:bottom w:val="single" w:sz="8" w:color="DCDCDC"/>
            </w:tcBorders>
          </w:tcPr>
          <w:p>
            <w:pPr>
              <w:spacing w:after="0"/>
              <w:rPr>
                <w:sz w:val="24"/>
                <w:szCs w:val="24"/>
                <w:color w:val="auto"/>
              </w:rPr>
            </w:pPr>
          </w:p>
        </w:tc>
        <w:tc>
          <w:tcPr>
            <w:tcW w:w="1040" w:type="dxa"/>
            <w:vAlign w:val="bottom"/>
            <w:tcBorders>
              <w:bottom w:val="single" w:sz="8" w:color="DCDCDC"/>
            </w:tcBorders>
            <w:gridSpan w:val="2"/>
          </w:tcPr>
          <w:p>
            <w:pPr>
              <w:jc w:val="right"/>
              <w:ind w:right="40"/>
              <w:spacing w:after="0"/>
              <w:rPr>
                <w:sz w:val="20"/>
                <w:szCs w:val="20"/>
                <w:color w:val="auto"/>
              </w:rPr>
            </w:pPr>
            <w:r>
              <w:rPr>
                <w:rFonts w:ascii="Arial" w:cs="Arial" w:eastAsia="Arial" w:hAnsi="Arial"/>
                <w:sz w:val="18"/>
                <w:szCs w:val="18"/>
                <w:color w:val="auto"/>
              </w:rPr>
              <w:t>41</w:t>
            </w:r>
          </w:p>
        </w:tc>
        <w:tc>
          <w:tcPr>
            <w:tcW w:w="120" w:type="dxa"/>
            <w:vAlign w:val="bottom"/>
            <w:tcBorders>
              <w:bottom w:val="single" w:sz="8" w:color="DCDCDC"/>
            </w:tcBorders>
          </w:tcPr>
          <w:p>
            <w:pPr>
              <w:spacing w:after="0"/>
              <w:rPr>
                <w:sz w:val="24"/>
                <w:szCs w:val="24"/>
                <w:color w:val="auto"/>
              </w:rPr>
            </w:pPr>
          </w:p>
        </w:tc>
        <w:tc>
          <w:tcPr>
            <w:tcW w:w="940" w:type="dxa"/>
            <w:vAlign w:val="bottom"/>
            <w:tcBorders>
              <w:bottom w:val="single" w:sz="8" w:color="DCDCDC"/>
            </w:tcBorders>
          </w:tcPr>
          <w:p>
            <w:pPr>
              <w:spacing w:after="0"/>
              <w:rPr>
                <w:sz w:val="24"/>
                <w:szCs w:val="24"/>
                <w:color w:val="auto"/>
              </w:rPr>
            </w:pPr>
          </w:p>
        </w:tc>
        <w:tc>
          <w:tcPr>
            <w:tcW w:w="100" w:type="dxa"/>
            <w:vAlign w:val="bottom"/>
            <w:tcBorders>
              <w:bottom w:val="single" w:sz="8" w:color="DCDCDC"/>
            </w:tcBorders>
          </w:tcPr>
          <w:p>
            <w:pPr>
              <w:spacing w:after="0"/>
              <w:rPr>
                <w:sz w:val="24"/>
                <w:szCs w:val="24"/>
                <w:color w:val="auto"/>
              </w:rPr>
            </w:pPr>
          </w:p>
        </w:tc>
        <w:tc>
          <w:tcPr>
            <w:tcW w:w="120" w:type="dxa"/>
            <w:vAlign w:val="bottom"/>
            <w:tcBorders>
              <w:bottom w:val="single" w:sz="8" w:color="DCDCDC"/>
            </w:tcBorders>
          </w:tcPr>
          <w:p>
            <w:pPr>
              <w:spacing w:after="0"/>
              <w:rPr>
                <w:sz w:val="24"/>
                <w:szCs w:val="24"/>
                <w:color w:val="auto"/>
              </w:rPr>
            </w:pPr>
          </w:p>
        </w:tc>
        <w:tc>
          <w:tcPr>
            <w:tcW w:w="940" w:type="dxa"/>
            <w:vAlign w:val="bottom"/>
            <w:tcBorders>
              <w:bottom w:val="single" w:sz="8" w:color="DCDCDC"/>
            </w:tcBorders>
          </w:tcPr>
          <w:p>
            <w:pPr>
              <w:spacing w:after="0"/>
              <w:rPr>
                <w:sz w:val="24"/>
                <w:szCs w:val="24"/>
                <w:color w:val="auto"/>
              </w:rPr>
            </w:pPr>
          </w:p>
        </w:tc>
        <w:tc>
          <w:tcPr>
            <w:tcW w:w="100" w:type="dxa"/>
            <w:vAlign w:val="bottom"/>
            <w:tcBorders>
              <w:bottom w:val="single" w:sz="8" w:color="DCDCDC"/>
            </w:tcBorders>
          </w:tcPr>
          <w:p>
            <w:pPr>
              <w:spacing w:after="0"/>
              <w:rPr>
                <w:sz w:val="24"/>
                <w:szCs w:val="24"/>
                <w:color w:val="auto"/>
              </w:rPr>
            </w:pPr>
          </w:p>
        </w:tc>
        <w:tc>
          <w:tcPr>
            <w:tcW w:w="100" w:type="dxa"/>
            <w:vAlign w:val="bottom"/>
            <w:tcBorders>
              <w:bottom w:val="single" w:sz="8" w:color="DCDCDC"/>
            </w:tcBorders>
          </w:tcPr>
          <w:p>
            <w:pPr>
              <w:spacing w:after="0"/>
              <w:rPr>
                <w:sz w:val="24"/>
                <w:szCs w:val="24"/>
                <w:color w:val="auto"/>
              </w:rPr>
            </w:pPr>
          </w:p>
        </w:tc>
        <w:tc>
          <w:tcPr>
            <w:tcW w:w="960" w:type="dxa"/>
            <w:vAlign w:val="bottom"/>
            <w:tcBorders>
              <w:bottom w:val="single" w:sz="8" w:color="DCDCDC"/>
            </w:tcBorders>
          </w:tcPr>
          <w:p>
            <w:pPr>
              <w:spacing w:after="0"/>
              <w:rPr>
                <w:sz w:val="24"/>
                <w:szCs w:val="24"/>
                <w:color w:val="auto"/>
              </w:rPr>
            </w:pPr>
          </w:p>
        </w:tc>
        <w:tc>
          <w:tcPr>
            <w:tcW w:w="80" w:type="dxa"/>
            <w:vAlign w:val="bottom"/>
            <w:tcBorders>
              <w:bottom w:val="single" w:sz="8" w:color="DCDCDC"/>
            </w:tcBorders>
          </w:tcPr>
          <w:p>
            <w:pPr>
              <w:spacing w:after="0"/>
              <w:rPr>
                <w:sz w:val="24"/>
                <w:szCs w:val="24"/>
                <w:color w:val="auto"/>
              </w:rPr>
            </w:pPr>
          </w:p>
        </w:tc>
        <w:tc>
          <w:tcPr>
            <w:tcW w:w="160" w:type="dxa"/>
            <w:vAlign w:val="bottom"/>
            <w:tcBorders>
              <w:bottom w:val="single" w:sz="8" w:color="DCDCDC"/>
            </w:tcBorders>
          </w:tcPr>
          <w:p>
            <w:pPr>
              <w:spacing w:after="0"/>
              <w:rPr>
                <w:sz w:val="24"/>
                <w:szCs w:val="24"/>
                <w:color w:val="auto"/>
              </w:rPr>
            </w:pPr>
          </w:p>
        </w:tc>
        <w:tc>
          <w:tcPr>
            <w:tcW w:w="860" w:type="dxa"/>
            <w:vAlign w:val="bottom"/>
            <w:tcBorders>
              <w:bottom w:val="single" w:sz="8" w:color="DCDCDC"/>
            </w:tcBorders>
          </w:tcPr>
          <w:p>
            <w:pPr>
              <w:spacing w:after="0"/>
              <w:rPr>
                <w:sz w:val="24"/>
                <w:szCs w:val="24"/>
                <w:color w:val="auto"/>
              </w:rPr>
            </w:pPr>
          </w:p>
        </w:tc>
        <w:tc>
          <w:tcPr>
            <w:tcW w:w="100" w:type="dxa"/>
            <w:vAlign w:val="bottom"/>
            <w:tcBorders>
              <w:bottom w:val="single" w:sz="8" w:color="DCDCDC"/>
            </w:tcBorders>
          </w:tcPr>
          <w:p>
            <w:pPr>
              <w:spacing w:after="0"/>
              <w:rPr>
                <w:sz w:val="24"/>
                <w:szCs w:val="24"/>
                <w:color w:val="auto"/>
              </w:rPr>
            </w:pPr>
          </w:p>
        </w:tc>
        <w:tc>
          <w:tcPr>
            <w:tcW w:w="160" w:type="dxa"/>
            <w:vAlign w:val="bottom"/>
            <w:tcBorders>
              <w:bottom w:val="single" w:sz="8" w:color="DCDCDC"/>
            </w:tcBorders>
          </w:tcPr>
          <w:p>
            <w:pPr>
              <w:spacing w:after="0"/>
              <w:rPr>
                <w:sz w:val="24"/>
                <w:szCs w:val="24"/>
                <w:color w:val="auto"/>
              </w:rPr>
            </w:pPr>
          </w:p>
        </w:tc>
        <w:tc>
          <w:tcPr>
            <w:tcW w:w="840" w:type="dxa"/>
            <w:vAlign w:val="bottom"/>
            <w:tcBorders>
              <w:bottom w:val="single" w:sz="8" w:color="DCDCDC"/>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26" w:right="23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color w:val="auto"/>
        </w:rPr>
        <w:t>Results of Operations</w:t>
      </w:r>
    </w:p>
    <w:p>
      <w:pPr>
        <w:spacing w:after="0" w:line="25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United reported net income of $230 million for the second quarter of 2013. This compared to net income of $6.50 million for the same period in 2012. For the second quarter of 2013, diluted earnings per common share was $3.90 compared to $.06 for the second quarter of 2012. For the six months ended June 30, 2013, United reported net income of $242 million compared to net income of $18.0 million for the same period in 2012. Diluted earnings per common share was $4.05 for the six months ended June 30, 2013, compared to diluted earnings per common share of $.21 for the six months ended June 30, 2012. Net income and earnings per share for the three and six months ended June 30, 2013 are elevated by the recognition of United’s substantial tax benefits with the reversal of United’s deferred tax asset valuation allowance. The effect of the tax benefit on net income was partially offset by higher net charge-offs and a pre-tax loss resulting from the accelerated disposition of classified assets in the second quarter of 2013.</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Interest Revenue (Taxable Equivalent)</w:t>
      </w:r>
    </w:p>
    <w:p>
      <w:pPr>
        <w:spacing w:after="0" w:line="25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Net interest revenue (the difference between the interest earned on assets and the interest paid on deposits and borrowed funds) is the single largest component of total revenue. United actively manages this revenue source to provide optimal levels of revenue while balancing interest rate, credit and liquidity risks. Taxable equivalent net interest revenue for the three months ended June 30, 2013 was $54.6 million, down $2.27 million, or 4%, from the second quarter of 2012. The decrease in net interest revenue for the second quarter of 2013 compared to the second quarter of 2012 was mostly due to lower yields on loan and securities portfolios and a smaller average balance of interest-earning assets. United continues its intense focus on loan and deposit pricing in an effort to maintain a steady level of net interest revenue.</w:t>
      </w:r>
    </w:p>
    <w:p>
      <w:pPr>
        <w:spacing w:after="0" w:line="21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While average loans increased $97.7 million, or 2%, from the second quarter of last year, the yield on loans decreased 46 basis points. The decreasing balances in the loan portfolio stabilized in 2012 and United began achieving modest loan growth; however, there is a high level of competition for quality lending relationships, which continues to put pressure on loan pricing. The increase in residential real estate loans is primarily the result of the promotion of a new home equity line product in mid-2012 and the introduction of a new low-cost mortgage product in early 2013; however, the low introductory rate on these products also contributed to the lower yield on average loans.</w:t>
      </w:r>
    </w:p>
    <w:p>
      <w:pPr>
        <w:spacing w:after="0" w:line="218"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Average interest-earning assets for the second quarter of 2013 decreased $57.5 million, or 1%, from the same period in 2012, due primarily to the decrease in reverse repurchase agreements included in average short-term investments. The average yield on interest-earning assets for the three months ended June 30, 2013 was 3.74%, down 29 basis points from 4.03% for the same period of 2012. For the second quarter of 2013, the yield on loans decreased 46 basis points due to competitive loan pricing pressures and the yield on securities decreased 27 basis points from the same period a year ago, as management was unable to reinvest the cash proceeds of maturing securities at yields comparable to those of the securities they replaced. Partially offsetting the lower loan and securities yields was a higher average yield on other interest-earnings assets due to the use of reverse repurchase agreements including collateral swap transactions where United enters into a repurchase agreement and reverse repurchase agreement simultaneously with the same counterparty subject to a master netting agreement. In these transactions, the offsetting balances are netted on the balance sheet.</w:t>
      </w:r>
    </w:p>
    <w:p>
      <w:pPr>
        <w:spacing w:after="0" w:line="19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Average interest-bearing liabilities decreased $315 million, or 6%, from the second quarter of 2012 due to the rolling off of higher-cost brokered deposits and certificates of deposit as noninterest bearing demand deposits increased $204 million and overall funding needs decreased. The average rate on interest-bearing liabilities for the second quarter of 2013 was .58% compared to .76% for the same period of 2012, reflecting United’s concerted efforts to reduce deposit pricing. Also contributing to the overall lower rate on interest-bearing liabilities was a shift in the mix of deposits away from more expensive time deposits toward lower-rate transaction deposits. United was able to reduce the rate on brokered deposits in the second quarter of 2013 to a negative .05% by swapping the fixed rate on brokered time deposits to LIBOR minus a spread.</w:t>
      </w:r>
    </w:p>
    <w:p>
      <w:pPr>
        <w:spacing w:after="0" w:line="21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banking industry uses two ratios to measure relative profitability of net interest revenue. The net interest spread measures the difference between the average yield on interest-earning assets and the average rate paid on interest-bearing liabilities. The interest rate spread eliminates the effect of non-interest-bearing deposits and gives a direct perspective on the effect of market interest rate movements. The net interest margin is an indication of the profitability of a company’s balance sheet, and is defined as net interest revenue as a percent of average total interest-earning assets, which includes the positive effect of funding a portion of interest-earning assets with customers’ non-interest-bearing deposits and stockholders’ equity.</w:t>
      </w:r>
    </w:p>
    <w:p>
      <w:pPr>
        <w:spacing w:after="0" w:line="205"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For the three months ended June 30, 2013 and 2012, the net interest spread was 3.16% and 3.27%, respectively, while the net interest margin was 3.31% and 3.43%, respectively. The decline in both ratios is due to lower yields on securities and loans, which were not completely offset by the decrease in rates paid for deposits and other interest bearing liabilities.</w:t>
      </w:r>
    </w:p>
    <w:p>
      <w:pPr>
        <w:spacing w:after="0" w:line="211"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For the first six months of 2013, net interest revenue was $109 million, a decrease of $6.48 million, or 6%, from the first six months of 2012. Average earning assets decreased $105 million, or 2%, during the first six months of 2013, compared to the same period a year earlier. The yield on earning assets decreased 33 basis points from 4.12% for the six months ended June 30, 2012, to 3.79% for the six months ended June 30, 2013, due to declining loan and securities yields. The lower loan portfolio yield reflects competitive pricing pressure on new and renewed loans and new retail product offerings with low introductory rates. The lower investment securities yield was due to reinvestment of cash flows at record low rates. The rate on interest bearing liabilities over the same period decreased 21 basis points. The combined effect of the lower yield on interest earning assets, which was not completely offset by a reduction in rates paid on interest bearing liabilities resulted in the net interest margin decreasing 14 basis points from the six months ended June 30, 2012 to the six months ended June 30, 2013.</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13970</wp:posOffset>
            </wp:positionV>
            <wp:extent cx="724789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7890" cy="8255"/>
                    </a:xfrm>
                    <a:prstGeom prst="rect">
                      <a:avLst/>
                    </a:prstGeom>
                    <a:noFill/>
                  </pic:spPr>
                </pic:pic>
              </a:graphicData>
            </a:graphic>
          </wp:anchor>
        </w:drawing>
      </w:r>
    </w:p>
    <w:p>
      <w:pPr>
        <w:sectPr>
          <w:pgSz w:w="11900" w:h="16838" w:orient="portrait"/>
          <w:cols w:equalWidth="0" w:num="1">
            <w:col w:w="11420"/>
          </w:cols>
          <w:pgMar w:left="240" w:top="912" w:right="239" w:bottom="1440" w:gutter="0" w:footer="0" w:header="0"/>
        </w:sectPr>
      </w:pPr>
    </w:p>
    <w:bookmarkStart w:id="47" w:name="page48"/>
    <w:bookmarkEnd w:id="47"/>
    <w:p>
      <w:pPr>
        <w:spacing w:after="0" w:line="271" w:lineRule="auto"/>
        <w:rPr>
          <w:sz w:val="20"/>
          <w:szCs w:val="20"/>
          <w:color w:val="auto"/>
        </w:rPr>
      </w:pPr>
      <w:r>
        <w:rPr>
          <w:rFonts w:ascii="Arial" w:cs="Arial" w:eastAsia="Arial" w:hAnsi="Arial"/>
          <w:sz w:val="18"/>
          <w:szCs w:val="18"/>
          <w:color w:val="auto"/>
        </w:rPr>
        <w:t>The following table shows the relationship between interest revenue and expense, and the average amounts of interest-earning assets and interest-bearing liabilities for the three months ended June 30, 2013 and 2012.</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2 - Average Consolidated Balance Sheets and Net Interest Analysis</w:t>
      </w:r>
    </w:p>
    <w:p>
      <w:pPr>
        <w:spacing w:after="0" w:line="24" w:lineRule="exact"/>
        <w:rPr>
          <w:sz w:val="20"/>
          <w:szCs w:val="20"/>
          <w:color w:val="auto"/>
        </w:rPr>
      </w:pPr>
    </w:p>
    <w:p>
      <w:pPr>
        <w:spacing w:after="0"/>
        <w:rPr>
          <w:sz w:val="20"/>
          <w:szCs w:val="20"/>
          <w:color w:val="auto"/>
        </w:rPr>
      </w:pPr>
      <w:r>
        <w:rPr>
          <w:rFonts w:ascii="Arial" w:cs="Arial" w:eastAsia="Arial" w:hAnsi="Arial"/>
          <w:sz w:val="18"/>
          <w:szCs w:val="18"/>
          <w:color w:val="auto"/>
        </w:rPr>
        <w:t>For the Three Months Ended June 30,</w:t>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3840" w:type="dxa"/>
            <w:vAlign w:val="bottom"/>
            <w:tcBorders>
              <w:top w:val="single" w:sz="8" w:color="auto"/>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1000" w:type="dxa"/>
            <w:vAlign w:val="bottom"/>
            <w:tcBorders>
              <w:top w:val="single" w:sz="8" w:color="auto"/>
              <w:bottom w:val="single" w:sz="8" w:color="auto"/>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980" w:type="dxa"/>
            <w:vAlign w:val="bottom"/>
            <w:tcBorders>
              <w:top w:val="single" w:sz="8" w:color="auto"/>
              <w:bottom w:val="single" w:sz="8" w:color="auto"/>
            </w:tcBorders>
          </w:tcPr>
          <w:p>
            <w:pPr>
              <w:jc w:val="right"/>
              <w:ind w:right="371"/>
              <w:spacing w:after="0"/>
              <w:rPr>
                <w:sz w:val="20"/>
                <w:szCs w:val="20"/>
                <w:color w:val="auto"/>
              </w:rPr>
            </w:pPr>
            <w:r>
              <w:rPr>
                <w:rFonts w:ascii="Arial" w:cs="Arial" w:eastAsia="Arial" w:hAnsi="Arial"/>
                <w:sz w:val="18"/>
                <w:szCs w:val="18"/>
                <w:b w:val="1"/>
                <w:bCs w:val="1"/>
                <w:color w:val="auto"/>
              </w:rPr>
              <w:t>2013</w:t>
            </w:r>
          </w:p>
        </w:tc>
        <w:tc>
          <w:tcPr>
            <w:tcW w:w="120" w:type="dxa"/>
            <w:vAlign w:val="bottom"/>
            <w:tcBorders>
              <w:top w:val="single" w:sz="8" w:color="auto"/>
              <w:bottom w:val="single" w:sz="8" w:color="auto"/>
            </w:tcBorders>
          </w:tcPr>
          <w:p>
            <w:pPr>
              <w:spacing w:after="0"/>
              <w:rPr>
                <w:sz w:val="21"/>
                <w:szCs w:val="21"/>
                <w:color w:val="auto"/>
              </w:rPr>
            </w:pPr>
          </w:p>
        </w:tc>
        <w:tc>
          <w:tcPr>
            <w:tcW w:w="1180" w:type="dxa"/>
            <w:vAlign w:val="bottom"/>
            <w:tcBorders>
              <w:top w:val="single" w:sz="8" w:color="auto"/>
              <w:bottom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1040" w:type="dxa"/>
            <w:vAlign w:val="bottom"/>
            <w:tcBorders>
              <w:top w:val="single" w:sz="8" w:color="auto"/>
              <w:bottom w:val="single" w:sz="8" w:color="auto"/>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1000" w:type="dxa"/>
            <w:vAlign w:val="bottom"/>
            <w:tcBorders>
              <w:top w:val="single" w:sz="8" w:color="auto"/>
              <w:bottom w:val="single" w:sz="8" w:color="auto"/>
            </w:tcBorders>
          </w:tcPr>
          <w:p>
            <w:pPr>
              <w:jc w:val="right"/>
              <w:ind w:right="371"/>
              <w:spacing w:after="0"/>
              <w:rPr>
                <w:sz w:val="20"/>
                <w:szCs w:val="20"/>
                <w:color w:val="auto"/>
              </w:rPr>
            </w:pPr>
            <w:r>
              <w:rPr>
                <w:rFonts w:ascii="Arial" w:cs="Arial" w:eastAsia="Arial" w:hAnsi="Arial"/>
                <w:sz w:val="18"/>
                <w:szCs w:val="18"/>
                <w:b w:val="1"/>
                <w:bCs w:val="1"/>
                <w:color w:val="auto"/>
              </w:rPr>
              <w:t>2012</w:t>
            </w:r>
          </w:p>
        </w:tc>
        <w:tc>
          <w:tcPr>
            <w:tcW w:w="120" w:type="dxa"/>
            <w:vAlign w:val="bottom"/>
            <w:tcBorders>
              <w:top w:val="single" w:sz="8" w:color="auto"/>
              <w:bottom w:val="single" w:sz="8" w:color="auto"/>
            </w:tcBorders>
          </w:tcPr>
          <w:p>
            <w:pPr>
              <w:spacing w:after="0"/>
              <w:rPr>
                <w:sz w:val="21"/>
                <w:szCs w:val="21"/>
                <w:color w:val="auto"/>
              </w:rPr>
            </w:pPr>
          </w:p>
        </w:tc>
        <w:tc>
          <w:tcPr>
            <w:tcW w:w="1200" w:type="dxa"/>
            <w:vAlign w:val="bottom"/>
            <w:tcBorders>
              <w:top w:val="single" w:sz="8" w:color="auto"/>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3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jc w:val="right"/>
              <w:ind w:right="231"/>
              <w:spacing w:after="0" w:line="196" w:lineRule="exact"/>
              <w:rPr>
                <w:sz w:val="20"/>
                <w:szCs w:val="20"/>
                <w:color w:val="auto"/>
              </w:rPr>
            </w:pPr>
            <w:r>
              <w:rPr>
                <w:rFonts w:ascii="Arial" w:cs="Arial" w:eastAsia="Arial" w:hAnsi="Arial"/>
                <w:sz w:val="18"/>
                <w:szCs w:val="18"/>
                <w:b w:val="1"/>
                <w:bCs w:val="1"/>
                <w:color w:val="auto"/>
                <w:w w:val="92"/>
              </w:rPr>
              <w:t>Average</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jc w:val="right"/>
              <w:ind w:right="411"/>
              <w:spacing w:after="0" w:line="196" w:lineRule="exact"/>
              <w:rPr>
                <w:sz w:val="20"/>
                <w:szCs w:val="20"/>
                <w:color w:val="auto"/>
              </w:rPr>
            </w:pPr>
            <w:r>
              <w:rPr>
                <w:rFonts w:ascii="Arial" w:cs="Arial" w:eastAsia="Arial" w:hAnsi="Arial"/>
                <w:sz w:val="18"/>
                <w:szCs w:val="18"/>
                <w:b w:val="1"/>
                <w:bCs w:val="1"/>
                <w:color w:val="auto"/>
              </w:rPr>
              <w:t>Avg.</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jc w:val="right"/>
              <w:ind w:right="251"/>
              <w:spacing w:after="0" w:line="196" w:lineRule="exact"/>
              <w:rPr>
                <w:sz w:val="20"/>
                <w:szCs w:val="20"/>
                <w:color w:val="auto"/>
              </w:rPr>
            </w:pPr>
            <w:r>
              <w:rPr>
                <w:rFonts w:ascii="Arial" w:cs="Arial" w:eastAsia="Arial" w:hAnsi="Arial"/>
                <w:sz w:val="18"/>
                <w:szCs w:val="18"/>
                <w:b w:val="1"/>
                <w:bCs w:val="1"/>
                <w:color w:val="auto"/>
                <w:w w:val="95"/>
              </w:rPr>
              <w:t>Average</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jc w:val="right"/>
              <w:ind w:right="431"/>
              <w:spacing w:after="0" w:line="196" w:lineRule="exact"/>
              <w:rPr>
                <w:sz w:val="20"/>
                <w:szCs w:val="20"/>
                <w:color w:val="auto"/>
              </w:rPr>
            </w:pPr>
            <w:r>
              <w:rPr>
                <w:rFonts w:ascii="Arial" w:cs="Arial" w:eastAsia="Arial" w:hAnsi="Arial"/>
                <w:sz w:val="18"/>
                <w:szCs w:val="18"/>
                <w:b w:val="1"/>
                <w:bCs w:val="1"/>
                <w:color w:val="auto"/>
              </w:rPr>
              <w:t>Avg.</w:t>
            </w:r>
          </w:p>
        </w:tc>
        <w:tc>
          <w:tcPr>
            <w:tcW w:w="0" w:type="dxa"/>
            <w:vAlign w:val="bottom"/>
          </w:tcPr>
          <w:p>
            <w:pPr>
              <w:spacing w:after="0"/>
              <w:rPr>
                <w:sz w:val="1"/>
                <w:szCs w:val="1"/>
                <w:color w:val="auto"/>
              </w:rPr>
            </w:pPr>
          </w:p>
        </w:tc>
      </w:tr>
      <w:tr>
        <w:trPr>
          <w:trHeight w:val="239"/>
        </w:trPr>
        <w:tc>
          <w:tcPr>
            <w:tcW w:w="384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(dollars in thousands, taxable equivalent)</w:t>
            </w:r>
          </w:p>
        </w:tc>
        <w:tc>
          <w:tcPr>
            <w:tcW w:w="1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31"/>
              <w:spacing w:after="0"/>
              <w:rPr>
                <w:sz w:val="20"/>
                <w:szCs w:val="20"/>
                <w:color w:val="auto"/>
              </w:rPr>
            </w:pPr>
            <w:r>
              <w:rPr>
                <w:rFonts w:ascii="Arial" w:cs="Arial" w:eastAsia="Arial" w:hAnsi="Arial"/>
                <w:sz w:val="18"/>
                <w:szCs w:val="18"/>
                <w:b w:val="1"/>
                <w:bCs w:val="1"/>
                <w:color w:val="auto"/>
                <w:w w:val="95"/>
              </w:rPr>
              <w:t>Balance</w:t>
            </w:r>
          </w:p>
        </w:tc>
        <w:tc>
          <w:tcPr>
            <w:tcW w:w="1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31"/>
              <w:spacing w:after="0"/>
              <w:rPr>
                <w:sz w:val="20"/>
                <w:szCs w:val="20"/>
                <w:color w:val="auto"/>
              </w:rPr>
            </w:pPr>
            <w:r>
              <w:rPr>
                <w:rFonts w:ascii="Arial" w:cs="Arial" w:eastAsia="Arial" w:hAnsi="Arial"/>
                <w:sz w:val="18"/>
                <w:szCs w:val="18"/>
                <w:b w:val="1"/>
                <w:bCs w:val="1"/>
                <w:color w:val="auto"/>
                <w:w w:val="98"/>
              </w:rPr>
              <w:t>Interest</w:t>
            </w:r>
          </w:p>
        </w:tc>
        <w:tc>
          <w:tcPr>
            <w:tcW w:w="1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11"/>
              <w:spacing w:after="0"/>
              <w:rPr>
                <w:sz w:val="20"/>
                <w:szCs w:val="20"/>
                <w:color w:val="auto"/>
              </w:rPr>
            </w:pPr>
            <w:r>
              <w:rPr>
                <w:rFonts w:ascii="Arial" w:cs="Arial" w:eastAsia="Arial" w:hAnsi="Arial"/>
                <w:sz w:val="18"/>
                <w:szCs w:val="18"/>
                <w:b w:val="1"/>
                <w:bCs w:val="1"/>
                <w:color w:val="auto"/>
              </w:rPr>
              <w:t>Rate</w:t>
            </w: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271"/>
              <w:spacing w:after="0"/>
              <w:rPr>
                <w:sz w:val="20"/>
                <w:szCs w:val="20"/>
                <w:color w:val="auto"/>
              </w:rPr>
            </w:pPr>
            <w:r>
              <w:rPr>
                <w:rFonts w:ascii="Arial" w:cs="Arial" w:eastAsia="Arial" w:hAnsi="Arial"/>
                <w:sz w:val="18"/>
                <w:szCs w:val="18"/>
                <w:b w:val="1"/>
                <w:bCs w:val="1"/>
                <w:color w:val="auto"/>
                <w:w w:val="95"/>
              </w:rPr>
              <w:t>Balance</w:t>
            </w: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51"/>
              <w:spacing w:after="0"/>
              <w:rPr>
                <w:sz w:val="20"/>
                <w:szCs w:val="20"/>
                <w:color w:val="auto"/>
              </w:rPr>
            </w:pPr>
            <w:r>
              <w:rPr>
                <w:rFonts w:ascii="Arial" w:cs="Arial" w:eastAsia="Arial" w:hAnsi="Arial"/>
                <w:sz w:val="18"/>
                <w:szCs w:val="18"/>
                <w:b w:val="1"/>
                <w:bCs w:val="1"/>
                <w:color w:val="auto"/>
                <w:w w:val="98"/>
              </w:rPr>
              <w:t>Interest</w:t>
            </w:r>
          </w:p>
        </w:tc>
        <w:tc>
          <w:tcPr>
            <w:tcW w:w="1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11"/>
              <w:spacing w:after="0"/>
              <w:rPr>
                <w:sz w:val="20"/>
                <w:szCs w:val="20"/>
                <w:color w:val="auto"/>
              </w:rPr>
            </w:pPr>
            <w:r>
              <w:rPr>
                <w:rFonts w:ascii="Arial" w:cs="Arial" w:eastAsia="Arial" w:hAnsi="Arial"/>
                <w:sz w:val="18"/>
                <w:szCs w:val="18"/>
                <w:b w:val="1"/>
                <w:bCs w:val="1"/>
                <w:color w:val="auto"/>
              </w:rPr>
              <w:t>Rate</w:t>
            </w:r>
          </w:p>
        </w:tc>
        <w:tc>
          <w:tcPr>
            <w:tcW w:w="0" w:type="dxa"/>
            <w:vAlign w:val="bottom"/>
          </w:tcPr>
          <w:p>
            <w:pPr>
              <w:spacing w:after="0"/>
              <w:rPr>
                <w:sz w:val="1"/>
                <w:szCs w:val="1"/>
                <w:color w:val="auto"/>
              </w:rPr>
            </w:pPr>
          </w:p>
        </w:tc>
      </w:tr>
      <w:tr>
        <w:trPr>
          <w:trHeight w:val="200"/>
        </w:trPr>
        <w:tc>
          <w:tcPr>
            <w:tcW w:w="3840" w:type="dxa"/>
            <w:vAlign w:val="bottom"/>
          </w:tcPr>
          <w:p>
            <w:pPr>
              <w:spacing w:after="0" w:line="200" w:lineRule="exact"/>
              <w:rPr>
                <w:sz w:val="20"/>
                <w:szCs w:val="20"/>
                <w:color w:val="auto"/>
              </w:rPr>
            </w:pPr>
            <w:r>
              <w:rPr>
                <w:rFonts w:ascii="Arial" w:cs="Arial" w:eastAsia="Arial" w:hAnsi="Arial"/>
                <w:sz w:val="18"/>
                <w:szCs w:val="18"/>
                <w:b w:val="1"/>
                <w:bCs w:val="1"/>
                <w:color w:val="auto"/>
              </w:rPr>
              <w:t>Assets:</w:t>
            </w: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3840" w:type="dxa"/>
            <w:vAlign w:val="bottom"/>
          </w:tcPr>
          <w:p>
            <w:pPr>
              <w:spacing w:after="0"/>
              <w:rPr>
                <w:sz w:val="20"/>
                <w:szCs w:val="20"/>
                <w:color w:val="auto"/>
              </w:rPr>
            </w:pPr>
            <w:r>
              <w:rPr>
                <w:rFonts w:ascii="Arial" w:cs="Arial" w:eastAsia="Arial" w:hAnsi="Arial"/>
                <w:sz w:val="18"/>
                <w:szCs w:val="18"/>
                <w:color w:val="auto"/>
              </w:rPr>
              <w:t>Interest-earning assets:</w:t>
            </w: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840" w:type="dxa"/>
            <w:vAlign w:val="bottom"/>
          </w:tcPr>
          <w:p>
            <w:pPr>
              <w:ind w:left="100"/>
              <w:spacing w:after="0" w:line="214" w:lineRule="exact"/>
              <w:rPr>
                <w:sz w:val="20"/>
                <w:szCs w:val="20"/>
                <w:color w:val="auto"/>
              </w:rPr>
            </w:pPr>
            <w:r>
              <w:rPr>
                <w:rFonts w:ascii="Arial" w:cs="Arial" w:eastAsia="Arial" w:hAnsi="Arial"/>
                <w:sz w:val="18"/>
                <w:szCs w:val="18"/>
                <w:color w:val="auto"/>
              </w:rPr>
              <w:t xml:space="preserve">Loans, net of unearned income </w:t>
            </w:r>
            <w:r>
              <w:rPr>
                <w:rFonts w:ascii="Arial" w:cs="Arial" w:eastAsia="Arial" w:hAnsi="Arial"/>
                <w:sz w:val="24"/>
                <w:szCs w:val="24"/>
                <w:color w:val="auto"/>
                <w:vertAlign w:val="superscript"/>
              </w:rPr>
              <w:t>(1)(2)</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4,253,361</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50,806</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4.79%</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4,155,619</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54,296</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5.25%</w:t>
            </w:r>
          </w:p>
        </w:tc>
        <w:tc>
          <w:tcPr>
            <w:tcW w:w="0" w:type="dxa"/>
            <w:vAlign w:val="bottom"/>
          </w:tcPr>
          <w:p>
            <w:pPr>
              <w:spacing w:after="0"/>
              <w:rPr>
                <w:sz w:val="1"/>
                <w:szCs w:val="1"/>
                <w:color w:val="auto"/>
              </w:rPr>
            </w:pPr>
          </w:p>
        </w:tc>
      </w:tr>
      <w:tr>
        <w:trPr>
          <w:trHeight w:val="214"/>
        </w:trPr>
        <w:tc>
          <w:tcPr>
            <w:tcW w:w="3840" w:type="dxa"/>
            <w:vAlign w:val="bottom"/>
          </w:tcPr>
          <w:p>
            <w:pPr>
              <w:ind w:left="100"/>
              <w:spacing w:after="0" w:line="214" w:lineRule="exact"/>
              <w:rPr>
                <w:sz w:val="20"/>
                <w:szCs w:val="20"/>
                <w:color w:val="auto"/>
              </w:rPr>
            </w:pPr>
            <w:r>
              <w:rPr>
                <w:rFonts w:ascii="Arial" w:cs="Arial" w:eastAsia="Arial" w:hAnsi="Arial"/>
                <w:sz w:val="18"/>
                <w:szCs w:val="18"/>
                <w:color w:val="auto"/>
              </w:rPr>
              <w:t xml:space="preserve">Taxable securities </w:t>
            </w:r>
            <w:r>
              <w:rPr>
                <w:rFonts w:ascii="Arial" w:cs="Arial" w:eastAsia="Arial" w:hAnsi="Arial"/>
                <w:sz w:val="24"/>
                <w:szCs w:val="24"/>
                <w:color w:val="auto"/>
                <w:vertAlign w:val="superscript"/>
              </w:rPr>
              <w:t>(3)</w:t>
            </w:r>
          </w:p>
        </w:tc>
        <w:tc>
          <w:tcPr>
            <w:tcW w:w="160" w:type="dxa"/>
            <w:vAlign w:val="bottom"/>
          </w:tcPr>
          <w:p>
            <w:pPr>
              <w:spacing w:after="0"/>
              <w:rPr>
                <w:sz w:val="18"/>
                <w:szCs w:val="18"/>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2,139,221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9,471</w:t>
            </w:r>
          </w:p>
        </w:tc>
        <w:tc>
          <w:tcPr>
            <w:tcW w:w="1300" w:type="dxa"/>
            <w:vAlign w:val="bottom"/>
            <w:gridSpan w:val="2"/>
          </w:tcPr>
          <w:p>
            <w:pPr>
              <w:jc w:val="right"/>
              <w:ind w:right="71"/>
              <w:spacing w:after="0"/>
              <w:rPr>
                <w:sz w:val="20"/>
                <w:szCs w:val="20"/>
                <w:color w:val="auto"/>
              </w:rPr>
            </w:pPr>
            <w:r>
              <w:rPr>
                <w:rFonts w:ascii="Arial" w:cs="Arial" w:eastAsia="Arial" w:hAnsi="Arial"/>
                <w:sz w:val="18"/>
                <w:szCs w:val="18"/>
                <w:color w:val="auto"/>
              </w:rPr>
              <w:t>1.77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2,121,053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10,800</w:t>
            </w:r>
          </w:p>
        </w:tc>
        <w:tc>
          <w:tcPr>
            <w:tcW w:w="1320" w:type="dxa"/>
            <w:vAlign w:val="bottom"/>
            <w:gridSpan w:val="2"/>
          </w:tcPr>
          <w:p>
            <w:pPr>
              <w:jc w:val="right"/>
              <w:ind w:right="71"/>
              <w:spacing w:after="0"/>
              <w:rPr>
                <w:sz w:val="20"/>
                <w:szCs w:val="20"/>
                <w:color w:val="auto"/>
              </w:rPr>
            </w:pPr>
            <w:r>
              <w:rPr>
                <w:rFonts w:ascii="Arial" w:cs="Arial" w:eastAsia="Arial" w:hAnsi="Arial"/>
                <w:sz w:val="18"/>
                <w:szCs w:val="18"/>
                <w:color w:val="auto"/>
              </w:rPr>
              <w:t>2.04</w:t>
            </w:r>
          </w:p>
        </w:tc>
        <w:tc>
          <w:tcPr>
            <w:tcW w:w="0" w:type="dxa"/>
            <w:vAlign w:val="bottom"/>
          </w:tcPr>
          <w:p>
            <w:pPr>
              <w:spacing w:after="0"/>
              <w:rPr>
                <w:sz w:val="1"/>
                <w:szCs w:val="1"/>
                <w:color w:val="auto"/>
              </w:rPr>
            </w:pPr>
          </w:p>
        </w:tc>
      </w:tr>
      <w:tr>
        <w:trPr>
          <w:trHeight w:val="214"/>
        </w:trPr>
        <w:tc>
          <w:tcPr>
            <w:tcW w:w="3840" w:type="dxa"/>
            <w:vAlign w:val="bottom"/>
          </w:tcPr>
          <w:p>
            <w:pPr>
              <w:ind w:left="100"/>
              <w:spacing w:after="0" w:line="214" w:lineRule="exact"/>
              <w:rPr>
                <w:sz w:val="20"/>
                <w:szCs w:val="20"/>
                <w:color w:val="auto"/>
              </w:rPr>
            </w:pPr>
            <w:r>
              <w:rPr>
                <w:rFonts w:ascii="Arial" w:cs="Arial" w:eastAsia="Arial" w:hAnsi="Arial"/>
                <w:sz w:val="18"/>
                <w:szCs w:val="18"/>
                <w:color w:val="auto"/>
              </w:rPr>
              <w:t xml:space="preserve">Tax-exempt securities </w:t>
            </w:r>
            <w:r>
              <w:rPr>
                <w:rFonts w:ascii="Arial" w:cs="Arial" w:eastAsia="Arial" w:hAnsi="Arial"/>
                <w:sz w:val="24"/>
                <w:szCs w:val="24"/>
                <w:color w:val="auto"/>
                <w:vertAlign w:val="superscript"/>
              </w:rPr>
              <w:t>(1)(3)</w:t>
            </w:r>
          </w:p>
        </w:tc>
        <w:tc>
          <w:tcPr>
            <w:tcW w:w="160" w:type="dxa"/>
            <w:vAlign w:val="bottom"/>
          </w:tcPr>
          <w:p>
            <w:pPr>
              <w:spacing w:after="0"/>
              <w:rPr>
                <w:sz w:val="18"/>
                <w:szCs w:val="18"/>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21,597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344</w:t>
            </w:r>
          </w:p>
        </w:tc>
        <w:tc>
          <w:tcPr>
            <w:tcW w:w="1300" w:type="dxa"/>
            <w:vAlign w:val="bottom"/>
            <w:gridSpan w:val="2"/>
          </w:tcPr>
          <w:p>
            <w:pPr>
              <w:jc w:val="right"/>
              <w:ind w:right="71"/>
              <w:spacing w:after="0"/>
              <w:rPr>
                <w:sz w:val="20"/>
                <w:szCs w:val="20"/>
                <w:color w:val="auto"/>
              </w:rPr>
            </w:pPr>
            <w:r>
              <w:rPr>
                <w:rFonts w:ascii="Arial" w:cs="Arial" w:eastAsia="Arial" w:hAnsi="Arial"/>
                <w:sz w:val="18"/>
                <w:szCs w:val="18"/>
                <w:color w:val="auto"/>
              </w:rPr>
              <w:t>6.37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24,242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429</w:t>
            </w:r>
          </w:p>
        </w:tc>
        <w:tc>
          <w:tcPr>
            <w:tcW w:w="1320" w:type="dxa"/>
            <w:vAlign w:val="bottom"/>
            <w:gridSpan w:val="2"/>
          </w:tcPr>
          <w:p>
            <w:pPr>
              <w:jc w:val="right"/>
              <w:ind w:right="71"/>
              <w:spacing w:after="0"/>
              <w:rPr>
                <w:sz w:val="20"/>
                <w:szCs w:val="20"/>
                <w:color w:val="auto"/>
              </w:rPr>
            </w:pPr>
            <w:r>
              <w:rPr>
                <w:rFonts w:ascii="Arial" w:cs="Arial" w:eastAsia="Arial" w:hAnsi="Arial"/>
                <w:sz w:val="18"/>
                <w:szCs w:val="18"/>
                <w:color w:val="auto"/>
              </w:rPr>
              <w:t>7.08</w:t>
            </w:r>
          </w:p>
        </w:tc>
        <w:tc>
          <w:tcPr>
            <w:tcW w:w="0" w:type="dxa"/>
            <w:vAlign w:val="bottom"/>
          </w:tcPr>
          <w:p>
            <w:pPr>
              <w:spacing w:after="0"/>
              <w:rPr>
                <w:sz w:val="1"/>
                <w:szCs w:val="1"/>
                <w:color w:val="auto"/>
              </w:rPr>
            </w:pPr>
          </w:p>
        </w:tc>
      </w:tr>
      <w:tr>
        <w:trPr>
          <w:trHeight w:val="235"/>
        </w:trPr>
        <w:tc>
          <w:tcPr>
            <w:tcW w:w="3840" w:type="dxa"/>
            <w:vAlign w:val="bottom"/>
          </w:tcPr>
          <w:p>
            <w:pPr>
              <w:ind w:left="100"/>
              <w:spacing w:after="0"/>
              <w:rPr>
                <w:sz w:val="20"/>
                <w:szCs w:val="20"/>
                <w:color w:val="auto"/>
              </w:rPr>
            </w:pPr>
            <w:r>
              <w:rPr>
                <w:rFonts w:ascii="Arial" w:cs="Arial" w:eastAsia="Arial" w:hAnsi="Arial"/>
                <w:sz w:val="18"/>
                <w:szCs w:val="18"/>
                <w:color w:val="auto"/>
                <w:w w:val="89"/>
              </w:rPr>
              <w:t>Federal funds sold and other interest-earning assets</w:t>
            </w:r>
          </w:p>
        </w:tc>
        <w:tc>
          <w:tcPr>
            <w:tcW w:w="1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193,370</w:t>
            </w: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1,072</w:t>
            </w:r>
          </w:p>
        </w:tc>
        <w:tc>
          <w:tcPr>
            <w:tcW w:w="1300" w:type="dxa"/>
            <w:vAlign w:val="bottom"/>
            <w:gridSpan w:val="2"/>
          </w:tcPr>
          <w:p>
            <w:pPr>
              <w:jc w:val="right"/>
              <w:ind w:right="71"/>
              <w:spacing w:after="0"/>
              <w:rPr>
                <w:sz w:val="20"/>
                <w:szCs w:val="20"/>
                <w:color w:val="auto"/>
              </w:rPr>
            </w:pPr>
            <w:r>
              <w:rPr>
                <w:rFonts w:ascii="Arial" w:cs="Arial" w:eastAsia="Arial" w:hAnsi="Arial"/>
                <w:sz w:val="18"/>
                <w:szCs w:val="18"/>
                <w:color w:val="auto"/>
              </w:rPr>
              <w:t>2.22</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364,099</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1,255</w:t>
            </w:r>
          </w:p>
        </w:tc>
        <w:tc>
          <w:tcPr>
            <w:tcW w:w="1320" w:type="dxa"/>
            <w:vAlign w:val="bottom"/>
            <w:gridSpan w:val="2"/>
          </w:tcPr>
          <w:p>
            <w:pPr>
              <w:jc w:val="right"/>
              <w:ind w:right="71"/>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435"/>
        </w:trPr>
        <w:tc>
          <w:tcPr>
            <w:tcW w:w="3840" w:type="dxa"/>
            <w:vAlign w:val="bottom"/>
          </w:tcPr>
          <w:p>
            <w:pPr>
              <w:ind w:left="220"/>
              <w:spacing w:after="0"/>
              <w:rPr>
                <w:sz w:val="20"/>
                <w:szCs w:val="20"/>
                <w:color w:val="auto"/>
              </w:rPr>
            </w:pPr>
            <w:r>
              <w:rPr>
                <w:rFonts w:ascii="Arial" w:cs="Arial" w:eastAsia="Arial" w:hAnsi="Arial"/>
                <w:sz w:val="18"/>
                <w:szCs w:val="18"/>
                <w:b w:val="1"/>
                <w:bCs w:val="1"/>
                <w:color w:val="auto"/>
              </w:rPr>
              <w:t>Total interest-earning assets</w:t>
            </w:r>
          </w:p>
        </w:tc>
        <w:tc>
          <w:tcPr>
            <w:tcW w:w="1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6,607,549</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61,693</w:t>
            </w:r>
          </w:p>
        </w:tc>
        <w:tc>
          <w:tcPr>
            <w:tcW w:w="1300" w:type="dxa"/>
            <w:vAlign w:val="bottom"/>
            <w:gridSpan w:val="2"/>
          </w:tcPr>
          <w:p>
            <w:pPr>
              <w:jc w:val="right"/>
              <w:ind w:right="71"/>
              <w:spacing w:after="0"/>
              <w:rPr>
                <w:sz w:val="20"/>
                <w:szCs w:val="20"/>
                <w:color w:val="auto"/>
              </w:rPr>
            </w:pPr>
            <w:r>
              <w:rPr>
                <w:rFonts w:ascii="Arial" w:cs="Arial" w:eastAsia="Arial" w:hAnsi="Arial"/>
                <w:sz w:val="18"/>
                <w:szCs w:val="18"/>
                <w:color w:val="auto"/>
              </w:rPr>
              <w:t>3.74</w:t>
            </w: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6,665,013</w:t>
            </w: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66,780</w:t>
            </w:r>
          </w:p>
        </w:tc>
        <w:tc>
          <w:tcPr>
            <w:tcW w:w="1320" w:type="dxa"/>
            <w:vAlign w:val="bottom"/>
            <w:gridSpan w:val="2"/>
          </w:tcPr>
          <w:p>
            <w:pPr>
              <w:jc w:val="right"/>
              <w:ind w:right="71"/>
              <w:spacing w:after="0"/>
              <w:rPr>
                <w:sz w:val="20"/>
                <w:szCs w:val="20"/>
                <w:color w:val="auto"/>
              </w:rPr>
            </w:pPr>
            <w:r>
              <w:rPr>
                <w:rFonts w:ascii="Arial" w:cs="Arial" w:eastAsia="Arial" w:hAnsi="Arial"/>
                <w:sz w:val="18"/>
                <w:szCs w:val="18"/>
                <w:color w:val="auto"/>
              </w:rPr>
              <w:t>4.03</w:t>
            </w:r>
          </w:p>
        </w:tc>
        <w:tc>
          <w:tcPr>
            <w:tcW w:w="0" w:type="dxa"/>
            <w:vAlign w:val="bottom"/>
          </w:tcPr>
          <w:p>
            <w:pPr>
              <w:spacing w:after="0"/>
              <w:rPr>
                <w:sz w:val="1"/>
                <w:szCs w:val="1"/>
                <w:color w:val="auto"/>
              </w:rPr>
            </w:pPr>
          </w:p>
        </w:tc>
      </w:tr>
      <w:tr>
        <w:trPr>
          <w:trHeight w:val="200"/>
        </w:trPr>
        <w:tc>
          <w:tcPr>
            <w:tcW w:w="3840" w:type="dxa"/>
            <w:vAlign w:val="bottom"/>
          </w:tcPr>
          <w:p>
            <w:pPr>
              <w:spacing w:after="0" w:line="200" w:lineRule="exact"/>
              <w:rPr>
                <w:sz w:val="20"/>
                <w:szCs w:val="20"/>
                <w:color w:val="auto"/>
              </w:rPr>
            </w:pPr>
            <w:r>
              <w:rPr>
                <w:rFonts w:ascii="Arial" w:cs="Arial" w:eastAsia="Arial" w:hAnsi="Arial"/>
                <w:sz w:val="18"/>
                <w:szCs w:val="18"/>
                <w:color w:val="auto"/>
              </w:rPr>
              <w:t>Non-interest-earning assets:</w:t>
            </w: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3840" w:type="dxa"/>
            <w:vAlign w:val="bottom"/>
          </w:tcPr>
          <w:p>
            <w:pPr>
              <w:ind w:left="80"/>
              <w:spacing w:after="0"/>
              <w:rPr>
                <w:sz w:val="20"/>
                <w:szCs w:val="20"/>
                <w:color w:val="auto"/>
              </w:rPr>
            </w:pPr>
            <w:r>
              <w:rPr>
                <w:rFonts w:ascii="Arial" w:cs="Arial" w:eastAsia="Arial" w:hAnsi="Arial"/>
                <w:sz w:val="18"/>
                <w:szCs w:val="18"/>
                <w:color w:val="auto"/>
              </w:rPr>
              <w:t>Allowance for loan losses</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(106,417)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(115,955)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840" w:type="dxa"/>
            <w:vAlign w:val="bottom"/>
          </w:tcPr>
          <w:p>
            <w:pPr>
              <w:ind w:left="100"/>
              <w:spacing w:after="0"/>
              <w:rPr>
                <w:sz w:val="20"/>
                <w:szCs w:val="20"/>
                <w:color w:val="auto"/>
              </w:rPr>
            </w:pPr>
            <w:r>
              <w:rPr>
                <w:rFonts w:ascii="Arial" w:cs="Arial" w:eastAsia="Arial" w:hAnsi="Arial"/>
                <w:sz w:val="18"/>
                <w:szCs w:val="18"/>
                <w:color w:val="auto"/>
              </w:rPr>
              <w:t>Cash and due from banks</w:t>
            </w:r>
          </w:p>
        </w:tc>
        <w:tc>
          <w:tcPr>
            <w:tcW w:w="160" w:type="dxa"/>
            <w:vAlign w:val="bottom"/>
          </w:tcPr>
          <w:p>
            <w:pPr>
              <w:spacing w:after="0"/>
              <w:rPr>
                <w:sz w:val="18"/>
                <w:szCs w:val="18"/>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63,457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51,907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840" w:type="dxa"/>
            <w:vAlign w:val="bottom"/>
          </w:tcPr>
          <w:p>
            <w:pPr>
              <w:ind w:left="100"/>
              <w:spacing w:after="0"/>
              <w:rPr>
                <w:sz w:val="20"/>
                <w:szCs w:val="20"/>
                <w:color w:val="auto"/>
              </w:rPr>
            </w:pPr>
            <w:r>
              <w:rPr>
                <w:rFonts w:ascii="Arial" w:cs="Arial" w:eastAsia="Arial" w:hAnsi="Arial"/>
                <w:sz w:val="18"/>
                <w:szCs w:val="18"/>
                <w:color w:val="auto"/>
              </w:rPr>
              <w:t>Premises and equipment</w:t>
            </w:r>
          </w:p>
        </w:tc>
        <w:tc>
          <w:tcPr>
            <w:tcW w:w="160" w:type="dxa"/>
            <w:vAlign w:val="bottom"/>
          </w:tcPr>
          <w:p>
            <w:pPr>
              <w:spacing w:after="0"/>
              <w:rPr>
                <w:sz w:val="18"/>
                <w:szCs w:val="18"/>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168,272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173,792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3840" w:type="dxa"/>
            <w:vAlign w:val="bottom"/>
          </w:tcPr>
          <w:p>
            <w:pPr>
              <w:ind w:left="100"/>
              <w:spacing w:after="0" w:line="228" w:lineRule="exact"/>
              <w:rPr>
                <w:sz w:val="20"/>
                <w:szCs w:val="20"/>
                <w:color w:val="auto"/>
              </w:rPr>
            </w:pPr>
            <w:r>
              <w:rPr>
                <w:rFonts w:ascii="Arial" w:cs="Arial" w:eastAsia="Arial" w:hAnsi="Arial"/>
                <w:sz w:val="18"/>
                <w:szCs w:val="18"/>
                <w:color w:val="auto"/>
              </w:rPr>
              <w:t xml:space="preserve">Other assets </w:t>
            </w:r>
            <w:r>
              <w:rPr>
                <w:rFonts w:ascii="Arial" w:cs="Arial" w:eastAsia="Arial" w:hAnsi="Arial"/>
                <w:sz w:val="24"/>
                <w:szCs w:val="24"/>
                <w:color w:val="auto"/>
                <w:vertAlign w:val="superscript"/>
              </w:rPr>
              <w:t>(3)</w:t>
            </w:r>
          </w:p>
        </w:tc>
        <w:tc>
          <w:tcPr>
            <w:tcW w:w="1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181,987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218,347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4"/>
        </w:trPr>
        <w:tc>
          <w:tcPr>
            <w:tcW w:w="3840" w:type="dxa"/>
            <w:vAlign w:val="bottom"/>
          </w:tcPr>
          <w:p>
            <w:pPr>
              <w:ind w:left="220"/>
              <w:spacing w:after="0"/>
              <w:rPr>
                <w:sz w:val="20"/>
                <w:szCs w:val="20"/>
                <w:color w:val="auto"/>
              </w:rPr>
            </w:pPr>
            <w:r>
              <w:rPr>
                <w:rFonts w:ascii="Arial" w:cs="Arial" w:eastAsia="Arial" w:hAnsi="Arial"/>
                <w:sz w:val="18"/>
                <w:szCs w:val="18"/>
                <w:b w:val="1"/>
                <w:bCs w:val="1"/>
                <w:color w:val="auto"/>
              </w:rPr>
              <w:t>Total assets</w:t>
            </w: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6,914,848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6,993,104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40" w:type="dxa"/>
            <w:vAlign w:val="bottom"/>
            <w:vMerge w:val="restart"/>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08"/>
        </w:trPr>
        <w:tc>
          <w:tcPr>
            <w:tcW w:w="384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3840" w:type="dxa"/>
            <w:vAlign w:val="bottom"/>
          </w:tcPr>
          <w:p>
            <w:pPr>
              <w:spacing w:after="0"/>
              <w:rPr>
                <w:sz w:val="20"/>
                <w:szCs w:val="20"/>
                <w:color w:val="auto"/>
              </w:rPr>
            </w:pPr>
            <w:r>
              <w:rPr>
                <w:rFonts w:ascii="Arial" w:cs="Arial" w:eastAsia="Arial" w:hAnsi="Arial"/>
                <w:sz w:val="18"/>
                <w:szCs w:val="18"/>
                <w:color w:val="auto"/>
              </w:rPr>
              <w:t>Interest-bearing liabilities:</w:t>
            </w: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840" w:type="dxa"/>
            <w:vAlign w:val="bottom"/>
          </w:tcPr>
          <w:p>
            <w:pPr>
              <w:ind w:left="100"/>
              <w:spacing w:after="0"/>
              <w:rPr>
                <w:sz w:val="20"/>
                <w:szCs w:val="20"/>
                <w:color w:val="auto"/>
              </w:rPr>
            </w:pPr>
            <w:r>
              <w:rPr>
                <w:rFonts w:ascii="Arial" w:cs="Arial" w:eastAsia="Arial" w:hAnsi="Arial"/>
                <w:sz w:val="18"/>
                <w:szCs w:val="18"/>
                <w:color w:val="auto"/>
              </w:rPr>
              <w:t>Interest-bearing deposits:</w:t>
            </w: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840" w:type="dxa"/>
            <w:vAlign w:val="bottom"/>
          </w:tcPr>
          <w:p>
            <w:pPr>
              <w:ind w:left="160"/>
              <w:spacing w:after="0"/>
              <w:rPr>
                <w:sz w:val="20"/>
                <w:szCs w:val="20"/>
                <w:color w:val="auto"/>
              </w:rPr>
            </w:pPr>
            <w:r>
              <w:rPr>
                <w:rFonts w:ascii="Arial" w:cs="Arial" w:eastAsia="Arial" w:hAnsi="Arial"/>
                <w:sz w:val="18"/>
                <w:szCs w:val="18"/>
                <w:color w:val="auto"/>
              </w:rPr>
              <w:t>NOW</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1,245,301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419</w:t>
            </w:r>
          </w:p>
        </w:tc>
        <w:tc>
          <w:tcPr>
            <w:tcW w:w="1300" w:type="dxa"/>
            <w:vAlign w:val="bottom"/>
            <w:gridSpan w:val="2"/>
          </w:tcPr>
          <w:p>
            <w:pPr>
              <w:jc w:val="right"/>
              <w:ind w:right="71"/>
              <w:spacing w:after="0"/>
              <w:rPr>
                <w:sz w:val="20"/>
                <w:szCs w:val="20"/>
                <w:color w:val="auto"/>
              </w:rPr>
            </w:pPr>
            <w:r>
              <w:rPr>
                <w:rFonts w:ascii="Arial" w:cs="Arial" w:eastAsia="Arial" w:hAnsi="Arial"/>
                <w:sz w:val="18"/>
                <w:szCs w:val="18"/>
                <w:color w:val="auto"/>
              </w:rPr>
              <w:t>.13</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1,279,686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503</w:t>
            </w:r>
          </w:p>
        </w:tc>
        <w:tc>
          <w:tcPr>
            <w:tcW w:w="1320" w:type="dxa"/>
            <w:vAlign w:val="bottom"/>
            <w:gridSpan w:val="2"/>
          </w:tcPr>
          <w:p>
            <w:pPr>
              <w:jc w:val="right"/>
              <w:ind w:right="71"/>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4"/>
        </w:trPr>
        <w:tc>
          <w:tcPr>
            <w:tcW w:w="3840" w:type="dxa"/>
            <w:vAlign w:val="bottom"/>
          </w:tcPr>
          <w:p>
            <w:pPr>
              <w:ind w:left="160"/>
              <w:spacing w:after="0"/>
              <w:rPr>
                <w:sz w:val="20"/>
                <w:szCs w:val="20"/>
                <w:color w:val="auto"/>
              </w:rPr>
            </w:pPr>
            <w:r>
              <w:rPr>
                <w:rFonts w:ascii="Arial" w:cs="Arial" w:eastAsia="Arial" w:hAnsi="Arial"/>
                <w:sz w:val="18"/>
                <w:szCs w:val="18"/>
                <w:color w:val="auto"/>
              </w:rPr>
              <w:t>Money market</w:t>
            </w:r>
          </w:p>
        </w:tc>
        <w:tc>
          <w:tcPr>
            <w:tcW w:w="160" w:type="dxa"/>
            <w:vAlign w:val="bottom"/>
          </w:tcPr>
          <w:p>
            <w:pPr>
              <w:spacing w:after="0"/>
              <w:rPr>
                <w:sz w:val="18"/>
                <w:szCs w:val="18"/>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1,306,522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534</w:t>
            </w:r>
          </w:p>
        </w:tc>
        <w:tc>
          <w:tcPr>
            <w:tcW w:w="1300" w:type="dxa"/>
            <w:vAlign w:val="bottom"/>
            <w:gridSpan w:val="2"/>
          </w:tcPr>
          <w:p>
            <w:pPr>
              <w:jc w:val="right"/>
              <w:ind w:right="71"/>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1,132,548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661</w:t>
            </w:r>
          </w:p>
        </w:tc>
        <w:tc>
          <w:tcPr>
            <w:tcW w:w="1320" w:type="dxa"/>
            <w:vAlign w:val="bottom"/>
            <w:gridSpan w:val="2"/>
          </w:tcPr>
          <w:p>
            <w:pPr>
              <w:jc w:val="right"/>
              <w:ind w:right="71"/>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4"/>
        </w:trPr>
        <w:tc>
          <w:tcPr>
            <w:tcW w:w="3840" w:type="dxa"/>
            <w:vAlign w:val="bottom"/>
          </w:tcPr>
          <w:p>
            <w:pPr>
              <w:ind w:left="160"/>
              <w:spacing w:after="0"/>
              <w:rPr>
                <w:sz w:val="20"/>
                <w:szCs w:val="20"/>
                <w:color w:val="auto"/>
              </w:rPr>
            </w:pPr>
            <w:r>
              <w:rPr>
                <w:rFonts w:ascii="Arial" w:cs="Arial" w:eastAsia="Arial" w:hAnsi="Arial"/>
                <w:sz w:val="18"/>
                <w:szCs w:val="18"/>
                <w:color w:val="auto"/>
              </w:rPr>
              <w:t>Savings</w:t>
            </w:r>
          </w:p>
        </w:tc>
        <w:tc>
          <w:tcPr>
            <w:tcW w:w="160" w:type="dxa"/>
            <w:vAlign w:val="bottom"/>
          </w:tcPr>
          <w:p>
            <w:pPr>
              <w:spacing w:after="0"/>
              <w:rPr>
                <w:sz w:val="18"/>
                <w:szCs w:val="18"/>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245,211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36</w:t>
            </w:r>
          </w:p>
        </w:tc>
        <w:tc>
          <w:tcPr>
            <w:tcW w:w="1300" w:type="dxa"/>
            <w:vAlign w:val="bottom"/>
            <w:gridSpan w:val="2"/>
          </w:tcPr>
          <w:p>
            <w:pPr>
              <w:jc w:val="right"/>
              <w:ind w:right="71"/>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216,175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38</w:t>
            </w:r>
          </w:p>
        </w:tc>
        <w:tc>
          <w:tcPr>
            <w:tcW w:w="1320" w:type="dxa"/>
            <w:vAlign w:val="bottom"/>
            <w:gridSpan w:val="2"/>
          </w:tcPr>
          <w:p>
            <w:pPr>
              <w:jc w:val="right"/>
              <w:ind w:right="71"/>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14"/>
        </w:trPr>
        <w:tc>
          <w:tcPr>
            <w:tcW w:w="3840" w:type="dxa"/>
            <w:vAlign w:val="bottom"/>
          </w:tcPr>
          <w:p>
            <w:pPr>
              <w:ind w:left="160"/>
              <w:spacing w:after="0"/>
              <w:rPr>
                <w:sz w:val="20"/>
                <w:szCs w:val="20"/>
                <w:color w:val="auto"/>
              </w:rPr>
            </w:pPr>
            <w:r>
              <w:rPr>
                <w:rFonts w:ascii="Arial" w:cs="Arial" w:eastAsia="Arial" w:hAnsi="Arial"/>
                <w:sz w:val="18"/>
                <w:szCs w:val="18"/>
                <w:color w:val="auto"/>
              </w:rPr>
              <w:t>Time less than $100,000</w:t>
            </w:r>
          </w:p>
        </w:tc>
        <w:tc>
          <w:tcPr>
            <w:tcW w:w="160" w:type="dxa"/>
            <w:vAlign w:val="bottom"/>
          </w:tcPr>
          <w:p>
            <w:pPr>
              <w:spacing w:after="0"/>
              <w:rPr>
                <w:sz w:val="18"/>
                <w:szCs w:val="18"/>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1,000,511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1,568</w:t>
            </w:r>
          </w:p>
        </w:tc>
        <w:tc>
          <w:tcPr>
            <w:tcW w:w="1300" w:type="dxa"/>
            <w:vAlign w:val="bottom"/>
            <w:gridSpan w:val="2"/>
          </w:tcPr>
          <w:p>
            <w:pPr>
              <w:jc w:val="right"/>
              <w:ind w:right="71"/>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1,183,845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2,520</w:t>
            </w:r>
          </w:p>
        </w:tc>
        <w:tc>
          <w:tcPr>
            <w:tcW w:w="1320" w:type="dxa"/>
            <w:vAlign w:val="bottom"/>
            <w:gridSpan w:val="2"/>
          </w:tcPr>
          <w:p>
            <w:pPr>
              <w:jc w:val="right"/>
              <w:ind w:right="71"/>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14"/>
        </w:trPr>
        <w:tc>
          <w:tcPr>
            <w:tcW w:w="3840" w:type="dxa"/>
            <w:vAlign w:val="bottom"/>
          </w:tcPr>
          <w:p>
            <w:pPr>
              <w:ind w:left="160"/>
              <w:spacing w:after="0"/>
              <w:rPr>
                <w:sz w:val="20"/>
                <w:szCs w:val="20"/>
                <w:color w:val="auto"/>
              </w:rPr>
            </w:pPr>
            <w:r>
              <w:rPr>
                <w:rFonts w:ascii="Arial" w:cs="Arial" w:eastAsia="Arial" w:hAnsi="Arial"/>
                <w:sz w:val="18"/>
                <w:szCs w:val="18"/>
                <w:color w:val="auto"/>
              </w:rPr>
              <w:t>Time greater than $100,000</w:t>
            </w:r>
          </w:p>
        </w:tc>
        <w:tc>
          <w:tcPr>
            <w:tcW w:w="160" w:type="dxa"/>
            <w:vAlign w:val="bottom"/>
          </w:tcPr>
          <w:p>
            <w:pPr>
              <w:spacing w:after="0"/>
              <w:rPr>
                <w:sz w:val="18"/>
                <w:szCs w:val="18"/>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674,200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1,380</w:t>
            </w:r>
          </w:p>
        </w:tc>
        <w:tc>
          <w:tcPr>
            <w:tcW w:w="1300" w:type="dxa"/>
            <w:vAlign w:val="bottom"/>
            <w:gridSpan w:val="2"/>
          </w:tcPr>
          <w:p>
            <w:pPr>
              <w:jc w:val="right"/>
              <w:ind w:right="71"/>
              <w:spacing w:after="0"/>
              <w:rPr>
                <w:sz w:val="20"/>
                <w:szCs w:val="20"/>
                <w:color w:val="auto"/>
              </w:rPr>
            </w:pPr>
            <w:r>
              <w:rPr>
                <w:rFonts w:ascii="Arial" w:cs="Arial" w:eastAsia="Arial" w:hAnsi="Arial"/>
                <w:sz w:val="18"/>
                <w:szCs w:val="18"/>
                <w:color w:val="auto"/>
              </w:rPr>
              <w:t>.82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778,477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2,063</w:t>
            </w:r>
          </w:p>
        </w:tc>
        <w:tc>
          <w:tcPr>
            <w:tcW w:w="1320" w:type="dxa"/>
            <w:vAlign w:val="bottom"/>
            <w:gridSpan w:val="2"/>
          </w:tcPr>
          <w:p>
            <w:pPr>
              <w:jc w:val="right"/>
              <w:ind w:right="71"/>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35"/>
        </w:trPr>
        <w:tc>
          <w:tcPr>
            <w:tcW w:w="3840" w:type="dxa"/>
            <w:vAlign w:val="bottom"/>
          </w:tcPr>
          <w:p>
            <w:pPr>
              <w:ind w:left="160"/>
              <w:spacing w:after="0"/>
              <w:rPr>
                <w:sz w:val="20"/>
                <w:szCs w:val="20"/>
                <w:color w:val="auto"/>
              </w:rPr>
            </w:pPr>
            <w:r>
              <w:rPr>
                <w:rFonts w:ascii="Arial" w:cs="Arial" w:eastAsia="Arial" w:hAnsi="Arial"/>
                <w:sz w:val="18"/>
                <w:szCs w:val="18"/>
                <w:color w:val="auto"/>
              </w:rPr>
              <w:t>Brokered time deposits</w:t>
            </w:r>
          </w:p>
        </w:tc>
        <w:tc>
          <w:tcPr>
            <w:tcW w:w="1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195,182</w:t>
            </w: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1300" w:type="dxa"/>
            <w:vAlign w:val="bottom"/>
            <w:gridSpan w:val="2"/>
          </w:tcPr>
          <w:p>
            <w:pPr>
              <w:jc w:val="right"/>
              <w:ind w:right="11"/>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150,449</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490</w:t>
            </w:r>
          </w:p>
        </w:tc>
        <w:tc>
          <w:tcPr>
            <w:tcW w:w="1320" w:type="dxa"/>
            <w:vAlign w:val="bottom"/>
            <w:gridSpan w:val="2"/>
          </w:tcPr>
          <w:p>
            <w:pPr>
              <w:jc w:val="right"/>
              <w:ind w:right="71"/>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21"/>
        </w:trPr>
        <w:tc>
          <w:tcPr>
            <w:tcW w:w="3840" w:type="dxa"/>
            <w:vAlign w:val="bottom"/>
          </w:tcPr>
          <w:p>
            <w:pPr>
              <w:ind w:left="320"/>
              <w:spacing w:after="0"/>
              <w:rPr>
                <w:sz w:val="20"/>
                <w:szCs w:val="20"/>
                <w:color w:val="auto"/>
              </w:rPr>
            </w:pPr>
            <w:r>
              <w:rPr>
                <w:rFonts w:ascii="Arial" w:cs="Arial" w:eastAsia="Arial" w:hAnsi="Arial"/>
                <w:sz w:val="18"/>
                <w:szCs w:val="18"/>
                <w:color w:val="auto"/>
              </w:rPr>
              <w:t>Total interest-bearing deposits</w:t>
            </w: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4,666,927</w:t>
            </w: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3,913</w:t>
            </w:r>
          </w:p>
        </w:tc>
        <w:tc>
          <w:tcPr>
            <w:tcW w:w="1300" w:type="dxa"/>
            <w:vAlign w:val="bottom"/>
            <w:gridSpan w:val="2"/>
          </w:tcPr>
          <w:p>
            <w:pPr>
              <w:jc w:val="right"/>
              <w:ind w:right="71"/>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4,741,180</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6,275</w:t>
            </w:r>
          </w:p>
        </w:tc>
        <w:tc>
          <w:tcPr>
            <w:tcW w:w="1320" w:type="dxa"/>
            <w:vAlign w:val="bottom"/>
            <w:gridSpan w:val="2"/>
          </w:tcPr>
          <w:p>
            <w:pPr>
              <w:jc w:val="right"/>
              <w:ind w:right="71"/>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414"/>
        </w:trPr>
        <w:tc>
          <w:tcPr>
            <w:tcW w:w="3840" w:type="dxa"/>
            <w:vAlign w:val="bottom"/>
          </w:tcPr>
          <w:p>
            <w:pPr>
              <w:spacing w:after="0"/>
              <w:rPr>
                <w:sz w:val="20"/>
                <w:szCs w:val="20"/>
                <w:color w:val="auto"/>
              </w:rPr>
            </w:pPr>
            <w:r>
              <w:rPr>
                <w:rFonts w:ascii="Arial" w:cs="Arial" w:eastAsia="Arial" w:hAnsi="Arial"/>
                <w:sz w:val="18"/>
                <w:szCs w:val="18"/>
                <w:color w:val="auto"/>
              </w:rPr>
              <w:t>Federal funds purchased and other borrowings</w:t>
            </w:r>
          </w:p>
        </w:tc>
        <w:tc>
          <w:tcPr>
            <w:tcW w:w="160" w:type="dxa"/>
            <w:vAlign w:val="bottom"/>
          </w:tcPr>
          <w:p>
            <w:pPr>
              <w:spacing w:after="0"/>
              <w:rPr>
                <w:sz w:val="24"/>
                <w:szCs w:val="24"/>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72,139</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522</w:t>
            </w:r>
          </w:p>
        </w:tc>
        <w:tc>
          <w:tcPr>
            <w:tcW w:w="1300" w:type="dxa"/>
            <w:vAlign w:val="bottom"/>
            <w:gridSpan w:val="2"/>
          </w:tcPr>
          <w:p>
            <w:pPr>
              <w:jc w:val="right"/>
              <w:ind w:right="71"/>
              <w:spacing w:after="0"/>
              <w:rPr>
                <w:sz w:val="20"/>
                <w:szCs w:val="20"/>
                <w:color w:val="auto"/>
              </w:rPr>
            </w:pPr>
            <w:r>
              <w:rPr>
                <w:rFonts w:ascii="Arial" w:cs="Arial" w:eastAsia="Arial" w:hAnsi="Arial"/>
                <w:sz w:val="18"/>
                <w:szCs w:val="18"/>
                <w:color w:val="auto"/>
              </w:rPr>
              <w:t>2.90</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97,134</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904</w:t>
            </w:r>
          </w:p>
        </w:tc>
        <w:tc>
          <w:tcPr>
            <w:tcW w:w="1320" w:type="dxa"/>
            <w:vAlign w:val="bottom"/>
            <w:gridSpan w:val="2"/>
          </w:tcPr>
          <w:p>
            <w:pPr>
              <w:jc w:val="right"/>
              <w:ind w:right="71"/>
              <w:spacing w:after="0"/>
              <w:rPr>
                <w:sz w:val="20"/>
                <w:szCs w:val="20"/>
                <w:color w:val="auto"/>
              </w:rPr>
            </w:pPr>
            <w:r>
              <w:rPr>
                <w:rFonts w:ascii="Arial" w:cs="Arial" w:eastAsia="Arial" w:hAnsi="Arial"/>
                <w:sz w:val="18"/>
                <w:szCs w:val="18"/>
                <w:color w:val="auto"/>
              </w:rPr>
              <w:t>3.74</w:t>
            </w:r>
          </w:p>
        </w:tc>
        <w:tc>
          <w:tcPr>
            <w:tcW w:w="0" w:type="dxa"/>
            <w:vAlign w:val="bottom"/>
          </w:tcPr>
          <w:p>
            <w:pPr>
              <w:spacing w:after="0"/>
              <w:rPr>
                <w:sz w:val="1"/>
                <w:szCs w:val="1"/>
                <w:color w:val="auto"/>
              </w:rPr>
            </w:pPr>
          </w:p>
        </w:tc>
      </w:tr>
      <w:tr>
        <w:trPr>
          <w:trHeight w:val="214"/>
        </w:trPr>
        <w:tc>
          <w:tcPr>
            <w:tcW w:w="3840" w:type="dxa"/>
            <w:vAlign w:val="bottom"/>
          </w:tcPr>
          <w:p>
            <w:pPr>
              <w:spacing w:after="0"/>
              <w:rPr>
                <w:sz w:val="20"/>
                <w:szCs w:val="20"/>
                <w:color w:val="auto"/>
              </w:rPr>
            </w:pPr>
            <w:r>
              <w:rPr>
                <w:rFonts w:ascii="Arial" w:cs="Arial" w:eastAsia="Arial" w:hAnsi="Arial"/>
                <w:sz w:val="18"/>
                <w:szCs w:val="18"/>
                <w:color w:val="auto"/>
              </w:rPr>
              <w:t>Federal Home Loan Bank advances</w:t>
            </w:r>
          </w:p>
        </w:tc>
        <w:tc>
          <w:tcPr>
            <w:tcW w:w="160" w:type="dxa"/>
            <w:vAlign w:val="bottom"/>
          </w:tcPr>
          <w:p>
            <w:pPr>
              <w:spacing w:after="0"/>
              <w:rPr>
                <w:sz w:val="18"/>
                <w:szCs w:val="18"/>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58,916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30</w:t>
            </w:r>
          </w:p>
        </w:tc>
        <w:tc>
          <w:tcPr>
            <w:tcW w:w="1300" w:type="dxa"/>
            <w:vAlign w:val="bottom"/>
            <w:gridSpan w:val="2"/>
          </w:tcPr>
          <w:p>
            <w:pPr>
              <w:jc w:val="right"/>
              <w:ind w:right="71"/>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278,971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390</w:t>
            </w:r>
          </w:p>
        </w:tc>
        <w:tc>
          <w:tcPr>
            <w:tcW w:w="1320" w:type="dxa"/>
            <w:vAlign w:val="bottom"/>
            <w:gridSpan w:val="2"/>
          </w:tcPr>
          <w:p>
            <w:pPr>
              <w:jc w:val="right"/>
              <w:ind w:right="71"/>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35"/>
        </w:trPr>
        <w:tc>
          <w:tcPr>
            <w:tcW w:w="3840" w:type="dxa"/>
            <w:vAlign w:val="bottom"/>
          </w:tcPr>
          <w:p>
            <w:pPr>
              <w:spacing w:after="0"/>
              <w:rPr>
                <w:sz w:val="20"/>
                <w:szCs w:val="20"/>
                <w:color w:val="auto"/>
              </w:rPr>
            </w:pPr>
            <w:r>
              <w:rPr>
                <w:rFonts w:ascii="Arial" w:cs="Arial" w:eastAsia="Arial" w:hAnsi="Arial"/>
                <w:sz w:val="18"/>
                <w:szCs w:val="18"/>
                <w:color w:val="auto"/>
              </w:rPr>
              <w:t>Long-term debt</w:t>
            </w:r>
          </w:p>
        </w:tc>
        <w:tc>
          <w:tcPr>
            <w:tcW w:w="1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124,838</w:t>
            </w: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2,666</w:t>
            </w:r>
          </w:p>
        </w:tc>
        <w:tc>
          <w:tcPr>
            <w:tcW w:w="1300" w:type="dxa"/>
            <w:vAlign w:val="bottom"/>
            <w:gridSpan w:val="2"/>
          </w:tcPr>
          <w:p>
            <w:pPr>
              <w:jc w:val="right"/>
              <w:ind w:right="71"/>
              <w:spacing w:after="0"/>
              <w:rPr>
                <w:sz w:val="20"/>
                <w:szCs w:val="20"/>
                <w:color w:val="auto"/>
              </w:rPr>
            </w:pPr>
            <w:r>
              <w:rPr>
                <w:rFonts w:ascii="Arial" w:cs="Arial" w:eastAsia="Arial" w:hAnsi="Arial"/>
                <w:sz w:val="18"/>
                <w:szCs w:val="18"/>
                <w:color w:val="auto"/>
              </w:rPr>
              <w:t>8.57</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120,256</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2,375</w:t>
            </w:r>
          </w:p>
        </w:tc>
        <w:tc>
          <w:tcPr>
            <w:tcW w:w="1320" w:type="dxa"/>
            <w:vAlign w:val="bottom"/>
            <w:gridSpan w:val="2"/>
          </w:tcPr>
          <w:p>
            <w:pPr>
              <w:jc w:val="right"/>
              <w:ind w:right="71"/>
              <w:spacing w:after="0"/>
              <w:rPr>
                <w:sz w:val="20"/>
                <w:szCs w:val="20"/>
                <w:color w:val="auto"/>
              </w:rPr>
            </w:pPr>
            <w:r>
              <w:rPr>
                <w:rFonts w:ascii="Arial" w:cs="Arial" w:eastAsia="Arial" w:hAnsi="Arial"/>
                <w:sz w:val="18"/>
                <w:szCs w:val="18"/>
                <w:color w:val="auto"/>
              </w:rPr>
              <w:t>7.94</w:t>
            </w:r>
          </w:p>
        </w:tc>
        <w:tc>
          <w:tcPr>
            <w:tcW w:w="0" w:type="dxa"/>
            <w:vAlign w:val="bottom"/>
          </w:tcPr>
          <w:p>
            <w:pPr>
              <w:spacing w:after="0"/>
              <w:rPr>
                <w:sz w:val="1"/>
                <w:szCs w:val="1"/>
                <w:color w:val="auto"/>
              </w:rPr>
            </w:pPr>
          </w:p>
        </w:tc>
      </w:tr>
      <w:tr>
        <w:trPr>
          <w:trHeight w:val="221"/>
        </w:trPr>
        <w:tc>
          <w:tcPr>
            <w:tcW w:w="3840" w:type="dxa"/>
            <w:vAlign w:val="bottom"/>
          </w:tcPr>
          <w:p>
            <w:pPr>
              <w:ind w:left="280"/>
              <w:spacing w:after="0"/>
              <w:rPr>
                <w:sz w:val="20"/>
                <w:szCs w:val="20"/>
                <w:color w:val="auto"/>
              </w:rPr>
            </w:pPr>
            <w:r>
              <w:rPr>
                <w:rFonts w:ascii="Arial" w:cs="Arial" w:eastAsia="Arial" w:hAnsi="Arial"/>
                <w:sz w:val="18"/>
                <w:szCs w:val="18"/>
                <w:color w:val="auto"/>
              </w:rPr>
              <w:t>Total borrowed funds</w:t>
            </w: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255,893</w:t>
            </w: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3,218</w:t>
            </w:r>
          </w:p>
        </w:tc>
        <w:tc>
          <w:tcPr>
            <w:tcW w:w="1300" w:type="dxa"/>
            <w:vAlign w:val="bottom"/>
            <w:gridSpan w:val="2"/>
          </w:tcPr>
          <w:p>
            <w:pPr>
              <w:jc w:val="right"/>
              <w:ind w:right="71"/>
              <w:spacing w:after="0"/>
              <w:rPr>
                <w:sz w:val="20"/>
                <w:szCs w:val="20"/>
                <w:color w:val="auto"/>
              </w:rPr>
            </w:pPr>
            <w:r>
              <w:rPr>
                <w:rFonts w:ascii="Arial" w:cs="Arial" w:eastAsia="Arial" w:hAnsi="Arial"/>
                <w:sz w:val="18"/>
                <w:szCs w:val="18"/>
                <w:color w:val="auto"/>
              </w:rPr>
              <w:t>5.04</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496,361</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3,669</w:t>
            </w:r>
          </w:p>
        </w:tc>
        <w:tc>
          <w:tcPr>
            <w:tcW w:w="1320" w:type="dxa"/>
            <w:vAlign w:val="bottom"/>
            <w:gridSpan w:val="2"/>
          </w:tcPr>
          <w:p>
            <w:pPr>
              <w:jc w:val="right"/>
              <w:ind w:right="71"/>
              <w:spacing w:after="0"/>
              <w:rPr>
                <w:sz w:val="20"/>
                <w:szCs w:val="20"/>
                <w:color w:val="auto"/>
              </w:rPr>
            </w:pPr>
            <w:r>
              <w:rPr>
                <w:rFonts w:ascii="Arial" w:cs="Arial" w:eastAsia="Arial" w:hAnsi="Arial"/>
                <w:sz w:val="18"/>
                <w:szCs w:val="18"/>
                <w:color w:val="auto"/>
              </w:rPr>
              <w:t>2.97</w:t>
            </w:r>
          </w:p>
        </w:tc>
        <w:tc>
          <w:tcPr>
            <w:tcW w:w="0" w:type="dxa"/>
            <w:vAlign w:val="bottom"/>
          </w:tcPr>
          <w:p>
            <w:pPr>
              <w:spacing w:after="0"/>
              <w:rPr>
                <w:sz w:val="1"/>
                <w:szCs w:val="1"/>
                <w:color w:val="auto"/>
              </w:rPr>
            </w:pPr>
          </w:p>
        </w:tc>
      </w:tr>
      <w:tr>
        <w:trPr>
          <w:trHeight w:val="435"/>
        </w:trPr>
        <w:tc>
          <w:tcPr>
            <w:tcW w:w="3840" w:type="dxa"/>
            <w:vAlign w:val="bottom"/>
          </w:tcPr>
          <w:p>
            <w:pPr>
              <w:ind w:left="280"/>
              <w:spacing w:after="0"/>
              <w:rPr>
                <w:sz w:val="20"/>
                <w:szCs w:val="20"/>
                <w:color w:val="auto"/>
              </w:rPr>
            </w:pPr>
            <w:r>
              <w:rPr>
                <w:rFonts w:ascii="Arial" w:cs="Arial" w:eastAsia="Arial" w:hAnsi="Arial"/>
                <w:sz w:val="18"/>
                <w:szCs w:val="18"/>
                <w:b w:val="1"/>
                <w:bCs w:val="1"/>
                <w:color w:val="auto"/>
              </w:rPr>
              <w:t>Total interest-bearing liabilities</w:t>
            </w:r>
          </w:p>
        </w:tc>
        <w:tc>
          <w:tcPr>
            <w:tcW w:w="160" w:type="dxa"/>
            <w:vAlign w:val="bottom"/>
          </w:tcPr>
          <w:p>
            <w:pPr>
              <w:spacing w:after="0"/>
              <w:rPr>
                <w:sz w:val="24"/>
                <w:szCs w:val="24"/>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4,922,820</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7,131</w:t>
            </w:r>
          </w:p>
        </w:tc>
        <w:tc>
          <w:tcPr>
            <w:tcW w:w="1300" w:type="dxa"/>
            <w:vAlign w:val="bottom"/>
            <w:gridSpan w:val="2"/>
          </w:tcPr>
          <w:p>
            <w:pPr>
              <w:jc w:val="right"/>
              <w:ind w:right="71"/>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5,237,541</w:t>
            </w: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9,944</w:t>
            </w:r>
          </w:p>
        </w:tc>
        <w:tc>
          <w:tcPr>
            <w:tcW w:w="1320" w:type="dxa"/>
            <w:vAlign w:val="bottom"/>
            <w:gridSpan w:val="2"/>
          </w:tcPr>
          <w:p>
            <w:pPr>
              <w:jc w:val="right"/>
              <w:ind w:right="71"/>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00"/>
        </w:trPr>
        <w:tc>
          <w:tcPr>
            <w:tcW w:w="3840" w:type="dxa"/>
            <w:vAlign w:val="bottom"/>
          </w:tcPr>
          <w:p>
            <w:pPr>
              <w:spacing w:after="0" w:line="200" w:lineRule="exact"/>
              <w:rPr>
                <w:sz w:val="20"/>
                <w:szCs w:val="20"/>
                <w:color w:val="auto"/>
              </w:rPr>
            </w:pPr>
            <w:r>
              <w:rPr>
                <w:rFonts w:ascii="Arial" w:cs="Arial" w:eastAsia="Arial" w:hAnsi="Arial"/>
                <w:sz w:val="18"/>
                <w:szCs w:val="18"/>
                <w:color w:val="auto"/>
              </w:rPr>
              <w:t>Non-interest-bearing liabilities:</w:t>
            </w: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3840" w:type="dxa"/>
            <w:vAlign w:val="bottom"/>
          </w:tcPr>
          <w:p>
            <w:pPr>
              <w:ind w:left="100"/>
              <w:spacing w:after="0"/>
              <w:rPr>
                <w:sz w:val="20"/>
                <w:szCs w:val="20"/>
                <w:color w:val="auto"/>
              </w:rPr>
            </w:pPr>
            <w:r>
              <w:rPr>
                <w:rFonts w:ascii="Arial" w:cs="Arial" w:eastAsia="Arial" w:hAnsi="Arial"/>
                <w:sz w:val="18"/>
                <w:szCs w:val="18"/>
                <w:color w:val="auto"/>
              </w:rPr>
              <w:t>Non-interest-bearing deposits</w:t>
            </w:r>
          </w:p>
        </w:tc>
        <w:tc>
          <w:tcPr>
            <w:tcW w:w="160" w:type="dxa"/>
            <w:vAlign w:val="bottom"/>
          </w:tcPr>
          <w:p>
            <w:pPr>
              <w:spacing w:after="0"/>
              <w:rPr>
                <w:sz w:val="18"/>
                <w:szCs w:val="18"/>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1,315,812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1,112,128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3840" w:type="dxa"/>
            <w:vAlign w:val="bottom"/>
          </w:tcPr>
          <w:p>
            <w:pPr>
              <w:ind w:left="100"/>
              <w:spacing w:after="0"/>
              <w:rPr>
                <w:sz w:val="20"/>
                <w:szCs w:val="20"/>
                <w:color w:val="auto"/>
              </w:rPr>
            </w:pPr>
            <w:r>
              <w:rPr>
                <w:rFonts w:ascii="Arial" w:cs="Arial" w:eastAsia="Arial" w:hAnsi="Arial"/>
                <w:sz w:val="18"/>
                <w:szCs w:val="18"/>
                <w:color w:val="auto"/>
              </w:rPr>
              <w:t>Other liabilities</w:t>
            </w:r>
          </w:p>
        </w:tc>
        <w:tc>
          <w:tcPr>
            <w:tcW w:w="1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40,603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60,726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0"/>
        </w:trPr>
        <w:tc>
          <w:tcPr>
            <w:tcW w:w="3840" w:type="dxa"/>
            <w:vAlign w:val="bottom"/>
          </w:tcPr>
          <w:p>
            <w:pPr>
              <w:ind w:left="220"/>
              <w:spacing w:after="0" w:line="200" w:lineRule="exact"/>
              <w:rPr>
                <w:sz w:val="20"/>
                <w:szCs w:val="20"/>
                <w:color w:val="auto"/>
              </w:rPr>
            </w:pPr>
            <w:r>
              <w:rPr>
                <w:rFonts w:ascii="Arial" w:cs="Arial" w:eastAsia="Arial" w:hAnsi="Arial"/>
                <w:sz w:val="18"/>
                <w:szCs w:val="18"/>
                <w:color w:val="auto"/>
              </w:rPr>
              <w:t>Total liabilities</w:t>
            </w:r>
          </w:p>
        </w:tc>
        <w:tc>
          <w:tcPr>
            <w:tcW w:w="160" w:type="dxa"/>
            <w:vAlign w:val="bottom"/>
          </w:tcPr>
          <w:p>
            <w:pPr>
              <w:spacing w:after="0"/>
              <w:rPr>
                <w:sz w:val="17"/>
                <w:szCs w:val="17"/>
                <w:color w:val="auto"/>
              </w:rPr>
            </w:pPr>
          </w:p>
        </w:tc>
        <w:tc>
          <w:tcPr>
            <w:tcW w:w="1000" w:type="dxa"/>
            <w:vAlign w:val="bottom"/>
          </w:tcPr>
          <w:p>
            <w:pPr>
              <w:jc w:val="right"/>
              <w:ind w:right="11"/>
              <w:spacing w:after="0" w:line="200" w:lineRule="exact"/>
              <w:rPr>
                <w:sz w:val="20"/>
                <w:szCs w:val="20"/>
                <w:color w:val="auto"/>
              </w:rPr>
            </w:pPr>
            <w:r>
              <w:rPr>
                <w:rFonts w:ascii="Arial" w:cs="Arial" w:eastAsia="Arial" w:hAnsi="Arial"/>
                <w:sz w:val="18"/>
                <w:szCs w:val="18"/>
                <w:color w:val="auto"/>
              </w:rPr>
              <w:t>6,279,235</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jc w:val="right"/>
              <w:ind w:right="31"/>
              <w:spacing w:after="0" w:line="200" w:lineRule="exact"/>
              <w:rPr>
                <w:sz w:val="20"/>
                <w:szCs w:val="20"/>
                <w:color w:val="auto"/>
              </w:rPr>
            </w:pPr>
            <w:r>
              <w:rPr>
                <w:rFonts w:ascii="Arial" w:cs="Arial" w:eastAsia="Arial" w:hAnsi="Arial"/>
                <w:sz w:val="18"/>
                <w:szCs w:val="18"/>
                <w:color w:val="auto"/>
              </w:rPr>
              <w:t>6,410,395</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3840" w:type="dxa"/>
            <w:vAlign w:val="bottom"/>
          </w:tcPr>
          <w:p>
            <w:pPr>
              <w:spacing w:after="0"/>
              <w:rPr>
                <w:sz w:val="20"/>
                <w:szCs w:val="20"/>
                <w:color w:val="auto"/>
              </w:rPr>
            </w:pPr>
            <w:r>
              <w:rPr>
                <w:rFonts w:ascii="Arial" w:cs="Arial" w:eastAsia="Arial" w:hAnsi="Arial"/>
                <w:sz w:val="18"/>
                <w:szCs w:val="18"/>
                <w:color w:val="auto"/>
              </w:rPr>
              <w:t>Shareholders’ equity</w:t>
            </w:r>
          </w:p>
        </w:tc>
        <w:tc>
          <w:tcPr>
            <w:tcW w:w="1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635,613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582,709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4"/>
        </w:trPr>
        <w:tc>
          <w:tcPr>
            <w:tcW w:w="3840" w:type="dxa"/>
            <w:vAlign w:val="bottom"/>
          </w:tcPr>
          <w:p>
            <w:pPr>
              <w:ind w:left="220"/>
              <w:spacing w:after="0"/>
              <w:rPr>
                <w:sz w:val="20"/>
                <w:szCs w:val="20"/>
                <w:color w:val="auto"/>
              </w:rPr>
            </w:pPr>
            <w:r>
              <w:rPr>
                <w:rFonts w:ascii="Arial" w:cs="Arial" w:eastAsia="Arial" w:hAnsi="Arial"/>
                <w:sz w:val="18"/>
                <w:szCs w:val="18"/>
                <w:b w:val="1"/>
                <w:bCs w:val="1"/>
                <w:color w:val="auto"/>
              </w:rPr>
              <w:t>Total liabilities and shareholders’ equity</w:t>
            </w: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6,914,848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6,993,104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40" w:type="dxa"/>
            <w:vAlign w:val="bottom"/>
            <w:vMerge w:val="restart"/>
          </w:tcPr>
          <w:p>
            <w:pPr>
              <w:spacing w:after="0"/>
              <w:rPr>
                <w:sz w:val="20"/>
                <w:szCs w:val="20"/>
                <w:color w:val="auto"/>
              </w:rPr>
            </w:pPr>
            <w:r>
              <w:rPr>
                <w:rFonts w:ascii="Arial" w:cs="Arial" w:eastAsia="Arial" w:hAnsi="Arial"/>
                <w:sz w:val="18"/>
                <w:szCs w:val="18"/>
                <w:b w:val="1"/>
                <w:bCs w:val="1"/>
                <w:color w:val="auto"/>
              </w:rPr>
              <w:t>Net interest revenue</w:t>
            </w: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vMerge w:val="restart"/>
          </w:tcPr>
          <w:p>
            <w:pPr>
              <w:jc w:val="right"/>
              <w:ind w:right="11"/>
              <w:spacing w:after="0"/>
              <w:rPr>
                <w:sz w:val="20"/>
                <w:szCs w:val="20"/>
                <w:color w:val="auto"/>
              </w:rPr>
            </w:pPr>
            <w:r>
              <w:rPr>
                <w:rFonts w:ascii="Arial" w:cs="Arial" w:eastAsia="Arial" w:hAnsi="Arial"/>
                <w:sz w:val="18"/>
                <w:szCs w:val="18"/>
                <w:color w:val="auto"/>
              </w:rPr>
              <w:t>54,562</w:t>
            </w:r>
          </w:p>
        </w:tc>
        <w:tc>
          <w:tcPr>
            <w:tcW w:w="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w:t>
            </w:r>
          </w:p>
        </w:tc>
        <w:tc>
          <w:tcPr>
            <w:tcW w:w="1000" w:type="dxa"/>
            <w:vAlign w:val="bottom"/>
            <w:vMerge w:val="restart"/>
          </w:tcPr>
          <w:p>
            <w:pPr>
              <w:jc w:val="right"/>
              <w:ind w:right="11"/>
              <w:spacing w:after="0"/>
              <w:rPr>
                <w:sz w:val="20"/>
                <w:szCs w:val="20"/>
                <w:color w:val="auto"/>
              </w:rPr>
            </w:pPr>
            <w:r>
              <w:rPr>
                <w:rFonts w:ascii="Arial" w:cs="Arial" w:eastAsia="Arial" w:hAnsi="Arial"/>
                <w:sz w:val="18"/>
                <w:szCs w:val="18"/>
                <w:color w:val="auto"/>
              </w:rPr>
              <w:t>56,836</w:t>
            </w:r>
          </w:p>
        </w:tc>
        <w:tc>
          <w:tcPr>
            <w:tcW w:w="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0"/>
        </w:trPr>
        <w:tc>
          <w:tcPr>
            <w:tcW w:w="384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gridSpan w:val="2"/>
            <w:vMerge w:val="continue"/>
          </w:tcPr>
          <w:p>
            <w:pPr>
              <w:spacing w:after="0"/>
              <w:rPr>
                <w:sz w:val="24"/>
                <w:szCs w:val="24"/>
                <w:color w:val="auto"/>
              </w:rPr>
            </w:pPr>
          </w:p>
        </w:tc>
        <w:tc>
          <w:tcPr>
            <w:tcW w:w="98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0" w:type="dxa"/>
            <w:vAlign w:val="bottom"/>
            <w:gridSpan w:val="2"/>
            <w:vMerge w:val="continue"/>
          </w:tcPr>
          <w:p>
            <w:pPr>
              <w:spacing w:after="0"/>
              <w:rPr>
                <w:sz w:val="24"/>
                <w:szCs w:val="24"/>
                <w:color w:val="auto"/>
              </w:rPr>
            </w:pPr>
          </w:p>
        </w:tc>
        <w:tc>
          <w:tcPr>
            <w:tcW w:w="100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
        </w:trPr>
        <w:tc>
          <w:tcPr>
            <w:tcW w:w="3840" w:type="dxa"/>
            <w:vAlign w:val="bottom"/>
            <w:vMerge w:val="restart"/>
          </w:tcPr>
          <w:p>
            <w:pPr>
              <w:spacing w:after="0"/>
              <w:rPr>
                <w:sz w:val="20"/>
                <w:szCs w:val="20"/>
                <w:color w:val="auto"/>
              </w:rPr>
            </w:pPr>
            <w:r>
              <w:rPr>
                <w:rFonts w:ascii="Arial" w:cs="Arial" w:eastAsia="Arial" w:hAnsi="Arial"/>
                <w:sz w:val="18"/>
                <w:szCs w:val="18"/>
                <w:color w:val="auto"/>
              </w:rPr>
              <w:t>Net interest-rate spread</w:t>
            </w: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3.16%</w:t>
            </w: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3.27%</w:t>
            </w:r>
          </w:p>
        </w:tc>
        <w:tc>
          <w:tcPr>
            <w:tcW w:w="0" w:type="dxa"/>
            <w:vAlign w:val="bottom"/>
          </w:tcPr>
          <w:p>
            <w:pPr>
              <w:spacing w:after="0"/>
              <w:rPr>
                <w:sz w:val="1"/>
                <w:szCs w:val="1"/>
                <w:color w:val="auto"/>
              </w:rPr>
            </w:pPr>
          </w:p>
        </w:tc>
      </w:tr>
      <w:tr>
        <w:trPr>
          <w:trHeight w:val="211"/>
        </w:trPr>
        <w:tc>
          <w:tcPr>
            <w:tcW w:w="384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vMerge w:val="continue"/>
          </w:tcPr>
          <w:p>
            <w:pPr>
              <w:spacing w:after="0"/>
              <w:rPr>
                <w:sz w:val="17"/>
                <w:szCs w:val="17"/>
                <w:color w:val="auto"/>
              </w:rPr>
            </w:pPr>
          </w:p>
        </w:tc>
        <w:tc>
          <w:tcPr>
            <w:tcW w:w="118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vMerge w:val="continue"/>
          </w:tcPr>
          <w:p>
            <w:pPr>
              <w:spacing w:after="0"/>
              <w:rPr>
                <w:sz w:val="17"/>
                <w:szCs w:val="17"/>
                <w:color w:val="auto"/>
              </w:rPr>
            </w:pPr>
          </w:p>
        </w:tc>
        <w:tc>
          <w:tcPr>
            <w:tcW w:w="120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
        </w:trPr>
        <w:tc>
          <w:tcPr>
            <w:tcW w:w="3840" w:type="dxa"/>
            <w:vAlign w:val="bottom"/>
            <w:vMerge w:val="restart"/>
          </w:tcPr>
          <w:p>
            <w:pPr>
              <w:spacing w:after="0"/>
              <w:rPr>
                <w:sz w:val="20"/>
                <w:szCs w:val="20"/>
                <w:color w:val="auto"/>
              </w:rPr>
            </w:pPr>
            <w:r>
              <w:rPr>
                <w:rFonts w:ascii="Arial" w:cs="Arial" w:eastAsia="Arial" w:hAnsi="Arial"/>
                <w:sz w:val="18"/>
                <w:szCs w:val="18"/>
                <w:b w:val="1"/>
                <w:bCs w:val="1"/>
                <w:color w:val="auto"/>
              </w:rPr>
              <w:t xml:space="preserve">Net interest margin </w:t>
            </w:r>
            <w:r>
              <w:rPr>
                <w:rFonts w:ascii="Arial" w:cs="Arial" w:eastAsia="Arial" w:hAnsi="Arial"/>
                <w:sz w:val="24"/>
                <w:szCs w:val="24"/>
                <w:color w:val="auto"/>
                <w:vertAlign w:val="superscript"/>
              </w:rPr>
              <w:t>(4)</w:t>
            </w: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2"/>
        </w:trPr>
        <w:tc>
          <w:tcPr>
            <w:tcW w:w="384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3.31%</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3.43%</w:t>
            </w:r>
          </w:p>
        </w:tc>
        <w:tc>
          <w:tcPr>
            <w:tcW w:w="0" w:type="dxa"/>
            <w:vAlign w:val="bottom"/>
          </w:tcPr>
          <w:p>
            <w:pPr>
              <w:spacing w:after="0"/>
              <w:rPr>
                <w:sz w:val="1"/>
                <w:szCs w:val="1"/>
                <w:color w:val="auto"/>
              </w:rPr>
            </w:pPr>
          </w:p>
        </w:tc>
      </w:tr>
      <w:tr>
        <w:trPr>
          <w:trHeight w:val="20"/>
        </w:trPr>
        <w:tc>
          <w:tcPr>
            <w:tcW w:w="3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ind w:left="200" w:right="40" w:hanging="193"/>
        <w:spacing w:after="0" w:line="242" w:lineRule="auto"/>
        <w:tabs>
          <w:tab w:leader="none" w:pos="194" w:val="left"/>
        </w:tabs>
        <w:numPr>
          <w:ilvl w:val="0"/>
          <w:numId w:val="7"/>
        </w:numPr>
        <w:rPr>
          <w:rFonts w:ascii="Arial" w:cs="Arial" w:eastAsia="Arial" w:hAnsi="Arial"/>
          <w:sz w:val="22"/>
          <w:szCs w:val="22"/>
          <w:color w:val="auto"/>
          <w:vertAlign w:val="superscript"/>
        </w:rPr>
      </w:pPr>
      <w:r>
        <w:rPr>
          <w:rFonts w:ascii="Arial" w:cs="Arial" w:eastAsia="Arial" w:hAnsi="Arial"/>
          <w:sz w:val="16"/>
          <w:szCs w:val="16"/>
          <w:color w:val="auto"/>
        </w:rPr>
        <w:t>Interest revenue on tax-exempt securities and loans has been increased to reflect comparable interest on taxable securities and loans. The rate used was 39%, reflecting the statutory federal income tax rate and the federal tax adjusted state income tax rate.</w:t>
      </w:r>
    </w:p>
    <w:p>
      <w:pPr>
        <w:ind w:left="200" w:hanging="193"/>
        <w:spacing w:after="0" w:line="194" w:lineRule="auto"/>
        <w:tabs>
          <w:tab w:leader="none" w:pos="200" w:val="left"/>
        </w:tabs>
        <w:numPr>
          <w:ilvl w:val="0"/>
          <w:numId w:val="7"/>
        </w:numPr>
        <w:rPr>
          <w:rFonts w:ascii="Arial" w:cs="Arial" w:eastAsia="Arial" w:hAnsi="Arial"/>
          <w:sz w:val="23"/>
          <w:szCs w:val="23"/>
          <w:color w:val="auto"/>
          <w:vertAlign w:val="superscript"/>
        </w:rPr>
      </w:pPr>
      <w:r>
        <w:rPr>
          <w:rFonts w:ascii="Arial" w:cs="Arial" w:eastAsia="Arial" w:hAnsi="Arial"/>
          <w:sz w:val="17"/>
          <w:szCs w:val="17"/>
          <w:color w:val="auto"/>
        </w:rPr>
        <w:t>Included in the average balance of loans outstanding are loans where the accrual of interest has been discontinued and loans that are held for sale.</w:t>
      </w:r>
    </w:p>
    <w:p>
      <w:pPr>
        <w:spacing w:after="0" w:line="3" w:lineRule="exact"/>
        <w:rPr>
          <w:rFonts w:ascii="Arial" w:cs="Arial" w:eastAsia="Arial" w:hAnsi="Arial"/>
          <w:sz w:val="23"/>
          <w:szCs w:val="23"/>
          <w:color w:val="auto"/>
          <w:vertAlign w:val="superscript"/>
        </w:rPr>
      </w:pPr>
    </w:p>
    <w:p>
      <w:pPr>
        <w:ind w:left="200" w:right="260" w:hanging="193"/>
        <w:spacing w:after="0" w:line="233" w:lineRule="auto"/>
        <w:tabs>
          <w:tab w:leader="none" w:pos="194" w:val="left"/>
        </w:tabs>
        <w:numPr>
          <w:ilvl w:val="0"/>
          <w:numId w:val="7"/>
        </w:numPr>
        <w:rPr>
          <w:rFonts w:ascii="Arial" w:cs="Arial" w:eastAsia="Arial" w:hAnsi="Arial"/>
          <w:sz w:val="22"/>
          <w:szCs w:val="22"/>
          <w:color w:val="auto"/>
          <w:vertAlign w:val="superscript"/>
        </w:rPr>
      </w:pPr>
      <w:r>
        <w:rPr>
          <w:rFonts w:ascii="Arial" w:cs="Arial" w:eastAsia="Arial" w:hAnsi="Arial"/>
          <w:sz w:val="16"/>
          <w:szCs w:val="16"/>
          <w:color w:val="auto"/>
        </w:rPr>
        <w:t>Securities available for sale are shown at amortized cost. Pretax unrealized gains of $17.7 million in 2013 and $25.7 million in 2012 are included in other assets for purposes of this presentation.</w:t>
      </w:r>
    </w:p>
    <w:p>
      <w:pPr>
        <w:spacing w:after="0" w:line="1" w:lineRule="exact"/>
        <w:rPr>
          <w:rFonts w:ascii="Arial" w:cs="Arial" w:eastAsia="Arial" w:hAnsi="Arial"/>
          <w:sz w:val="22"/>
          <w:szCs w:val="22"/>
          <w:color w:val="auto"/>
          <w:vertAlign w:val="superscript"/>
        </w:rPr>
      </w:pPr>
    </w:p>
    <w:p>
      <w:pPr>
        <w:ind w:left="200" w:hanging="193"/>
        <w:spacing w:after="0" w:line="194" w:lineRule="auto"/>
        <w:tabs>
          <w:tab w:leader="none" w:pos="200" w:val="left"/>
        </w:tabs>
        <w:numPr>
          <w:ilvl w:val="0"/>
          <w:numId w:val="7"/>
        </w:numPr>
        <w:rPr>
          <w:rFonts w:ascii="Arial" w:cs="Arial" w:eastAsia="Arial" w:hAnsi="Arial"/>
          <w:sz w:val="23"/>
          <w:szCs w:val="23"/>
          <w:color w:val="auto"/>
          <w:vertAlign w:val="superscript"/>
        </w:rPr>
      </w:pPr>
      <w:r>
        <w:rPr>
          <w:rFonts w:ascii="Arial" w:cs="Arial" w:eastAsia="Arial" w:hAnsi="Arial"/>
          <w:sz w:val="17"/>
          <w:szCs w:val="17"/>
          <w:color w:val="auto"/>
        </w:rPr>
        <w:t>Net interest margin is taxable equivalent net-interest revenue divided by average interest-earning assets.</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13970</wp:posOffset>
            </wp:positionV>
            <wp:extent cx="724789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7890" cy="8255"/>
                    </a:xfrm>
                    <a:prstGeom prst="rect">
                      <a:avLst/>
                    </a:prstGeom>
                    <a:noFill/>
                  </pic:spPr>
                </pic:pic>
              </a:graphicData>
            </a:graphic>
          </wp:anchor>
        </w:drawing>
      </w:r>
    </w:p>
    <w:p>
      <w:pPr>
        <w:sectPr>
          <w:pgSz w:w="11900" w:h="16838" w:orient="portrait"/>
          <w:cols w:equalWidth="0" w:num="1">
            <w:col w:w="11420"/>
          </w:cols>
          <w:pgMar w:left="240" w:top="916" w:right="239" w:bottom="1440" w:gutter="0" w:footer="0" w:header="0"/>
        </w:sectPr>
      </w:pPr>
    </w:p>
    <w:bookmarkStart w:id="48" w:name="page49"/>
    <w:bookmarkEnd w:id="48"/>
    <w:p>
      <w:pPr>
        <w:spacing w:after="0" w:line="271" w:lineRule="auto"/>
        <w:rPr>
          <w:sz w:val="20"/>
          <w:szCs w:val="20"/>
          <w:color w:val="auto"/>
        </w:rPr>
      </w:pPr>
      <w:r>
        <w:rPr>
          <w:rFonts w:ascii="Arial" w:cs="Arial" w:eastAsia="Arial" w:hAnsi="Arial"/>
          <w:sz w:val="18"/>
          <w:szCs w:val="18"/>
          <w:color w:val="auto"/>
        </w:rPr>
        <w:t>The following table shows the relationship between interest revenue and expense, and the average amounts of interest-earning assets and interest-bearing liabilities for the six months ended June 20, 2013 and 2012.</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3 - Average Consolidated Balance Sheets and Net Interest Analysis</w:t>
      </w:r>
    </w:p>
    <w:p>
      <w:pPr>
        <w:spacing w:after="0" w:line="24" w:lineRule="exact"/>
        <w:rPr>
          <w:sz w:val="20"/>
          <w:szCs w:val="20"/>
          <w:color w:val="auto"/>
        </w:rPr>
      </w:pPr>
    </w:p>
    <w:p>
      <w:pPr>
        <w:spacing w:after="0"/>
        <w:rPr>
          <w:sz w:val="20"/>
          <w:szCs w:val="20"/>
          <w:color w:val="auto"/>
        </w:rPr>
      </w:pPr>
      <w:r>
        <w:rPr>
          <w:rFonts w:ascii="Arial" w:cs="Arial" w:eastAsia="Arial" w:hAnsi="Arial"/>
          <w:sz w:val="18"/>
          <w:szCs w:val="18"/>
          <w:color w:val="auto"/>
        </w:rPr>
        <w:t>For the Six Months Ended June 30,</w:t>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3160" w:type="dxa"/>
            <w:vAlign w:val="bottom"/>
            <w:tcBorders>
              <w:top w:val="single" w:sz="8" w:color="auto"/>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1100" w:type="dxa"/>
            <w:vAlign w:val="bottom"/>
            <w:tcBorders>
              <w:top w:val="single" w:sz="8" w:color="auto"/>
              <w:bottom w:val="single" w:sz="8" w:color="auto"/>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jc w:val="right"/>
              <w:ind w:right="431"/>
              <w:spacing w:after="0"/>
              <w:rPr>
                <w:sz w:val="20"/>
                <w:szCs w:val="20"/>
                <w:color w:val="auto"/>
              </w:rPr>
            </w:pPr>
            <w:r>
              <w:rPr>
                <w:rFonts w:ascii="Arial" w:cs="Arial" w:eastAsia="Arial" w:hAnsi="Arial"/>
                <w:sz w:val="18"/>
                <w:szCs w:val="18"/>
                <w:b w:val="1"/>
                <w:bCs w:val="1"/>
                <w:color w:val="auto"/>
              </w:rPr>
              <w:t>2013</w:t>
            </w:r>
          </w:p>
        </w:tc>
        <w:tc>
          <w:tcPr>
            <w:tcW w:w="100" w:type="dxa"/>
            <w:vAlign w:val="bottom"/>
            <w:tcBorders>
              <w:top w:val="single" w:sz="8" w:color="auto"/>
              <w:bottom w:val="single" w:sz="8" w:color="auto"/>
            </w:tcBorders>
          </w:tcPr>
          <w:p>
            <w:pPr>
              <w:spacing w:after="0"/>
              <w:rPr>
                <w:sz w:val="21"/>
                <w:szCs w:val="21"/>
                <w:color w:val="auto"/>
              </w:rPr>
            </w:pPr>
          </w:p>
        </w:tc>
        <w:tc>
          <w:tcPr>
            <w:tcW w:w="1280" w:type="dxa"/>
            <w:vAlign w:val="bottom"/>
            <w:tcBorders>
              <w:top w:val="single" w:sz="8" w:color="auto"/>
              <w:bottom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1040" w:type="dxa"/>
            <w:vAlign w:val="bottom"/>
            <w:tcBorders>
              <w:top w:val="single" w:sz="8" w:color="auto"/>
              <w:bottom w:val="single" w:sz="8" w:color="auto"/>
            </w:tcBorders>
          </w:tcPr>
          <w:p>
            <w:pPr>
              <w:jc w:val="right"/>
              <w:ind w:right="391"/>
              <w:spacing w:after="0"/>
              <w:rPr>
                <w:sz w:val="20"/>
                <w:szCs w:val="20"/>
                <w:color w:val="auto"/>
              </w:rPr>
            </w:pPr>
            <w:r>
              <w:rPr>
                <w:rFonts w:ascii="Arial" w:cs="Arial" w:eastAsia="Arial" w:hAnsi="Arial"/>
                <w:sz w:val="18"/>
                <w:szCs w:val="18"/>
                <w:b w:val="1"/>
                <w:bCs w:val="1"/>
                <w:color w:val="auto"/>
              </w:rPr>
              <w:t>2012</w:t>
            </w:r>
          </w:p>
        </w:tc>
        <w:tc>
          <w:tcPr>
            <w:tcW w:w="120" w:type="dxa"/>
            <w:vAlign w:val="bottom"/>
            <w:tcBorders>
              <w:top w:val="single" w:sz="8" w:color="auto"/>
              <w:bottom w:val="single" w:sz="8" w:color="auto"/>
            </w:tcBorders>
          </w:tcPr>
          <w:p>
            <w:pPr>
              <w:spacing w:after="0"/>
              <w:rPr>
                <w:sz w:val="21"/>
                <w:szCs w:val="21"/>
                <w:color w:val="auto"/>
              </w:rPr>
            </w:pPr>
          </w:p>
        </w:tc>
        <w:tc>
          <w:tcPr>
            <w:tcW w:w="1280" w:type="dxa"/>
            <w:vAlign w:val="bottom"/>
            <w:tcBorders>
              <w:top w:val="single" w:sz="8" w:color="auto"/>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3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jc w:val="right"/>
              <w:ind w:right="291"/>
              <w:spacing w:after="0" w:line="196" w:lineRule="exact"/>
              <w:rPr>
                <w:sz w:val="20"/>
                <w:szCs w:val="20"/>
                <w:color w:val="auto"/>
              </w:rPr>
            </w:pPr>
            <w:r>
              <w:rPr>
                <w:rFonts w:ascii="Arial" w:cs="Arial" w:eastAsia="Arial" w:hAnsi="Arial"/>
                <w:sz w:val="18"/>
                <w:szCs w:val="18"/>
                <w:b w:val="1"/>
                <w:bCs w:val="1"/>
                <w:color w:val="auto"/>
                <w:w w:val="98"/>
              </w:rPr>
              <w:t>Average</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jc w:val="right"/>
              <w:ind w:right="451"/>
              <w:spacing w:after="0" w:line="196" w:lineRule="exact"/>
              <w:rPr>
                <w:sz w:val="20"/>
                <w:szCs w:val="20"/>
                <w:color w:val="auto"/>
              </w:rPr>
            </w:pPr>
            <w:r>
              <w:rPr>
                <w:rFonts w:ascii="Arial" w:cs="Arial" w:eastAsia="Arial" w:hAnsi="Arial"/>
                <w:sz w:val="18"/>
                <w:szCs w:val="18"/>
                <w:b w:val="1"/>
                <w:bCs w:val="1"/>
                <w:color w:val="auto"/>
              </w:rPr>
              <w:t>Avg.</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jc w:val="right"/>
              <w:ind w:right="271"/>
              <w:spacing w:after="0" w:line="196" w:lineRule="exact"/>
              <w:rPr>
                <w:sz w:val="20"/>
                <w:szCs w:val="20"/>
                <w:color w:val="auto"/>
              </w:rPr>
            </w:pPr>
            <w:r>
              <w:rPr>
                <w:rFonts w:ascii="Arial" w:cs="Arial" w:eastAsia="Arial" w:hAnsi="Arial"/>
                <w:sz w:val="18"/>
                <w:szCs w:val="18"/>
                <w:b w:val="1"/>
                <w:bCs w:val="1"/>
                <w:color w:val="auto"/>
                <w:w w:val="95"/>
              </w:rPr>
              <w:t>Average</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tcPr>
          <w:p>
            <w:pPr>
              <w:jc w:val="right"/>
              <w:ind w:right="471"/>
              <w:spacing w:after="0" w:line="196" w:lineRule="exact"/>
              <w:rPr>
                <w:sz w:val="20"/>
                <w:szCs w:val="20"/>
                <w:color w:val="auto"/>
              </w:rPr>
            </w:pPr>
            <w:r>
              <w:rPr>
                <w:rFonts w:ascii="Arial" w:cs="Arial" w:eastAsia="Arial" w:hAnsi="Arial"/>
                <w:sz w:val="18"/>
                <w:szCs w:val="18"/>
                <w:b w:val="1"/>
                <w:bCs w:val="1"/>
                <w:color w:val="auto"/>
              </w:rPr>
              <w:t>Avg.</w:t>
            </w:r>
          </w:p>
        </w:tc>
        <w:tc>
          <w:tcPr>
            <w:tcW w:w="0" w:type="dxa"/>
            <w:vAlign w:val="bottom"/>
          </w:tcPr>
          <w:p>
            <w:pPr>
              <w:spacing w:after="0"/>
              <w:rPr>
                <w:sz w:val="1"/>
                <w:szCs w:val="1"/>
                <w:color w:val="auto"/>
              </w:rPr>
            </w:pPr>
          </w:p>
        </w:tc>
      </w:tr>
      <w:tr>
        <w:trPr>
          <w:trHeight w:val="239"/>
        </w:trPr>
        <w:tc>
          <w:tcPr>
            <w:tcW w:w="316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w w:val="95"/>
              </w:rPr>
              <w:t>(dollars in thousands, taxable equivalent)</w:t>
            </w:r>
          </w:p>
        </w:tc>
        <w:tc>
          <w:tcPr>
            <w:tcW w:w="1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11"/>
              <w:spacing w:after="0"/>
              <w:rPr>
                <w:sz w:val="20"/>
                <w:szCs w:val="20"/>
                <w:color w:val="auto"/>
              </w:rPr>
            </w:pPr>
            <w:r>
              <w:rPr>
                <w:rFonts w:ascii="Arial" w:cs="Arial" w:eastAsia="Arial" w:hAnsi="Arial"/>
                <w:sz w:val="18"/>
                <w:szCs w:val="18"/>
                <w:b w:val="1"/>
                <w:bCs w:val="1"/>
                <w:color w:val="auto"/>
                <w:w w:val="98"/>
              </w:rPr>
              <w:t>Balance</w:t>
            </w:r>
          </w:p>
        </w:tc>
        <w:tc>
          <w:tcPr>
            <w:tcW w:w="1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291"/>
              <w:spacing w:after="0"/>
              <w:rPr>
                <w:sz w:val="20"/>
                <w:szCs w:val="20"/>
                <w:color w:val="auto"/>
              </w:rPr>
            </w:pPr>
            <w:r>
              <w:rPr>
                <w:rFonts w:ascii="Arial" w:cs="Arial" w:eastAsia="Arial" w:hAnsi="Arial"/>
                <w:sz w:val="18"/>
                <w:szCs w:val="18"/>
                <w:b w:val="1"/>
                <w:bCs w:val="1"/>
                <w:color w:val="auto"/>
              </w:rPr>
              <w:t>Interest</w:t>
            </w:r>
          </w:p>
        </w:tc>
        <w:tc>
          <w:tcPr>
            <w:tcW w:w="1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51"/>
              <w:spacing w:after="0"/>
              <w:rPr>
                <w:sz w:val="20"/>
                <w:szCs w:val="20"/>
                <w:color w:val="auto"/>
              </w:rPr>
            </w:pPr>
            <w:r>
              <w:rPr>
                <w:rFonts w:ascii="Arial" w:cs="Arial" w:eastAsia="Arial" w:hAnsi="Arial"/>
                <w:sz w:val="18"/>
                <w:szCs w:val="18"/>
                <w:b w:val="1"/>
                <w:bCs w:val="1"/>
                <w:color w:val="auto"/>
              </w:rPr>
              <w:t>Rate</w:t>
            </w:r>
          </w:p>
        </w:tc>
        <w:tc>
          <w:tcPr>
            <w:tcW w:w="1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271"/>
              <w:spacing w:after="0"/>
              <w:rPr>
                <w:sz w:val="20"/>
                <w:szCs w:val="20"/>
                <w:color w:val="auto"/>
              </w:rPr>
            </w:pPr>
            <w:r>
              <w:rPr>
                <w:rFonts w:ascii="Arial" w:cs="Arial" w:eastAsia="Arial" w:hAnsi="Arial"/>
                <w:sz w:val="18"/>
                <w:szCs w:val="18"/>
                <w:b w:val="1"/>
                <w:bCs w:val="1"/>
                <w:color w:val="auto"/>
                <w:w w:val="98"/>
              </w:rPr>
              <w:t>Balance</w:t>
            </w:r>
          </w:p>
        </w:tc>
        <w:tc>
          <w:tcPr>
            <w:tcW w:w="1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271"/>
              <w:spacing w:after="0"/>
              <w:rPr>
                <w:sz w:val="20"/>
                <w:szCs w:val="20"/>
                <w:color w:val="auto"/>
              </w:rPr>
            </w:pPr>
            <w:r>
              <w:rPr>
                <w:rFonts w:ascii="Arial" w:cs="Arial" w:eastAsia="Arial" w:hAnsi="Arial"/>
                <w:sz w:val="18"/>
                <w:szCs w:val="18"/>
                <w:b w:val="1"/>
                <w:bCs w:val="1"/>
                <w:color w:val="auto"/>
              </w:rPr>
              <w:t>Interest</w:t>
            </w:r>
          </w:p>
        </w:tc>
        <w:tc>
          <w:tcPr>
            <w:tcW w:w="1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51"/>
              <w:spacing w:after="0"/>
              <w:rPr>
                <w:sz w:val="20"/>
                <w:szCs w:val="20"/>
                <w:color w:val="auto"/>
              </w:rPr>
            </w:pPr>
            <w:r>
              <w:rPr>
                <w:rFonts w:ascii="Arial" w:cs="Arial" w:eastAsia="Arial" w:hAnsi="Arial"/>
                <w:sz w:val="18"/>
                <w:szCs w:val="18"/>
                <w:b w:val="1"/>
                <w:bCs w:val="1"/>
                <w:color w:val="auto"/>
              </w:rPr>
              <w:t>Rate</w:t>
            </w:r>
          </w:p>
        </w:tc>
        <w:tc>
          <w:tcPr>
            <w:tcW w:w="0" w:type="dxa"/>
            <w:vAlign w:val="bottom"/>
          </w:tcPr>
          <w:p>
            <w:pPr>
              <w:spacing w:after="0"/>
              <w:rPr>
                <w:sz w:val="1"/>
                <w:szCs w:val="1"/>
                <w:color w:val="auto"/>
              </w:rPr>
            </w:pPr>
          </w:p>
        </w:tc>
      </w:tr>
      <w:tr>
        <w:trPr>
          <w:trHeight w:val="200"/>
        </w:trPr>
        <w:tc>
          <w:tcPr>
            <w:tcW w:w="3160" w:type="dxa"/>
            <w:vAlign w:val="bottom"/>
          </w:tcPr>
          <w:p>
            <w:pPr>
              <w:spacing w:after="0" w:line="200" w:lineRule="exact"/>
              <w:rPr>
                <w:sz w:val="20"/>
                <w:szCs w:val="20"/>
                <w:color w:val="auto"/>
              </w:rPr>
            </w:pPr>
            <w:r>
              <w:rPr>
                <w:rFonts w:ascii="Arial" w:cs="Arial" w:eastAsia="Arial" w:hAnsi="Arial"/>
                <w:sz w:val="18"/>
                <w:szCs w:val="18"/>
                <w:b w:val="1"/>
                <w:bCs w:val="1"/>
                <w:color w:val="auto"/>
              </w:rPr>
              <w:t>Assets:</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3160" w:type="dxa"/>
            <w:vAlign w:val="bottom"/>
          </w:tcPr>
          <w:p>
            <w:pPr>
              <w:spacing w:after="0"/>
              <w:rPr>
                <w:sz w:val="20"/>
                <w:szCs w:val="20"/>
                <w:color w:val="auto"/>
              </w:rPr>
            </w:pPr>
            <w:r>
              <w:rPr>
                <w:rFonts w:ascii="Arial" w:cs="Arial" w:eastAsia="Arial" w:hAnsi="Arial"/>
                <w:sz w:val="18"/>
                <w:szCs w:val="18"/>
                <w:color w:val="auto"/>
              </w:rPr>
              <w:t>Interest-earning assets:</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160" w:type="dxa"/>
            <w:vAlign w:val="bottom"/>
          </w:tcPr>
          <w:p>
            <w:pPr>
              <w:ind w:left="160"/>
              <w:spacing w:after="0" w:line="214" w:lineRule="exact"/>
              <w:rPr>
                <w:sz w:val="20"/>
                <w:szCs w:val="20"/>
                <w:color w:val="auto"/>
              </w:rPr>
            </w:pPr>
            <w:r>
              <w:rPr>
                <w:rFonts w:ascii="Arial" w:cs="Arial" w:eastAsia="Arial" w:hAnsi="Arial"/>
                <w:sz w:val="18"/>
                <w:szCs w:val="18"/>
                <w:color w:val="auto"/>
              </w:rPr>
              <w:t xml:space="preserve">Loans, net of unearned income </w:t>
            </w:r>
            <w:r>
              <w:rPr>
                <w:rFonts w:ascii="Arial" w:cs="Arial" w:eastAsia="Arial" w:hAnsi="Arial"/>
                <w:sz w:val="24"/>
                <w:szCs w:val="24"/>
                <w:color w:val="auto"/>
                <w:vertAlign w:val="superscript"/>
              </w:rPr>
              <w:t>(1)(2)</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4,225,215</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101,805</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4.86%</w:t>
            </w:r>
          </w:p>
        </w:tc>
        <w:tc>
          <w:tcPr>
            <w:tcW w:w="28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4,162,030</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110,138</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5.32%</w:t>
            </w:r>
          </w:p>
        </w:tc>
        <w:tc>
          <w:tcPr>
            <w:tcW w:w="0" w:type="dxa"/>
            <w:vAlign w:val="bottom"/>
          </w:tcPr>
          <w:p>
            <w:pPr>
              <w:spacing w:after="0"/>
              <w:rPr>
                <w:sz w:val="1"/>
                <w:szCs w:val="1"/>
                <w:color w:val="auto"/>
              </w:rPr>
            </w:pPr>
          </w:p>
        </w:tc>
      </w:tr>
      <w:tr>
        <w:trPr>
          <w:trHeight w:val="214"/>
        </w:trPr>
        <w:tc>
          <w:tcPr>
            <w:tcW w:w="3160" w:type="dxa"/>
            <w:vAlign w:val="bottom"/>
          </w:tcPr>
          <w:p>
            <w:pPr>
              <w:ind w:left="160"/>
              <w:spacing w:after="0" w:line="214" w:lineRule="exact"/>
              <w:rPr>
                <w:sz w:val="20"/>
                <w:szCs w:val="20"/>
                <w:color w:val="auto"/>
              </w:rPr>
            </w:pPr>
            <w:r>
              <w:rPr>
                <w:rFonts w:ascii="Arial" w:cs="Arial" w:eastAsia="Arial" w:hAnsi="Arial"/>
                <w:sz w:val="18"/>
                <w:szCs w:val="18"/>
                <w:color w:val="auto"/>
              </w:rPr>
              <w:t xml:space="preserve">Taxable securities </w:t>
            </w:r>
            <w:r>
              <w:rPr>
                <w:rFonts w:ascii="Arial" w:cs="Arial" w:eastAsia="Arial" w:hAnsi="Arial"/>
                <w:sz w:val="24"/>
                <w:szCs w:val="24"/>
                <w:color w:val="auto"/>
                <w:vertAlign w:val="superscript"/>
              </w:rPr>
              <w:t>(3)</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2,129,208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19,224</w:t>
            </w:r>
          </w:p>
        </w:tc>
        <w:tc>
          <w:tcPr>
            <w:tcW w:w="1380" w:type="dxa"/>
            <w:vAlign w:val="bottom"/>
            <w:gridSpan w:val="2"/>
          </w:tcPr>
          <w:p>
            <w:pPr>
              <w:jc w:val="right"/>
              <w:ind w:right="71"/>
              <w:spacing w:after="0"/>
              <w:rPr>
                <w:sz w:val="20"/>
                <w:szCs w:val="20"/>
                <w:color w:val="auto"/>
              </w:rPr>
            </w:pPr>
            <w:r>
              <w:rPr>
                <w:rFonts w:ascii="Arial" w:cs="Arial" w:eastAsia="Arial" w:hAnsi="Arial"/>
                <w:sz w:val="18"/>
                <w:szCs w:val="18"/>
                <w:color w:val="auto"/>
              </w:rPr>
              <w:t>1.81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2,124,422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23,554</w:t>
            </w:r>
          </w:p>
        </w:tc>
        <w:tc>
          <w:tcPr>
            <w:tcW w:w="1400" w:type="dxa"/>
            <w:vAlign w:val="bottom"/>
            <w:gridSpan w:val="2"/>
          </w:tcPr>
          <w:p>
            <w:pPr>
              <w:jc w:val="right"/>
              <w:ind w:right="71"/>
              <w:spacing w:after="0"/>
              <w:rPr>
                <w:sz w:val="20"/>
                <w:szCs w:val="20"/>
                <w:color w:val="auto"/>
              </w:rPr>
            </w:pPr>
            <w:r>
              <w:rPr>
                <w:rFonts w:ascii="Arial" w:cs="Arial" w:eastAsia="Arial" w:hAnsi="Arial"/>
                <w:sz w:val="18"/>
                <w:szCs w:val="18"/>
                <w:color w:val="auto"/>
              </w:rPr>
              <w:t>2.22</w:t>
            </w:r>
          </w:p>
        </w:tc>
        <w:tc>
          <w:tcPr>
            <w:tcW w:w="0" w:type="dxa"/>
            <w:vAlign w:val="bottom"/>
          </w:tcPr>
          <w:p>
            <w:pPr>
              <w:spacing w:after="0"/>
              <w:rPr>
                <w:sz w:val="1"/>
                <w:szCs w:val="1"/>
                <w:color w:val="auto"/>
              </w:rPr>
            </w:pPr>
          </w:p>
        </w:tc>
      </w:tr>
      <w:tr>
        <w:trPr>
          <w:trHeight w:val="214"/>
        </w:trPr>
        <w:tc>
          <w:tcPr>
            <w:tcW w:w="3160" w:type="dxa"/>
            <w:vAlign w:val="bottom"/>
          </w:tcPr>
          <w:p>
            <w:pPr>
              <w:ind w:left="160"/>
              <w:spacing w:after="0" w:line="214" w:lineRule="exact"/>
              <w:rPr>
                <w:sz w:val="20"/>
                <w:szCs w:val="20"/>
                <w:color w:val="auto"/>
              </w:rPr>
            </w:pPr>
            <w:r>
              <w:rPr>
                <w:rFonts w:ascii="Arial" w:cs="Arial" w:eastAsia="Arial" w:hAnsi="Arial"/>
                <w:sz w:val="18"/>
                <w:szCs w:val="18"/>
                <w:color w:val="auto"/>
              </w:rPr>
              <w:t xml:space="preserve">Tax-exempt securities </w:t>
            </w:r>
            <w:r>
              <w:rPr>
                <w:rFonts w:ascii="Arial" w:cs="Arial" w:eastAsia="Arial" w:hAnsi="Arial"/>
                <w:sz w:val="24"/>
                <w:szCs w:val="24"/>
                <w:color w:val="auto"/>
                <w:vertAlign w:val="superscript"/>
              </w:rPr>
              <w:t>(1)(3)</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21,665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691</w:t>
            </w:r>
          </w:p>
        </w:tc>
        <w:tc>
          <w:tcPr>
            <w:tcW w:w="1380" w:type="dxa"/>
            <w:vAlign w:val="bottom"/>
            <w:gridSpan w:val="2"/>
          </w:tcPr>
          <w:p>
            <w:pPr>
              <w:jc w:val="right"/>
              <w:ind w:right="71"/>
              <w:spacing w:after="0"/>
              <w:rPr>
                <w:sz w:val="20"/>
                <w:szCs w:val="20"/>
                <w:color w:val="auto"/>
              </w:rPr>
            </w:pPr>
            <w:r>
              <w:rPr>
                <w:rFonts w:ascii="Arial" w:cs="Arial" w:eastAsia="Arial" w:hAnsi="Arial"/>
                <w:sz w:val="18"/>
                <w:szCs w:val="18"/>
                <w:color w:val="auto"/>
              </w:rPr>
              <w:t>6.38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24,840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839</w:t>
            </w:r>
          </w:p>
        </w:tc>
        <w:tc>
          <w:tcPr>
            <w:tcW w:w="1400" w:type="dxa"/>
            <w:vAlign w:val="bottom"/>
            <w:gridSpan w:val="2"/>
          </w:tcPr>
          <w:p>
            <w:pPr>
              <w:jc w:val="right"/>
              <w:ind w:right="71"/>
              <w:spacing w:after="0"/>
              <w:rPr>
                <w:sz w:val="20"/>
                <w:szCs w:val="20"/>
                <w:color w:val="auto"/>
              </w:rPr>
            </w:pPr>
            <w:r>
              <w:rPr>
                <w:rFonts w:ascii="Arial" w:cs="Arial" w:eastAsia="Arial" w:hAnsi="Arial"/>
                <w:sz w:val="18"/>
                <w:szCs w:val="18"/>
                <w:color w:val="auto"/>
              </w:rPr>
              <w:t>6.76</w:t>
            </w:r>
          </w:p>
        </w:tc>
        <w:tc>
          <w:tcPr>
            <w:tcW w:w="0" w:type="dxa"/>
            <w:vAlign w:val="bottom"/>
          </w:tcPr>
          <w:p>
            <w:pPr>
              <w:spacing w:after="0"/>
              <w:rPr>
                <w:sz w:val="1"/>
                <w:szCs w:val="1"/>
                <w:color w:val="auto"/>
              </w:rPr>
            </w:pPr>
          </w:p>
        </w:tc>
      </w:tr>
      <w:tr>
        <w:trPr>
          <w:trHeight w:val="214"/>
        </w:trPr>
        <w:tc>
          <w:tcPr>
            <w:tcW w:w="3160" w:type="dxa"/>
            <w:vAlign w:val="bottom"/>
          </w:tcPr>
          <w:p>
            <w:pPr>
              <w:ind w:left="160"/>
              <w:spacing w:after="0"/>
              <w:rPr>
                <w:sz w:val="20"/>
                <w:szCs w:val="20"/>
                <w:color w:val="auto"/>
              </w:rPr>
            </w:pPr>
            <w:r>
              <w:rPr>
                <w:rFonts w:ascii="Arial" w:cs="Arial" w:eastAsia="Arial" w:hAnsi="Arial"/>
                <w:sz w:val="18"/>
                <w:szCs w:val="18"/>
                <w:color w:val="auto"/>
                <w:w w:val="99"/>
              </w:rPr>
              <w:t>Federal funds sold and other interest-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3160" w:type="dxa"/>
            <w:vAlign w:val="bottom"/>
          </w:tcPr>
          <w:p>
            <w:pPr>
              <w:ind w:left="320"/>
              <w:spacing w:after="0"/>
              <w:rPr>
                <w:sz w:val="20"/>
                <w:szCs w:val="20"/>
                <w:color w:val="auto"/>
              </w:rPr>
            </w:pPr>
            <w:r>
              <w:rPr>
                <w:rFonts w:ascii="Arial" w:cs="Arial" w:eastAsia="Arial" w:hAnsi="Arial"/>
                <w:sz w:val="18"/>
                <w:szCs w:val="18"/>
                <w:color w:val="auto"/>
              </w:rPr>
              <w:t>earning assets</w:t>
            </w:r>
          </w:p>
        </w:tc>
        <w:tc>
          <w:tcPr>
            <w:tcW w:w="1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201,478</w:t>
            </w: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2,107</w:t>
            </w:r>
          </w:p>
        </w:tc>
        <w:tc>
          <w:tcPr>
            <w:tcW w:w="1380" w:type="dxa"/>
            <w:vAlign w:val="bottom"/>
            <w:gridSpan w:val="2"/>
          </w:tcPr>
          <w:p>
            <w:pPr>
              <w:jc w:val="right"/>
              <w:ind w:right="71"/>
              <w:spacing w:after="0"/>
              <w:rPr>
                <w:sz w:val="20"/>
                <w:szCs w:val="20"/>
                <w:color w:val="auto"/>
              </w:rPr>
            </w:pPr>
            <w:r>
              <w:rPr>
                <w:rFonts w:ascii="Arial" w:cs="Arial" w:eastAsia="Arial" w:hAnsi="Arial"/>
                <w:sz w:val="18"/>
                <w:szCs w:val="18"/>
                <w:color w:val="auto"/>
              </w:rPr>
              <w:t>2.09</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371,044</w:t>
            </w: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2,470</w:t>
            </w:r>
          </w:p>
        </w:tc>
        <w:tc>
          <w:tcPr>
            <w:tcW w:w="1400" w:type="dxa"/>
            <w:vAlign w:val="bottom"/>
            <w:gridSpan w:val="2"/>
          </w:tcPr>
          <w:p>
            <w:pPr>
              <w:jc w:val="right"/>
              <w:ind w:right="71"/>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435"/>
        </w:trPr>
        <w:tc>
          <w:tcPr>
            <w:tcW w:w="3160" w:type="dxa"/>
            <w:vAlign w:val="bottom"/>
          </w:tcPr>
          <w:p>
            <w:pPr>
              <w:ind w:left="320"/>
              <w:spacing w:after="0"/>
              <w:rPr>
                <w:sz w:val="20"/>
                <w:szCs w:val="20"/>
                <w:color w:val="auto"/>
              </w:rPr>
            </w:pPr>
            <w:r>
              <w:rPr>
                <w:rFonts w:ascii="Arial" w:cs="Arial" w:eastAsia="Arial" w:hAnsi="Arial"/>
                <w:sz w:val="18"/>
                <w:szCs w:val="18"/>
                <w:b w:val="1"/>
                <w:bCs w:val="1"/>
                <w:color w:val="auto"/>
              </w:rPr>
              <w:t>Total interest-earning assets</w:t>
            </w:r>
          </w:p>
        </w:tc>
        <w:tc>
          <w:tcPr>
            <w:tcW w:w="1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6,577,566</w:t>
            </w:r>
          </w:p>
        </w:tc>
        <w:tc>
          <w:tcPr>
            <w:tcW w:w="1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123,827</w:t>
            </w:r>
          </w:p>
        </w:tc>
        <w:tc>
          <w:tcPr>
            <w:tcW w:w="1380" w:type="dxa"/>
            <w:vAlign w:val="bottom"/>
            <w:gridSpan w:val="2"/>
          </w:tcPr>
          <w:p>
            <w:pPr>
              <w:jc w:val="right"/>
              <w:ind w:right="71"/>
              <w:spacing w:after="0"/>
              <w:rPr>
                <w:sz w:val="20"/>
                <w:szCs w:val="20"/>
                <w:color w:val="auto"/>
              </w:rPr>
            </w:pPr>
            <w:r>
              <w:rPr>
                <w:rFonts w:ascii="Arial" w:cs="Arial" w:eastAsia="Arial" w:hAnsi="Arial"/>
                <w:sz w:val="18"/>
                <w:szCs w:val="18"/>
                <w:color w:val="auto"/>
              </w:rPr>
              <w:t>3.79</w:t>
            </w: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6,682,336</w:t>
            </w:r>
          </w:p>
        </w:tc>
        <w:tc>
          <w:tcPr>
            <w:tcW w:w="1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137,001</w:t>
            </w:r>
          </w:p>
        </w:tc>
        <w:tc>
          <w:tcPr>
            <w:tcW w:w="1400" w:type="dxa"/>
            <w:vAlign w:val="bottom"/>
            <w:gridSpan w:val="2"/>
          </w:tcPr>
          <w:p>
            <w:pPr>
              <w:jc w:val="right"/>
              <w:ind w:right="71"/>
              <w:spacing w:after="0"/>
              <w:rPr>
                <w:sz w:val="20"/>
                <w:szCs w:val="20"/>
                <w:color w:val="auto"/>
              </w:rPr>
            </w:pPr>
            <w:r>
              <w:rPr>
                <w:rFonts w:ascii="Arial" w:cs="Arial" w:eastAsia="Arial" w:hAnsi="Arial"/>
                <w:sz w:val="18"/>
                <w:szCs w:val="18"/>
                <w:color w:val="auto"/>
              </w:rPr>
              <w:t>4.12</w:t>
            </w:r>
          </w:p>
        </w:tc>
        <w:tc>
          <w:tcPr>
            <w:tcW w:w="0" w:type="dxa"/>
            <w:vAlign w:val="bottom"/>
          </w:tcPr>
          <w:p>
            <w:pPr>
              <w:spacing w:after="0"/>
              <w:rPr>
                <w:sz w:val="1"/>
                <w:szCs w:val="1"/>
                <w:color w:val="auto"/>
              </w:rPr>
            </w:pPr>
          </w:p>
        </w:tc>
      </w:tr>
      <w:tr>
        <w:trPr>
          <w:trHeight w:val="200"/>
        </w:trPr>
        <w:tc>
          <w:tcPr>
            <w:tcW w:w="3160" w:type="dxa"/>
            <w:vAlign w:val="bottom"/>
          </w:tcPr>
          <w:p>
            <w:pPr>
              <w:spacing w:after="0" w:line="200" w:lineRule="exact"/>
              <w:rPr>
                <w:sz w:val="20"/>
                <w:szCs w:val="20"/>
                <w:color w:val="auto"/>
              </w:rPr>
            </w:pPr>
            <w:r>
              <w:rPr>
                <w:rFonts w:ascii="Arial" w:cs="Arial" w:eastAsia="Arial" w:hAnsi="Arial"/>
                <w:sz w:val="18"/>
                <w:szCs w:val="18"/>
                <w:color w:val="auto"/>
              </w:rPr>
              <w:t>Non-interest-earning assets:</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3160" w:type="dxa"/>
            <w:vAlign w:val="bottom"/>
          </w:tcPr>
          <w:p>
            <w:pPr>
              <w:ind w:left="160"/>
              <w:spacing w:after="0"/>
              <w:rPr>
                <w:sz w:val="20"/>
                <w:szCs w:val="20"/>
                <w:color w:val="auto"/>
              </w:rPr>
            </w:pPr>
            <w:r>
              <w:rPr>
                <w:rFonts w:ascii="Arial" w:cs="Arial" w:eastAsia="Arial" w:hAnsi="Arial"/>
                <w:sz w:val="18"/>
                <w:szCs w:val="18"/>
                <w:color w:val="auto"/>
              </w:rPr>
              <w:t>Allowance for loan losses</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(108,667)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(116,879)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160" w:type="dxa"/>
            <w:vAlign w:val="bottom"/>
          </w:tcPr>
          <w:p>
            <w:pPr>
              <w:ind w:left="160"/>
              <w:spacing w:after="0"/>
              <w:rPr>
                <w:sz w:val="20"/>
                <w:szCs w:val="20"/>
                <w:color w:val="auto"/>
              </w:rPr>
            </w:pPr>
            <w:r>
              <w:rPr>
                <w:rFonts w:ascii="Arial" w:cs="Arial" w:eastAsia="Arial" w:hAnsi="Arial"/>
                <w:sz w:val="18"/>
                <w:szCs w:val="18"/>
                <w:color w:val="auto"/>
              </w:rPr>
              <w:t>Cash and due from banks</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63,873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53,286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160" w:type="dxa"/>
            <w:vAlign w:val="bottom"/>
          </w:tcPr>
          <w:p>
            <w:pPr>
              <w:ind w:left="160"/>
              <w:spacing w:after="0"/>
              <w:rPr>
                <w:sz w:val="20"/>
                <w:szCs w:val="20"/>
                <w:color w:val="auto"/>
              </w:rPr>
            </w:pPr>
            <w:r>
              <w:rPr>
                <w:rFonts w:ascii="Arial" w:cs="Arial" w:eastAsia="Arial" w:hAnsi="Arial"/>
                <w:sz w:val="18"/>
                <w:szCs w:val="18"/>
                <w:color w:val="auto"/>
              </w:rPr>
              <w:t>Premises and equipment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168,773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174,321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3160" w:type="dxa"/>
            <w:vAlign w:val="bottom"/>
          </w:tcPr>
          <w:p>
            <w:pPr>
              <w:ind w:left="160"/>
              <w:spacing w:after="0" w:line="228" w:lineRule="exact"/>
              <w:rPr>
                <w:sz w:val="20"/>
                <w:szCs w:val="20"/>
                <w:color w:val="auto"/>
              </w:rPr>
            </w:pPr>
            <w:r>
              <w:rPr>
                <w:rFonts w:ascii="Arial" w:cs="Arial" w:eastAsia="Arial" w:hAnsi="Arial"/>
                <w:sz w:val="18"/>
                <w:szCs w:val="18"/>
                <w:color w:val="auto"/>
              </w:rPr>
              <w:t xml:space="preserve">Other assets </w:t>
            </w:r>
            <w:r>
              <w:rPr>
                <w:rFonts w:ascii="Arial" w:cs="Arial" w:eastAsia="Arial" w:hAnsi="Arial"/>
                <w:sz w:val="24"/>
                <w:szCs w:val="24"/>
                <w:color w:val="auto"/>
                <w:vertAlign w:val="superscript"/>
              </w:rPr>
              <w:t>(3)</w:t>
            </w:r>
          </w:p>
        </w:tc>
        <w:tc>
          <w:tcPr>
            <w:tcW w:w="1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173,168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226,013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4"/>
        </w:trPr>
        <w:tc>
          <w:tcPr>
            <w:tcW w:w="3160" w:type="dxa"/>
            <w:vAlign w:val="bottom"/>
          </w:tcPr>
          <w:p>
            <w:pPr>
              <w:ind w:left="320"/>
              <w:spacing w:after="0"/>
              <w:rPr>
                <w:sz w:val="20"/>
                <w:szCs w:val="20"/>
                <w:color w:val="auto"/>
              </w:rPr>
            </w:pPr>
            <w:r>
              <w:rPr>
                <w:rFonts w:ascii="Arial" w:cs="Arial" w:eastAsia="Arial" w:hAnsi="Arial"/>
                <w:sz w:val="18"/>
                <w:szCs w:val="18"/>
                <w:b w:val="1"/>
                <w:bCs w:val="1"/>
                <w:color w:val="auto"/>
              </w:rPr>
              <w:t>Total assets</w:t>
            </w:r>
          </w:p>
        </w:tc>
        <w:tc>
          <w:tcPr>
            <w:tcW w:w="16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6,874,713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7,019,077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160" w:type="dxa"/>
            <w:vAlign w:val="bottom"/>
            <w:vMerge w:val="restart"/>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08"/>
        </w:trPr>
        <w:tc>
          <w:tcPr>
            <w:tcW w:w="316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3160" w:type="dxa"/>
            <w:vAlign w:val="bottom"/>
          </w:tcPr>
          <w:p>
            <w:pPr>
              <w:spacing w:after="0"/>
              <w:rPr>
                <w:sz w:val="20"/>
                <w:szCs w:val="20"/>
                <w:color w:val="auto"/>
              </w:rPr>
            </w:pPr>
            <w:r>
              <w:rPr>
                <w:rFonts w:ascii="Arial" w:cs="Arial" w:eastAsia="Arial" w:hAnsi="Arial"/>
                <w:sz w:val="18"/>
                <w:szCs w:val="18"/>
                <w:color w:val="auto"/>
              </w:rPr>
              <w:t>Interest-bearing liabilities:</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160" w:type="dxa"/>
            <w:vAlign w:val="bottom"/>
          </w:tcPr>
          <w:p>
            <w:pPr>
              <w:ind w:left="160"/>
              <w:spacing w:after="0"/>
              <w:rPr>
                <w:sz w:val="20"/>
                <w:szCs w:val="20"/>
                <w:color w:val="auto"/>
              </w:rPr>
            </w:pPr>
            <w:r>
              <w:rPr>
                <w:rFonts w:ascii="Arial" w:cs="Arial" w:eastAsia="Arial" w:hAnsi="Arial"/>
                <w:sz w:val="18"/>
                <w:szCs w:val="18"/>
                <w:color w:val="auto"/>
              </w:rPr>
              <w:t>Interest-bearing deposits:</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160" w:type="dxa"/>
            <w:vAlign w:val="bottom"/>
          </w:tcPr>
          <w:p>
            <w:pPr>
              <w:ind w:left="320"/>
              <w:spacing w:after="0"/>
              <w:rPr>
                <w:sz w:val="20"/>
                <w:szCs w:val="20"/>
                <w:color w:val="auto"/>
              </w:rPr>
            </w:pPr>
            <w:r>
              <w:rPr>
                <w:rFonts w:ascii="Arial" w:cs="Arial" w:eastAsia="Arial" w:hAnsi="Arial"/>
                <w:sz w:val="18"/>
                <w:szCs w:val="18"/>
                <w:color w:val="auto"/>
              </w:rPr>
              <w:t>NOW</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1,274,144</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873</w:t>
            </w:r>
          </w:p>
        </w:tc>
        <w:tc>
          <w:tcPr>
            <w:tcW w:w="1380" w:type="dxa"/>
            <w:vAlign w:val="bottom"/>
            <w:gridSpan w:val="2"/>
          </w:tcPr>
          <w:p>
            <w:pPr>
              <w:jc w:val="right"/>
              <w:ind w:right="71"/>
              <w:spacing w:after="0"/>
              <w:rPr>
                <w:sz w:val="20"/>
                <w:szCs w:val="20"/>
                <w:color w:val="auto"/>
              </w:rPr>
            </w:pPr>
            <w:r>
              <w:rPr>
                <w:rFonts w:ascii="Arial" w:cs="Arial" w:eastAsia="Arial" w:hAnsi="Arial"/>
                <w:sz w:val="18"/>
                <w:szCs w:val="18"/>
                <w:color w:val="auto"/>
              </w:rPr>
              <w:t>.14</w:t>
            </w:r>
          </w:p>
        </w:tc>
        <w:tc>
          <w:tcPr>
            <w:tcW w:w="28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1,368,900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1,140</w:t>
            </w:r>
          </w:p>
        </w:tc>
        <w:tc>
          <w:tcPr>
            <w:tcW w:w="1400" w:type="dxa"/>
            <w:vAlign w:val="bottom"/>
            <w:gridSpan w:val="2"/>
          </w:tcPr>
          <w:p>
            <w:pPr>
              <w:jc w:val="right"/>
              <w:ind w:right="71"/>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4"/>
        </w:trPr>
        <w:tc>
          <w:tcPr>
            <w:tcW w:w="3160" w:type="dxa"/>
            <w:vAlign w:val="bottom"/>
          </w:tcPr>
          <w:p>
            <w:pPr>
              <w:ind w:left="320"/>
              <w:spacing w:after="0"/>
              <w:rPr>
                <w:sz w:val="20"/>
                <w:szCs w:val="20"/>
                <w:color w:val="auto"/>
              </w:rPr>
            </w:pPr>
            <w:r>
              <w:rPr>
                <w:rFonts w:ascii="Arial" w:cs="Arial" w:eastAsia="Arial" w:hAnsi="Arial"/>
                <w:sz w:val="18"/>
                <w:szCs w:val="18"/>
                <w:color w:val="auto"/>
              </w:rPr>
              <w:t>Money market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1,282,101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1,096</w:t>
            </w:r>
          </w:p>
        </w:tc>
        <w:tc>
          <w:tcPr>
            <w:tcW w:w="1380" w:type="dxa"/>
            <w:vAlign w:val="bottom"/>
            <w:gridSpan w:val="2"/>
          </w:tcPr>
          <w:p>
            <w:pPr>
              <w:jc w:val="right"/>
              <w:ind w:right="71"/>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1,101,103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1,302</w:t>
            </w:r>
          </w:p>
        </w:tc>
        <w:tc>
          <w:tcPr>
            <w:tcW w:w="1400" w:type="dxa"/>
            <w:vAlign w:val="bottom"/>
            <w:gridSpan w:val="2"/>
          </w:tcPr>
          <w:p>
            <w:pPr>
              <w:jc w:val="right"/>
              <w:ind w:right="71"/>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4"/>
        </w:trPr>
        <w:tc>
          <w:tcPr>
            <w:tcW w:w="3160" w:type="dxa"/>
            <w:vAlign w:val="bottom"/>
          </w:tcPr>
          <w:p>
            <w:pPr>
              <w:ind w:left="320"/>
              <w:spacing w:after="0"/>
              <w:rPr>
                <w:sz w:val="20"/>
                <w:szCs w:val="20"/>
                <w:color w:val="auto"/>
              </w:rPr>
            </w:pPr>
            <w:r>
              <w:rPr>
                <w:rFonts w:ascii="Arial" w:cs="Arial" w:eastAsia="Arial" w:hAnsi="Arial"/>
                <w:sz w:val="18"/>
                <w:szCs w:val="18"/>
                <w:color w:val="auto"/>
              </w:rPr>
              <w:t>Savings</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239,691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72</w:t>
            </w:r>
          </w:p>
        </w:tc>
        <w:tc>
          <w:tcPr>
            <w:tcW w:w="1380" w:type="dxa"/>
            <w:vAlign w:val="bottom"/>
            <w:gridSpan w:val="2"/>
          </w:tcPr>
          <w:p>
            <w:pPr>
              <w:jc w:val="right"/>
              <w:ind w:right="71"/>
              <w:spacing w:after="0"/>
              <w:rPr>
                <w:sz w:val="20"/>
                <w:szCs w:val="20"/>
                <w:color w:val="auto"/>
              </w:rPr>
            </w:pPr>
            <w:r>
              <w:rPr>
                <w:rFonts w:ascii="Arial" w:cs="Arial" w:eastAsia="Arial" w:hAnsi="Arial"/>
                <w:sz w:val="18"/>
                <w:szCs w:val="18"/>
                <w:color w:val="auto"/>
              </w:rPr>
              <w:t>.06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210,789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75</w:t>
            </w:r>
          </w:p>
        </w:tc>
        <w:tc>
          <w:tcPr>
            <w:tcW w:w="1400" w:type="dxa"/>
            <w:vAlign w:val="bottom"/>
            <w:gridSpan w:val="2"/>
          </w:tcPr>
          <w:p>
            <w:pPr>
              <w:jc w:val="right"/>
              <w:ind w:right="71"/>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14"/>
        </w:trPr>
        <w:tc>
          <w:tcPr>
            <w:tcW w:w="3160" w:type="dxa"/>
            <w:vAlign w:val="bottom"/>
          </w:tcPr>
          <w:p>
            <w:pPr>
              <w:ind w:left="320"/>
              <w:spacing w:after="0"/>
              <w:rPr>
                <w:sz w:val="20"/>
                <w:szCs w:val="20"/>
                <w:color w:val="auto"/>
              </w:rPr>
            </w:pPr>
            <w:r>
              <w:rPr>
                <w:rFonts w:ascii="Arial" w:cs="Arial" w:eastAsia="Arial" w:hAnsi="Arial"/>
                <w:sz w:val="18"/>
                <w:szCs w:val="18"/>
                <w:color w:val="auto"/>
              </w:rPr>
              <w:t>Time less than $100,000</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1,020,000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3,317</w:t>
            </w:r>
          </w:p>
        </w:tc>
        <w:tc>
          <w:tcPr>
            <w:tcW w:w="1380" w:type="dxa"/>
            <w:vAlign w:val="bottom"/>
            <w:gridSpan w:val="2"/>
          </w:tcPr>
          <w:p>
            <w:pPr>
              <w:jc w:val="right"/>
              <w:ind w:right="71"/>
              <w:spacing w:after="0"/>
              <w:rPr>
                <w:sz w:val="20"/>
                <w:szCs w:val="20"/>
                <w:color w:val="auto"/>
              </w:rPr>
            </w:pPr>
            <w:r>
              <w:rPr>
                <w:rFonts w:ascii="Arial" w:cs="Arial" w:eastAsia="Arial" w:hAnsi="Arial"/>
                <w:sz w:val="18"/>
                <w:szCs w:val="18"/>
                <w:color w:val="auto"/>
              </w:rPr>
              <w:t>.66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1,227,599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5,546</w:t>
            </w:r>
          </w:p>
        </w:tc>
        <w:tc>
          <w:tcPr>
            <w:tcW w:w="1400" w:type="dxa"/>
            <w:vAlign w:val="bottom"/>
            <w:gridSpan w:val="2"/>
          </w:tcPr>
          <w:p>
            <w:pPr>
              <w:jc w:val="right"/>
              <w:ind w:right="71"/>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14"/>
        </w:trPr>
        <w:tc>
          <w:tcPr>
            <w:tcW w:w="3160" w:type="dxa"/>
            <w:vAlign w:val="bottom"/>
          </w:tcPr>
          <w:p>
            <w:pPr>
              <w:ind w:left="320"/>
              <w:spacing w:after="0"/>
              <w:rPr>
                <w:sz w:val="20"/>
                <w:szCs w:val="20"/>
                <w:color w:val="auto"/>
              </w:rPr>
            </w:pPr>
            <w:r>
              <w:rPr>
                <w:rFonts w:ascii="Arial" w:cs="Arial" w:eastAsia="Arial" w:hAnsi="Arial"/>
                <w:sz w:val="18"/>
                <w:szCs w:val="18"/>
                <w:color w:val="auto"/>
              </w:rPr>
              <w:t>Time greater than $100,000</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684,320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2,857</w:t>
            </w:r>
          </w:p>
        </w:tc>
        <w:tc>
          <w:tcPr>
            <w:tcW w:w="1380" w:type="dxa"/>
            <w:vAlign w:val="bottom"/>
            <w:gridSpan w:val="2"/>
          </w:tcPr>
          <w:p>
            <w:pPr>
              <w:jc w:val="right"/>
              <w:ind w:right="71"/>
              <w:spacing w:after="0"/>
              <w:rPr>
                <w:sz w:val="20"/>
                <w:szCs w:val="20"/>
                <w:color w:val="auto"/>
              </w:rPr>
            </w:pPr>
            <w:r>
              <w:rPr>
                <w:rFonts w:ascii="Arial" w:cs="Arial" w:eastAsia="Arial" w:hAnsi="Arial"/>
                <w:sz w:val="18"/>
                <w:szCs w:val="18"/>
                <w:color w:val="auto"/>
              </w:rPr>
              <w:t>.84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799,821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4,478</w:t>
            </w:r>
          </w:p>
        </w:tc>
        <w:tc>
          <w:tcPr>
            <w:tcW w:w="1400" w:type="dxa"/>
            <w:vAlign w:val="bottom"/>
            <w:gridSpan w:val="2"/>
          </w:tcPr>
          <w:p>
            <w:pPr>
              <w:jc w:val="right"/>
              <w:ind w:right="71"/>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35"/>
        </w:trPr>
        <w:tc>
          <w:tcPr>
            <w:tcW w:w="3160" w:type="dxa"/>
            <w:vAlign w:val="bottom"/>
          </w:tcPr>
          <w:p>
            <w:pPr>
              <w:ind w:left="320"/>
              <w:spacing w:after="0"/>
              <w:rPr>
                <w:sz w:val="20"/>
                <w:szCs w:val="20"/>
                <w:color w:val="auto"/>
              </w:rPr>
            </w:pPr>
            <w:r>
              <w:rPr>
                <w:rFonts w:ascii="Arial" w:cs="Arial" w:eastAsia="Arial" w:hAnsi="Arial"/>
                <w:sz w:val="18"/>
                <w:szCs w:val="18"/>
                <w:color w:val="auto"/>
              </w:rPr>
              <w:t>Brokered time deposits</w:t>
            </w:r>
          </w:p>
        </w:tc>
        <w:tc>
          <w:tcPr>
            <w:tcW w:w="1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185,210</w:t>
            </w: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1380" w:type="dxa"/>
            <w:vAlign w:val="bottom"/>
            <w:gridSpan w:val="2"/>
          </w:tcPr>
          <w:p>
            <w:pPr>
              <w:jc w:val="right"/>
              <w:ind w:right="11"/>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155,892</w:t>
            </w: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1,208</w:t>
            </w:r>
          </w:p>
        </w:tc>
        <w:tc>
          <w:tcPr>
            <w:tcW w:w="1400" w:type="dxa"/>
            <w:vAlign w:val="bottom"/>
            <w:gridSpan w:val="2"/>
          </w:tcPr>
          <w:p>
            <w:pPr>
              <w:jc w:val="right"/>
              <w:ind w:right="71"/>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21"/>
        </w:trPr>
        <w:tc>
          <w:tcPr>
            <w:tcW w:w="3160" w:type="dxa"/>
            <w:vAlign w:val="bottom"/>
          </w:tcPr>
          <w:p>
            <w:pPr>
              <w:ind w:left="480"/>
              <w:spacing w:after="0"/>
              <w:rPr>
                <w:sz w:val="20"/>
                <w:szCs w:val="20"/>
                <w:color w:val="auto"/>
              </w:rPr>
            </w:pPr>
            <w:r>
              <w:rPr>
                <w:rFonts w:ascii="Arial" w:cs="Arial" w:eastAsia="Arial" w:hAnsi="Arial"/>
                <w:sz w:val="18"/>
                <w:szCs w:val="18"/>
                <w:color w:val="auto"/>
              </w:rPr>
              <w:t>Total interest-bearing deposits</w:t>
            </w:r>
          </w:p>
        </w:tc>
        <w:tc>
          <w:tcPr>
            <w:tcW w:w="1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4,685,466</w:t>
            </w: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8,191</w:t>
            </w:r>
          </w:p>
        </w:tc>
        <w:tc>
          <w:tcPr>
            <w:tcW w:w="1380" w:type="dxa"/>
            <w:vAlign w:val="bottom"/>
            <w:gridSpan w:val="2"/>
          </w:tcPr>
          <w:p>
            <w:pPr>
              <w:jc w:val="right"/>
              <w:ind w:right="71"/>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4,864,104</w:t>
            </w: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13,749</w:t>
            </w:r>
          </w:p>
        </w:tc>
        <w:tc>
          <w:tcPr>
            <w:tcW w:w="1400" w:type="dxa"/>
            <w:vAlign w:val="bottom"/>
            <w:gridSpan w:val="2"/>
          </w:tcPr>
          <w:p>
            <w:pPr>
              <w:jc w:val="right"/>
              <w:ind w:right="71"/>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414"/>
        </w:trPr>
        <w:tc>
          <w:tcPr>
            <w:tcW w:w="3160" w:type="dxa"/>
            <w:vAlign w:val="bottom"/>
          </w:tcPr>
          <w:p>
            <w:pPr>
              <w:ind w:left="320"/>
              <w:spacing w:after="0"/>
              <w:rPr>
                <w:sz w:val="20"/>
                <w:szCs w:val="20"/>
                <w:color w:val="auto"/>
              </w:rPr>
            </w:pPr>
            <w:r>
              <w:rPr>
                <w:rFonts w:ascii="Arial" w:cs="Arial" w:eastAsia="Arial" w:hAnsi="Arial"/>
                <w:sz w:val="18"/>
                <w:szCs w:val="18"/>
                <w:color w:val="auto"/>
              </w:rPr>
              <w:t>Federal funds purchased and other</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3160" w:type="dxa"/>
            <w:vAlign w:val="bottom"/>
          </w:tcPr>
          <w:p>
            <w:pPr>
              <w:ind w:left="480"/>
              <w:spacing w:after="0"/>
              <w:rPr>
                <w:sz w:val="20"/>
                <w:szCs w:val="20"/>
                <w:color w:val="auto"/>
              </w:rPr>
            </w:pPr>
            <w:r>
              <w:rPr>
                <w:rFonts w:ascii="Arial" w:cs="Arial" w:eastAsia="Arial" w:hAnsi="Arial"/>
                <w:sz w:val="18"/>
                <w:szCs w:val="18"/>
                <w:color w:val="auto"/>
              </w:rPr>
              <w:t>borrowings</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72,148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1,038</w:t>
            </w:r>
          </w:p>
        </w:tc>
        <w:tc>
          <w:tcPr>
            <w:tcW w:w="1380" w:type="dxa"/>
            <w:vAlign w:val="bottom"/>
            <w:gridSpan w:val="2"/>
          </w:tcPr>
          <w:p>
            <w:pPr>
              <w:jc w:val="right"/>
              <w:ind w:right="71"/>
              <w:spacing w:after="0"/>
              <w:rPr>
                <w:sz w:val="20"/>
                <w:szCs w:val="20"/>
                <w:color w:val="auto"/>
              </w:rPr>
            </w:pPr>
            <w:r>
              <w:rPr>
                <w:rFonts w:ascii="Arial" w:cs="Arial" w:eastAsia="Arial" w:hAnsi="Arial"/>
                <w:sz w:val="18"/>
                <w:szCs w:val="18"/>
                <w:color w:val="auto"/>
              </w:rPr>
              <w:t>2.90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99,696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1,949</w:t>
            </w:r>
          </w:p>
        </w:tc>
        <w:tc>
          <w:tcPr>
            <w:tcW w:w="1400" w:type="dxa"/>
            <w:vAlign w:val="bottom"/>
            <w:gridSpan w:val="2"/>
          </w:tcPr>
          <w:p>
            <w:pPr>
              <w:jc w:val="right"/>
              <w:ind w:right="71"/>
              <w:spacing w:after="0"/>
              <w:rPr>
                <w:sz w:val="20"/>
                <w:szCs w:val="20"/>
                <w:color w:val="auto"/>
              </w:rPr>
            </w:pPr>
            <w:r>
              <w:rPr>
                <w:rFonts w:ascii="Arial" w:cs="Arial" w:eastAsia="Arial" w:hAnsi="Arial"/>
                <w:sz w:val="18"/>
                <w:szCs w:val="18"/>
                <w:color w:val="auto"/>
              </w:rPr>
              <w:t>3.93</w:t>
            </w:r>
          </w:p>
        </w:tc>
        <w:tc>
          <w:tcPr>
            <w:tcW w:w="0" w:type="dxa"/>
            <w:vAlign w:val="bottom"/>
          </w:tcPr>
          <w:p>
            <w:pPr>
              <w:spacing w:after="0"/>
              <w:rPr>
                <w:sz w:val="1"/>
                <w:szCs w:val="1"/>
                <w:color w:val="auto"/>
              </w:rPr>
            </w:pPr>
          </w:p>
        </w:tc>
      </w:tr>
      <w:tr>
        <w:trPr>
          <w:trHeight w:val="214"/>
        </w:trPr>
        <w:tc>
          <w:tcPr>
            <w:tcW w:w="3160" w:type="dxa"/>
            <w:vAlign w:val="bottom"/>
          </w:tcPr>
          <w:p>
            <w:pPr>
              <w:ind w:left="320"/>
              <w:spacing w:after="0"/>
              <w:rPr>
                <w:sz w:val="20"/>
                <w:szCs w:val="20"/>
                <w:color w:val="auto"/>
              </w:rPr>
            </w:pPr>
            <w:r>
              <w:rPr>
                <w:rFonts w:ascii="Arial" w:cs="Arial" w:eastAsia="Arial" w:hAnsi="Arial"/>
                <w:sz w:val="18"/>
                <w:szCs w:val="18"/>
                <w:color w:val="auto"/>
                <w:w w:val="98"/>
              </w:rPr>
              <w:t>Federal Home Loan Bank advances</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46,064</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49</w:t>
            </w:r>
          </w:p>
        </w:tc>
        <w:tc>
          <w:tcPr>
            <w:tcW w:w="1380" w:type="dxa"/>
            <w:vAlign w:val="bottom"/>
            <w:gridSpan w:val="2"/>
          </w:tcPr>
          <w:p>
            <w:pPr>
              <w:jc w:val="right"/>
              <w:ind w:right="71"/>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208,672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856</w:t>
            </w:r>
          </w:p>
        </w:tc>
        <w:tc>
          <w:tcPr>
            <w:tcW w:w="1400" w:type="dxa"/>
            <w:vAlign w:val="bottom"/>
            <w:gridSpan w:val="2"/>
          </w:tcPr>
          <w:p>
            <w:pPr>
              <w:jc w:val="right"/>
              <w:ind w:right="71"/>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35"/>
        </w:trPr>
        <w:tc>
          <w:tcPr>
            <w:tcW w:w="3160" w:type="dxa"/>
            <w:vAlign w:val="bottom"/>
          </w:tcPr>
          <w:p>
            <w:pPr>
              <w:ind w:left="320"/>
              <w:spacing w:after="0"/>
              <w:rPr>
                <w:sz w:val="20"/>
                <w:szCs w:val="20"/>
                <w:color w:val="auto"/>
              </w:rPr>
            </w:pPr>
            <w:r>
              <w:rPr>
                <w:rFonts w:ascii="Arial" w:cs="Arial" w:eastAsia="Arial" w:hAnsi="Arial"/>
                <w:sz w:val="18"/>
                <w:szCs w:val="18"/>
                <w:color w:val="auto"/>
              </w:rPr>
              <w:t>Long-term debt</w:t>
            </w:r>
          </w:p>
        </w:tc>
        <w:tc>
          <w:tcPr>
            <w:tcW w:w="1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124,827</w:t>
            </w: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5,328</w:t>
            </w:r>
          </w:p>
        </w:tc>
        <w:tc>
          <w:tcPr>
            <w:tcW w:w="1380" w:type="dxa"/>
            <w:vAlign w:val="bottom"/>
            <w:gridSpan w:val="2"/>
          </w:tcPr>
          <w:p>
            <w:pPr>
              <w:jc w:val="right"/>
              <w:ind w:right="71"/>
              <w:spacing w:after="0"/>
              <w:rPr>
                <w:sz w:val="20"/>
                <w:szCs w:val="20"/>
                <w:color w:val="auto"/>
              </w:rPr>
            </w:pPr>
            <w:r>
              <w:rPr>
                <w:rFonts w:ascii="Arial" w:cs="Arial" w:eastAsia="Arial" w:hAnsi="Arial"/>
                <w:sz w:val="18"/>
                <w:szCs w:val="18"/>
                <w:color w:val="auto"/>
              </w:rPr>
              <w:t>8.61</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120,246</w:t>
            </w: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4,747</w:t>
            </w:r>
          </w:p>
        </w:tc>
        <w:tc>
          <w:tcPr>
            <w:tcW w:w="1400" w:type="dxa"/>
            <w:vAlign w:val="bottom"/>
            <w:gridSpan w:val="2"/>
          </w:tcPr>
          <w:p>
            <w:pPr>
              <w:jc w:val="right"/>
              <w:ind w:right="71"/>
              <w:spacing w:after="0"/>
              <w:rPr>
                <w:sz w:val="20"/>
                <w:szCs w:val="20"/>
                <w:color w:val="auto"/>
              </w:rPr>
            </w:pPr>
            <w:r>
              <w:rPr>
                <w:rFonts w:ascii="Arial" w:cs="Arial" w:eastAsia="Arial" w:hAnsi="Arial"/>
                <w:sz w:val="18"/>
                <w:szCs w:val="18"/>
                <w:color w:val="auto"/>
              </w:rPr>
              <w:t>7.94</w:t>
            </w:r>
          </w:p>
        </w:tc>
        <w:tc>
          <w:tcPr>
            <w:tcW w:w="0" w:type="dxa"/>
            <w:vAlign w:val="bottom"/>
          </w:tcPr>
          <w:p>
            <w:pPr>
              <w:spacing w:after="0"/>
              <w:rPr>
                <w:sz w:val="1"/>
                <w:szCs w:val="1"/>
                <w:color w:val="auto"/>
              </w:rPr>
            </w:pPr>
          </w:p>
        </w:tc>
      </w:tr>
      <w:tr>
        <w:trPr>
          <w:trHeight w:val="221"/>
        </w:trPr>
        <w:tc>
          <w:tcPr>
            <w:tcW w:w="3160" w:type="dxa"/>
            <w:vAlign w:val="bottom"/>
          </w:tcPr>
          <w:p>
            <w:pPr>
              <w:ind w:left="480"/>
              <w:spacing w:after="0"/>
              <w:rPr>
                <w:sz w:val="20"/>
                <w:szCs w:val="20"/>
                <w:color w:val="auto"/>
              </w:rPr>
            </w:pPr>
            <w:r>
              <w:rPr>
                <w:rFonts w:ascii="Arial" w:cs="Arial" w:eastAsia="Arial" w:hAnsi="Arial"/>
                <w:sz w:val="18"/>
                <w:szCs w:val="18"/>
                <w:color w:val="auto"/>
              </w:rPr>
              <w:t>Total borrowed funds</w:t>
            </w:r>
          </w:p>
        </w:tc>
        <w:tc>
          <w:tcPr>
            <w:tcW w:w="1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243,039</w:t>
            </w: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6,415</w:t>
            </w:r>
          </w:p>
        </w:tc>
        <w:tc>
          <w:tcPr>
            <w:tcW w:w="1380" w:type="dxa"/>
            <w:vAlign w:val="bottom"/>
            <w:gridSpan w:val="2"/>
          </w:tcPr>
          <w:p>
            <w:pPr>
              <w:jc w:val="right"/>
              <w:ind w:right="71"/>
              <w:spacing w:after="0"/>
              <w:rPr>
                <w:sz w:val="20"/>
                <w:szCs w:val="20"/>
                <w:color w:val="auto"/>
              </w:rPr>
            </w:pPr>
            <w:r>
              <w:rPr>
                <w:rFonts w:ascii="Arial" w:cs="Arial" w:eastAsia="Arial" w:hAnsi="Arial"/>
                <w:sz w:val="18"/>
                <w:szCs w:val="18"/>
                <w:color w:val="auto"/>
              </w:rPr>
              <w:t>5.32</w:t>
            </w: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428,614</w:t>
            </w: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7,552</w:t>
            </w:r>
          </w:p>
        </w:tc>
        <w:tc>
          <w:tcPr>
            <w:tcW w:w="1400" w:type="dxa"/>
            <w:vAlign w:val="bottom"/>
            <w:gridSpan w:val="2"/>
          </w:tcPr>
          <w:p>
            <w:pPr>
              <w:jc w:val="right"/>
              <w:ind w:right="71"/>
              <w:spacing w:after="0"/>
              <w:rPr>
                <w:sz w:val="20"/>
                <w:szCs w:val="20"/>
                <w:color w:val="auto"/>
              </w:rPr>
            </w:pPr>
            <w:r>
              <w:rPr>
                <w:rFonts w:ascii="Arial" w:cs="Arial" w:eastAsia="Arial" w:hAnsi="Arial"/>
                <w:sz w:val="18"/>
                <w:szCs w:val="18"/>
                <w:color w:val="auto"/>
              </w:rPr>
              <w:t>3.54</w:t>
            </w:r>
          </w:p>
        </w:tc>
        <w:tc>
          <w:tcPr>
            <w:tcW w:w="0" w:type="dxa"/>
            <w:vAlign w:val="bottom"/>
          </w:tcPr>
          <w:p>
            <w:pPr>
              <w:spacing w:after="0"/>
              <w:rPr>
                <w:sz w:val="1"/>
                <w:szCs w:val="1"/>
                <w:color w:val="auto"/>
              </w:rPr>
            </w:pPr>
          </w:p>
        </w:tc>
      </w:tr>
      <w:tr>
        <w:trPr>
          <w:trHeight w:val="435"/>
        </w:trPr>
        <w:tc>
          <w:tcPr>
            <w:tcW w:w="3160" w:type="dxa"/>
            <w:vAlign w:val="bottom"/>
          </w:tcPr>
          <w:p>
            <w:pPr>
              <w:ind w:left="480"/>
              <w:spacing w:after="0"/>
              <w:rPr>
                <w:sz w:val="20"/>
                <w:szCs w:val="20"/>
                <w:color w:val="auto"/>
              </w:rPr>
            </w:pPr>
            <w:r>
              <w:rPr>
                <w:rFonts w:ascii="Arial" w:cs="Arial" w:eastAsia="Arial" w:hAnsi="Arial"/>
                <w:sz w:val="18"/>
                <w:szCs w:val="18"/>
                <w:b w:val="1"/>
                <w:bCs w:val="1"/>
                <w:color w:val="auto"/>
                <w:w w:val="99"/>
              </w:rPr>
              <w:t>Total interest-bearing liabilities</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4,928,505</w:t>
            </w:r>
          </w:p>
        </w:tc>
        <w:tc>
          <w:tcPr>
            <w:tcW w:w="1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14,606</w:t>
            </w:r>
          </w:p>
        </w:tc>
        <w:tc>
          <w:tcPr>
            <w:tcW w:w="1380" w:type="dxa"/>
            <w:vAlign w:val="bottom"/>
            <w:gridSpan w:val="2"/>
          </w:tcPr>
          <w:p>
            <w:pPr>
              <w:jc w:val="right"/>
              <w:ind w:right="71"/>
              <w:spacing w:after="0"/>
              <w:rPr>
                <w:sz w:val="20"/>
                <w:szCs w:val="20"/>
                <w:color w:val="auto"/>
              </w:rPr>
            </w:pPr>
            <w:r>
              <w:rPr>
                <w:rFonts w:ascii="Arial" w:cs="Arial" w:eastAsia="Arial" w:hAnsi="Arial"/>
                <w:sz w:val="18"/>
                <w:szCs w:val="18"/>
                <w:color w:val="auto"/>
              </w:rPr>
              <w:t>.60</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5,292,718</w:t>
            </w:r>
          </w:p>
        </w:tc>
        <w:tc>
          <w:tcPr>
            <w:tcW w:w="1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21,301</w:t>
            </w:r>
          </w:p>
        </w:tc>
        <w:tc>
          <w:tcPr>
            <w:tcW w:w="1400" w:type="dxa"/>
            <w:vAlign w:val="bottom"/>
            <w:gridSpan w:val="2"/>
          </w:tcPr>
          <w:p>
            <w:pPr>
              <w:jc w:val="right"/>
              <w:ind w:right="71"/>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00"/>
        </w:trPr>
        <w:tc>
          <w:tcPr>
            <w:tcW w:w="3160" w:type="dxa"/>
            <w:vAlign w:val="bottom"/>
          </w:tcPr>
          <w:p>
            <w:pPr>
              <w:spacing w:after="0" w:line="200" w:lineRule="exact"/>
              <w:rPr>
                <w:sz w:val="20"/>
                <w:szCs w:val="20"/>
                <w:color w:val="auto"/>
              </w:rPr>
            </w:pPr>
            <w:r>
              <w:rPr>
                <w:rFonts w:ascii="Arial" w:cs="Arial" w:eastAsia="Arial" w:hAnsi="Arial"/>
                <w:sz w:val="18"/>
                <w:szCs w:val="18"/>
                <w:color w:val="auto"/>
              </w:rPr>
              <w:t>Non-interest-bearing liabilities:</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3160" w:type="dxa"/>
            <w:vAlign w:val="bottom"/>
          </w:tcPr>
          <w:p>
            <w:pPr>
              <w:ind w:left="160"/>
              <w:spacing w:after="0"/>
              <w:rPr>
                <w:sz w:val="20"/>
                <w:szCs w:val="20"/>
                <w:color w:val="auto"/>
              </w:rPr>
            </w:pPr>
            <w:r>
              <w:rPr>
                <w:rFonts w:ascii="Arial" w:cs="Arial" w:eastAsia="Arial" w:hAnsi="Arial"/>
                <w:sz w:val="18"/>
                <w:szCs w:val="18"/>
                <w:color w:val="auto"/>
              </w:rPr>
              <w:t>Non-interest-bearing deposits</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1,278,875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1,076,358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3160" w:type="dxa"/>
            <w:vAlign w:val="bottom"/>
          </w:tcPr>
          <w:p>
            <w:pPr>
              <w:ind w:left="160"/>
              <w:spacing w:after="0"/>
              <w:rPr>
                <w:sz w:val="20"/>
                <w:szCs w:val="20"/>
                <w:color w:val="auto"/>
              </w:rPr>
            </w:pPr>
            <w:r>
              <w:rPr>
                <w:rFonts w:ascii="Arial" w:cs="Arial" w:eastAsia="Arial" w:hAnsi="Arial"/>
                <w:sz w:val="18"/>
                <w:szCs w:val="18"/>
                <w:color w:val="auto"/>
              </w:rPr>
              <w:t>Other liabilities</w:t>
            </w:r>
          </w:p>
        </w:tc>
        <w:tc>
          <w:tcPr>
            <w:tcW w:w="1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55,639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70,330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0"/>
        </w:trPr>
        <w:tc>
          <w:tcPr>
            <w:tcW w:w="3160" w:type="dxa"/>
            <w:vAlign w:val="bottom"/>
          </w:tcPr>
          <w:p>
            <w:pPr>
              <w:ind w:left="320"/>
              <w:spacing w:after="0" w:line="200" w:lineRule="exact"/>
              <w:rPr>
                <w:sz w:val="20"/>
                <w:szCs w:val="20"/>
                <w:color w:val="auto"/>
              </w:rPr>
            </w:pPr>
            <w:r>
              <w:rPr>
                <w:rFonts w:ascii="Arial" w:cs="Arial" w:eastAsia="Arial" w:hAnsi="Arial"/>
                <w:sz w:val="18"/>
                <w:szCs w:val="18"/>
                <w:color w:val="auto"/>
              </w:rPr>
              <w:t>Total liabilities</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jc w:val="right"/>
              <w:ind w:right="31"/>
              <w:spacing w:after="0" w:line="200" w:lineRule="exact"/>
              <w:rPr>
                <w:sz w:val="20"/>
                <w:szCs w:val="20"/>
                <w:color w:val="auto"/>
              </w:rPr>
            </w:pPr>
            <w:r>
              <w:rPr>
                <w:rFonts w:ascii="Arial" w:cs="Arial" w:eastAsia="Arial" w:hAnsi="Arial"/>
                <w:sz w:val="18"/>
                <w:szCs w:val="18"/>
                <w:color w:val="auto"/>
              </w:rPr>
              <w:t>6,263,019</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jc w:val="right"/>
              <w:ind w:right="11"/>
              <w:spacing w:after="0" w:line="200" w:lineRule="exact"/>
              <w:rPr>
                <w:sz w:val="20"/>
                <w:szCs w:val="20"/>
                <w:color w:val="auto"/>
              </w:rPr>
            </w:pPr>
            <w:r>
              <w:rPr>
                <w:rFonts w:ascii="Arial" w:cs="Arial" w:eastAsia="Arial" w:hAnsi="Arial"/>
                <w:sz w:val="18"/>
                <w:szCs w:val="18"/>
                <w:color w:val="auto"/>
              </w:rPr>
              <w:t>6,439,406</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3160" w:type="dxa"/>
            <w:vAlign w:val="bottom"/>
          </w:tcPr>
          <w:p>
            <w:pPr>
              <w:spacing w:after="0"/>
              <w:rPr>
                <w:sz w:val="20"/>
                <w:szCs w:val="20"/>
                <w:color w:val="auto"/>
              </w:rPr>
            </w:pPr>
            <w:r>
              <w:rPr>
                <w:rFonts w:ascii="Arial" w:cs="Arial" w:eastAsia="Arial" w:hAnsi="Arial"/>
                <w:sz w:val="18"/>
                <w:szCs w:val="18"/>
                <w:color w:val="auto"/>
              </w:rPr>
              <w:t>Shareholders’ equity</w:t>
            </w:r>
          </w:p>
        </w:tc>
        <w:tc>
          <w:tcPr>
            <w:tcW w:w="1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611,694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579,671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3160" w:type="dxa"/>
            <w:vAlign w:val="bottom"/>
          </w:tcPr>
          <w:p>
            <w:pPr>
              <w:ind w:left="320"/>
              <w:spacing w:after="0" w:line="196" w:lineRule="exact"/>
              <w:rPr>
                <w:sz w:val="20"/>
                <w:szCs w:val="20"/>
                <w:color w:val="auto"/>
              </w:rPr>
            </w:pPr>
            <w:r>
              <w:rPr>
                <w:rFonts w:ascii="Arial" w:cs="Arial" w:eastAsia="Arial" w:hAnsi="Arial"/>
                <w:sz w:val="18"/>
                <w:szCs w:val="18"/>
                <w:b w:val="1"/>
                <w:bCs w:val="1"/>
                <w:color w:val="auto"/>
                <w:w w:val="98"/>
              </w:rPr>
              <w:t>Total liabilities and shareholders’</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1"/>
        </w:trPr>
        <w:tc>
          <w:tcPr>
            <w:tcW w:w="3160" w:type="dxa"/>
            <w:vAlign w:val="bottom"/>
          </w:tcPr>
          <w:p>
            <w:pPr>
              <w:ind w:left="320"/>
              <w:spacing w:after="0"/>
              <w:rPr>
                <w:sz w:val="20"/>
                <w:szCs w:val="20"/>
                <w:color w:val="auto"/>
              </w:rPr>
            </w:pPr>
            <w:r>
              <w:rPr>
                <w:rFonts w:ascii="Arial" w:cs="Arial" w:eastAsia="Arial" w:hAnsi="Arial"/>
                <w:sz w:val="18"/>
                <w:szCs w:val="18"/>
                <w:b w:val="1"/>
                <w:bCs w:val="1"/>
                <w:color w:val="auto"/>
              </w:rPr>
              <w:t>equity</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6,874,713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8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7,019,077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
        </w:trPr>
        <w:tc>
          <w:tcPr>
            <w:tcW w:w="3160" w:type="dxa"/>
            <w:vAlign w:val="bottom"/>
            <w:vMerge w:val="restart"/>
          </w:tcPr>
          <w:p>
            <w:pPr>
              <w:spacing w:after="0"/>
              <w:rPr>
                <w:sz w:val="20"/>
                <w:szCs w:val="20"/>
                <w:color w:val="auto"/>
              </w:rPr>
            </w:pPr>
            <w:r>
              <w:rPr>
                <w:rFonts w:ascii="Arial" w:cs="Arial" w:eastAsia="Arial" w:hAnsi="Arial"/>
                <w:sz w:val="18"/>
                <w:szCs w:val="18"/>
                <w:b w:val="1"/>
                <w:bCs w:val="1"/>
                <w:color w:val="auto"/>
              </w:rPr>
              <w:t>Net interest revenue</w:t>
            </w: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vMerge w:val="restart"/>
          </w:tcPr>
          <w:p>
            <w:pPr>
              <w:jc w:val="right"/>
              <w:ind w:right="31"/>
              <w:spacing w:after="0"/>
              <w:rPr>
                <w:sz w:val="20"/>
                <w:szCs w:val="20"/>
                <w:color w:val="auto"/>
              </w:rPr>
            </w:pPr>
            <w:r>
              <w:rPr>
                <w:rFonts w:ascii="Arial" w:cs="Arial" w:eastAsia="Arial" w:hAnsi="Arial"/>
                <w:sz w:val="18"/>
                <w:szCs w:val="18"/>
                <w:color w:val="auto"/>
              </w:rPr>
              <w:t>109,221</w:t>
            </w:r>
          </w:p>
        </w:tc>
        <w:tc>
          <w:tcPr>
            <w:tcW w:w="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vMerge w:val="restart"/>
          </w:tcPr>
          <w:p>
            <w:pPr>
              <w:jc w:val="right"/>
              <w:ind w:right="11"/>
              <w:spacing w:after="0"/>
              <w:rPr>
                <w:sz w:val="20"/>
                <w:szCs w:val="20"/>
                <w:color w:val="auto"/>
              </w:rPr>
            </w:pPr>
            <w:r>
              <w:rPr>
                <w:rFonts w:ascii="Arial" w:cs="Arial" w:eastAsia="Arial" w:hAnsi="Arial"/>
                <w:sz w:val="18"/>
                <w:szCs w:val="18"/>
                <w:color w:val="auto"/>
              </w:rPr>
              <w:t>115,700</w:t>
            </w: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0"/>
        </w:trPr>
        <w:tc>
          <w:tcPr>
            <w:tcW w:w="316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00" w:type="dxa"/>
            <w:vAlign w:val="bottom"/>
            <w:gridSpan w:val="2"/>
            <w:vMerge w:val="continue"/>
          </w:tcPr>
          <w:p>
            <w:pPr>
              <w:spacing w:after="0"/>
              <w:rPr>
                <w:sz w:val="24"/>
                <w:szCs w:val="24"/>
                <w:color w:val="auto"/>
              </w:rPr>
            </w:pPr>
          </w:p>
        </w:tc>
        <w:tc>
          <w:tcPr>
            <w:tcW w:w="10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00" w:type="dxa"/>
            <w:vAlign w:val="bottom"/>
            <w:gridSpan w:val="2"/>
            <w:vMerge w:val="continue"/>
          </w:tcPr>
          <w:p>
            <w:pPr>
              <w:spacing w:after="0"/>
              <w:rPr>
                <w:sz w:val="24"/>
                <w:szCs w:val="24"/>
                <w:color w:val="auto"/>
              </w:rPr>
            </w:pPr>
          </w:p>
        </w:tc>
        <w:tc>
          <w:tcPr>
            <w:tcW w:w="104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
        </w:trPr>
        <w:tc>
          <w:tcPr>
            <w:tcW w:w="3160" w:type="dxa"/>
            <w:vAlign w:val="bottom"/>
            <w:vMerge w:val="restart"/>
          </w:tcPr>
          <w:p>
            <w:pPr>
              <w:spacing w:after="0"/>
              <w:rPr>
                <w:sz w:val="20"/>
                <w:szCs w:val="20"/>
                <w:color w:val="auto"/>
              </w:rPr>
            </w:pPr>
            <w:r>
              <w:rPr>
                <w:rFonts w:ascii="Arial" w:cs="Arial" w:eastAsia="Arial" w:hAnsi="Arial"/>
                <w:sz w:val="18"/>
                <w:szCs w:val="18"/>
                <w:color w:val="auto"/>
              </w:rPr>
              <w:t>Net interest-rate spread</w:t>
            </w: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280" w:type="dxa"/>
            <w:vAlign w:val="bottom"/>
            <w:vMerge w:val="restart"/>
          </w:tcPr>
          <w:p>
            <w:pPr>
              <w:jc w:val="right"/>
              <w:spacing w:after="0"/>
              <w:rPr>
                <w:sz w:val="20"/>
                <w:szCs w:val="20"/>
                <w:color w:val="auto"/>
              </w:rPr>
            </w:pPr>
            <w:r>
              <w:rPr>
                <w:rFonts w:ascii="Arial" w:cs="Arial" w:eastAsia="Arial" w:hAnsi="Arial"/>
                <w:sz w:val="18"/>
                <w:szCs w:val="18"/>
                <w:color w:val="auto"/>
              </w:rPr>
              <w:t>3.19%</w:t>
            </w: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280" w:type="dxa"/>
            <w:vAlign w:val="bottom"/>
            <w:vMerge w:val="restart"/>
          </w:tcPr>
          <w:p>
            <w:pPr>
              <w:jc w:val="right"/>
              <w:spacing w:after="0"/>
              <w:rPr>
                <w:sz w:val="20"/>
                <w:szCs w:val="20"/>
                <w:color w:val="auto"/>
              </w:rPr>
            </w:pPr>
            <w:r>
              <w:rPr>
                <w:rFonts w:ascii="Arial" w:cs="Arial" w:eastAsia="Arial" w:hAnsi="Arial"/>
                <w:sz w:val="18"/>
                <w:szCs w:val="18"/>
                <w:color w:val="auto"/>
              </w:rPr>
              <w:t>3.31%</w:t>
            </w:r>
          </w:p>
        </w:tc>
        <w:tc>
          <w:tcPr>
            <w:tcW w:w="0" w:type="dxa"/>
            <w:vAlign w:val="bottom"/>
          </w:tcPr>
          <w:p>
            <w:pPr>
              <w:spacing w:after="0"/>
              <w:rPr>
                <w:sz w:val="1"/>
                <w:szCs w:val="1"/>
                <w:color w:val="auto"/>
              </w:rPr>
            </w:pPr>
          </w:p>
        </w:tc>
      </w:tr>
      <w:tr>
        <w:trPr>
          <w:trHeight w:val="211"/>
        </w:trPr>
        <w:tc>
          <w:tcPr>
            <w:tcW w:w="316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vMerge w:val="continue"/>
          </w:tcPr>
          <w:p>
            <w:pPr>
              <w:spacing w:after="0"/>
              <w:rPr>
                <w:sz w:val="17"/>
                <w:szCs w:val="17"/>
                <w:color w:val="auto"/>
              </w:rPr>
            </w:pPr>
          </w:p>
        </w:tc>
        <w:tc>
          <w:tcPr>
            <w:tcW w:w="128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vMerge w:val="continue"/>
          </w:tcPr>
          <w:p>
            <w:pPr>
              <w:spacing w:after="0"/>
              <w:rPr>
                <w:sz w:val="17"/>
                <w:szCs w:val="17"/>
                <w:color w:val="auto"/>
              </w:rPr>
            </w:pPr>
          </w:p>
        </w:tc>
        <w:tc>
          <w:tcPr>
            <w:tcW w:w="128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
        </w:trPr>
        <w:tc>
          <w:tcPr>
            <w:tcW w:w="3160" w:type="dxa"/>
            <w:vAlign w:val="bottom"/>
            <w:vMerge w:val="restart"/>
          </w:tcPr>
          <w:p>
            <w:pPr>
              <w:spacing w:after="0"/>
              <w:rPr>
                <w:sz w:val="20"/>
                <w:szCs w:val="20"/>
                <w:color w:val="auto"/>
              </w:rPr>
            </w:pPr>
            <w:r>
              <w:rPr>
                <w:rFonts w:ascii="Arial" w:cs="Arial" w:eastAsia="Arial" w:hAnsi="Arial"/>
                <w:sz w:val="18"/>
                <w:szCs w:val="18"/>
                <w:b w:val="1"/>
                <w:bCs w:val="1"/>
                <w:color w:val="auto"/>
              </w:rPr>
              <w:t xml:space="preserve">Net interest margin </w:t>
            </w:r>
            <w:r>
              <w:rPr>
                <w:rFonts w:ascii="Arial" w:cs="Arial" w:eastAsia="Arial" w:hAnsi="Arial"/>
                <w:sz w:val="24"/>
                <w:szCs w:val="24"/>
                <w:color w:val="auto"/>
                <w:vertAlign w:val="superscript"/>
              </w:rPr>
              <w:t>(4)</w:t>
            </w: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2"/>
        </w:trPr>
        <w:tc>
          <w:tcPr>
            <w:tcW w:w="316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3.34%</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3.48%</w:t>
            </w: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ind w:left="200" w:right="40" w:hanging="193"/>
        <w:spacing w:after="0" w:line="242" w:lineRule="auto"/>
        <w:tabs>
          <w:tab w:leader="none" w:pos="194" w:val="left"/>
        </w:tabs>
        <w:numPr>
          <w:ilvl w:val="0"/>
          <w:numId w:val="8"/>
        </w:numPr>
        <w:rPr>
          <w:rFonts w:ascii="Arial" w:cs="Arial" w:eastAsia="Arial" w:hAnsi="Arial"/>
          <w:sz w:val="22"/>
          <w:szCs w:val="22"/>
          <w:color w:val="auto"/>
          <w:vertAlign w:val="superscript"/>
        </w:rPr>
      </w:pPr>
      <w:r>
        <w:rPr>
          <w:rFonts w:ascii="Arial" w:cs="Arial" w:eastAsia="Arial" w:hAnsi="Arial"/>
          <w:sz w:val="16"/>
          <w:szCs w:val="16"/>
          <w:color w:val="auto"/>
        </w:rPr>
        <w:t>Interest revenue on tax-exempt securities and loans has been increased to reflect comparable interest on taxable securities and loans. The rate used was 39%, reflecting the statutory federal income tax rate and the federal tax adjusted state income tax rate.</w:t>
      </w:r>
    </w:p>
    <w:p>
      <w:pPr>
        <w:ind w:left="200" w:hanging="193"/>
        <w:spacing w:after="0" w:line="194" w:lineRule="auto"/>
        <w:tabs>
          <w:tab w:leader="none" w:pos="200" w:val="left"/>
        </w:tabs>
        <w:numPr>
          <w:ilvl w:val="0"/>
          <w:numId w:val="8"/>
        </w:numPr>
        <w:rPr>
          <w:rFonts w:ascii="Arial" w:cs="Arial" w:eastAsia="Arial" w:hAnsi="Arial"/>
          <w:sz w:val="23"/>
          <w:szCs w:val="23"/>
          <w:color w:val="auto"/>
          <w:vertAlign w:val="superscript"/>
        </w:rPr>
      </w:pPr>
      <w:r>
        <w:rPr>
          <w:rFonts w:ascii="Arial" w:cs="Arial" w:eastAsia="Arial" w:hAnsi="Arial"/>
          <w:sz w:val="17"/>
          <w:szCs w:val="17"/>
          <w:color w:val="auto"/>
        </w:rPr>
        <w:t>Included in the average balance of loans outstanding are loans where the accrual of interest has been discontinued and loans that are held for sale.</w:t>
      </w:r>
    </w:p>
    <w:p>
      <w:pPr>
        <w:spacing w:after="0" w:line="3" w:lineRule="exact"/>
        <w:rPr>
          <w:rFonts w:ascii="Arial" w:cs="Arial" w:eastAsia="Arial" w:hAnsi="Arial"/>
          <w:sz w:val="23"/>
          <w:szCs w:val="23"/>
          <w:color w:val="auto"/>
          <w:vertAlign w:val="superscript"/>
        </w:rPr>
      </w:pPr>
    </w:p>
    <w:p>
      <w:pPr>
        <w:ind w:left="200" w:right="260" w:hanging="193"/>
        <w:spacing w:after="0" w:line="233" w:lineRule="auto"/>
        <w:tabs>
          <w:tab w:leader="none" w:pos="194" w:val="left"/>
        </w:tabs>
        <w:numPr>
          <w:ilvl w:val="0"/>
          <w:numId w:val="8"/>
        </w:numPr>
        <w:rPr>
          <w:rFonts w:ascii="Arial" w:cs="Arial" w:eastAsia="Arial" w:hAnsi="Arial"/>
          <w:sz w:val="22"/>
          <w:szCs w:val="22"/>
          <w:color w:val="auto"/>
          <w:vertAlign w:val="superscript"/>
        </w:rPr>
      </w:pPr>
      <w:r>
        <w:rPr>
          <w:rFonts w:ascii="Arial" w:cs="Arial" w:eastAsia="Arial" w:hAnsi="Arial"/>
          <w:sz w:val="16"/>
          <w:szCs w:val="16"/>
          <w:color w:val="auto"/>
        </w:rPr>
        <w:t>Securities available for sale are shown at amortized cost. Pretax unrealized gains of $17.4 million in 2013 and $24.7 million in 2012 are included in other assets for purposes of this presentation.</w:t>
      </w:r>
    </w:p>
    <w:p>
      <w:pPr>
        <w:spacing w:after="0" w:line="1" w:lineRule="exact"/>
        <w:rPr>
          <w:rFonts w:ascii="Arial" w:cs="Arial" w:eastAsia="Arial" w:hAnsi="Arial"/>
          <w:sz w:val="22"/>
          <w:szCs w:val="22"/>
          <w:color w:val="auto"/>
          <w:vertAlign w:val="superscript"/>
        </w:rPr>
      </w:pPr>
    </w:p>
    <w:p>
      <w:pPr>
        <w:ind w:left="200" w:hanging="193"/>
        <w:spacing w:after="0" w:line="194" w:lineRule="auto"/>
        <w:tabs>
          <w:tab w:leader="none" w:pos="200" w:val="left"/>
        </w:tabs>
        <w:numPr>
          <w:ilvl w:val="0"/>
          <w:numId w:val="8"/>
        </w:numPr>
        <w:rPr>
          <w:rFonts w:ascii="Arial" w:cs="Arial" w:eastAsia="Arial" w:hAnsi="Arial"/>
          <w:sz w:val="23"/>
          <w:szCs w:val="23"/>
          <w:color w:val="auto"/>
          <w:vertAlign w:val="superscript"/>
        </w:rPr>
      </w:pPr>
      <w:r>
        <w:rPr>
          <w:rFonts w:ascii="Arial" w:cs="Arial" w:eastAsia="Arial" w:hAnsi="Arial"/>
          <w:sz w:val="17"/>
          <w:szCs w:val="17"/>
          <w:color w:val="auto"/>
        </w:rPr>
        <w:t>Net interest margin is taxable equivalent net-interest revenue divided by average interest-earning assets.</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13970</wp:posOffset>
            </wp:positionV>
            <wp:extent cx="724789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7890" cy="8255"/>
                    </a:xfrm>
                    <a:prstGeom prst="rect">
                      <a:avLst/>
                    </a:prstGeom>
                    <a:noFill/>
                  </pic:spPr>
                </pic:pic>
              </a:graphicData>
            </a:graphic>
          </wp:anchor>
        </w:drawing>
      </w:r>
    </w:p>
    <w:p>
      <w:pPr>
        <w:sectPr>
          <w:pgSz w:w="11900" w:h="16838" w:orient="portrait"/>
          <w:cols w:equalWidth="0" w:num="1">
            <w:col w:w="11420"/>
          </w:cols>
          <w:pgMar w:left="240" w:top="889" w:right="239" w:bottom="1440" w:gutter="0" w:footer="0" w:header="0"/>
        </w:sectPr>
      </w:pPr>
    </w:p>
    <w:bookmarkStart w:id="49" w:name="page50"/>
    <w:bookmarkEnd w:id="49"/>
    <w:p>
      <w:pPr>
        <w:jc w:val="both"/>
        <w:spacing w:after="0" w:line="260" w:lineRule="auto"/>
        <w:rPr>
          <w:sz w:val="20"/>
          <w:szCs w:val="20"/>
          <w:color w:val="auto"/>
        </w:rPr>
      </w:pPr>
      <w:r>
        <w:rPr>
          <w:rFonts w:ascii="Arial" w:cs="Arial" w:eastAsia="Arial" w:hAnsi="Arial"/>
          <w:sz w:val="18"/>
          <w:szCs w:val="18"/>
          <w:color w:val="auto"/>
        </w:rPr>
        <w:t>The following table shows the relative effect on net interest revenue for changes in the average outstanding amounts (volume) of interest-earning assets and interest-bearing liabilities and the rates earned and paid on such assets and liabilities (rate). Variances resulting from a combination of changes in rate and volume are allocated in proportion to the absolute dollar amounts of the change in each category.</w:t>
      </w:r>
    </w:p>
    <w:p>
      <w:pPr>
        <w:spacing w:after="0" w:line="181" w:lineRule="exact"/>
        <w:rPr>
          <w:sz w:val="20"/>
          <w:szCs w:val="20"/>
          <w:color w:val="auto"/>
        </w:rPr>
      </w:pPr>
    </w:p>
    <w:p>
      <w:pPr>
        <w:ind w:right="5260"/>
        <w:spacing w:after="0" w:line="276" w:lineRule="auto"/>
        <w:rPr>
          <w:sz w:val="20"/>
          <w:szCs w:val="20"/>
          <w:color w:val="auto"/>
        </w:rPr>
      </w:pPr>
      <w:r>
        <w:rPr>
          <w:rFonts w:ascii="Arial" w:cs="Arial" w:eastAsia="Arial" w:hAnsi="Arial"/>
          <w:sz w:val="18"/>
          <w:szCs w:val="18"/>
          <w:b w:val="1"/>
          <w:bCs w:val="1"/>
          <w:color w:val="auto"/>
        </w:rPr>
        <w:t xml:space="preserve">Table 4 - Change in Interest Revenue and Expense on a Taxable Equivalent Basis </w:t>
      </w:r>
      <w:r>
        <w:rPr>
          <w:rFonts w:ascii="Arial" w:cs="Arial" w:eastAsia="Arial" w:hAnsi="Arial"/>
          <w:sz w:val="18"/>
          <w:szCs w:val="18"/>
          <w:i w:val="1"/>
          <w:iCs w:val="1"/>
          <w:color w:val="auto"/>
        </w:rPr>
        <w:t>(in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3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60" w:type="dxa"/>
            <w:vAlign w:val="bottom"/>
            <w:gridSpan w:val="9"/>
          </w:tcPr>
          <w:p>
            <w:pPr>
              <w:jc w:val="center"/>
              <w:ind w:right="211"/>
              <w:spacing w:after="0"/>
              <w:rPr>
                <w:sz w:val="20"/>
                <w:szCs w:val="20"/>
                <w:color w:val="auto"/>
              </w:rPr>
            </w:pPr>
            <w:r>
              <w:rPr>
                <w:rFonts w:ascii="Arial" w:cs="Arial" w:eastAsia="Arial" w:hAnsi="Arial"/>
                <w:sz w:val="18"/>
                <w:szCs w:val="18"/>
                <w:b w:val="1"/>
                <w:bCs w:val="1"/>
                <w:color w:val="auto"/>
                <w:w w:val="90"/>
              </w:rPr>
              <w:t>Three Months Ended June 30, 2013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720" w:type="dxa"/>
            <w:vAlign w:val="bottom"/>
            <w:gridSpan w:val="8"/>
          </w:tcPr>
          <w:p>
            <w:pPr>
              <w:jc w:val="center"/>
              <w:ind w:right="211"/>
              <w:spacing w:after="0"/>
              <w:rPr>
                <w:sz w:val="20"/>
                <w:szCs w:val="20"/>
                <w:color w:val="auto"/>
              </w:rPr>
            </w:pPr>
            <w:r>
              <w:rPr>
                <w:rFonts w:ascii="Arial" w:cs="Arial" w:eastAsia="Arial" w:hAnsi="Arial"/>
                <w:sz w:val="18"/>
                <w:szCs w:val="18"/>
                <w:b w:val="1"/>
                <w:bCs w:val="1"/>
                <w:color w:val="auto"/>
                <w:w w:val="89"/>
              </w:rPr>
              <w:t>Six Months Ended June 30, 2013</w:t>
            </w:r>
          </w:p>
        </w:tc>
      </w:tr>
      <w:tr>
        <w:trPr>
          <w:trHeight w:val="214"/>
        </w:trPr>
        <w:tc>
          <w:tcPr>
            <w:tcW w:w="3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520" w:type="dxa"/>
            <w:vAlign w:val="bottom"/>
            <w:gridSpan w:val="5"/>
          </w:tcPr>
          <w:p>
            <w:pPr>
              <w:jc w:val="center"/>
              <w:ind w:right="40"/>
              <w:spacing w:after="0"/>
              <w:rPr>
                <w:sz w:val="20"/>
                <w:szCs w:val="20"/>
                <w:color w:val="auto"/>
              </w:rPr>
            </w:pPr>
            <w:r>
              <w:rPr>
                <w:rFonts w:ascii="Arial" w:cs="Arial" w:eastAsia="Arial" w:hAnsi="Arial"/>
                <w:sz w:val="18"/>
                <w:szCs w:val="18"/>
                <w:b w:val="1"/>
                <w:bCs w:val="1"/>
                <w:color w:val="auto"/>
                <w:w w:val="89"/>
              </w:rPr>
              <w:t>Compared to 2012</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80" w:type="dxa"/>
            <w:vAlign w:val="bottom"/>
            <w:gridSpan w:val="5"/>
          </w:tcPr>
          <w:p>
            <w:pPr>
              <w:jc w:val="center"/>
              <w:ind w:right="60"/>
              <w:spacing w:after="0"/>
              <w:rPr>
                <w:sz w:val="20"/>
                <w:szCs w:val="20"/>
                <w:color w:val="auto"/>
              </w:rPr>
            </w:pPr>
            <w:r>
              <w:rPr>
                <w:rFonts w:ascii="Arial" w:cs="Arial" w:eastAsia="Arial" w:hAnsi="Arial"/>
                <w:sz w:val="18"/>
                <w:szCs w:val="18"/>
                <w:b w:val="1"/>
                <w:bCs w:val="1"/>
                <w:color w:val="auto"/>
                <w:w w:val="90"/>
              </w:rPr>
              <w:t>Compared to 2012</w:t>
            </w: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4"/>
        </w:trPr>
        <w:tc>
          <w:tcPr>
            <w:tcW w:w="3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520" w:type="dxa"/>
            <w:vAlign w:val="bottom"/>
            <w:gridSpan w:val="5"/>
          </w:tcPr>
          <w:p>
            <w:pPr>
              <w:jc w:val="center"/>
              <w:ind w:right="40"/>
              <w:spacing w:after="0"/>
              <w:rPr>
                <w:sz w:val="20"/>
                <w:szCs w:val="20"/>
                <w:color w:val="auto"/>
              </w:rPr>
            </w:pPr>
            <w:r>
              <w:rPr>
                <w:rFonts w:ascii="Arial" w:cs="Arial" w:eastAsia="Arial" w:hAnsi="Arial"/>
                <w:sz w:val="18"/>
                <w:szCs w:val="18"/>
                <w:b w:val="1"/>
                <w:bCs w:val="1"/>
                <w:color w:val="auto"/>
                <w:w w:val="85"/>
              </w:rPr>
              <w:t>Increase (decrease)</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80" w:type="dxa"/>
            <w:vAlign w:val="bottom"/>
            <w:gridSpan w:val="6"/>
          </w:tcPr>
          <w:p>
            <w:pPr>
              <w:jc w:val="center"/>
              <w:ind w:left="851"/>
              <w:spacing w:after="0"/>
              <w:rPr>
                <w:sz w:val="20"/>
                <w:szCs w:val="20"/>
                <w:color w:val="auto"/>
              </w:rPr>
            </w:pPr>
            <w:r>
              <w:rPr>
                <w:rFonts w:ascii="Arial" w:cs="Arial" w:eastAsia="Arial" w:hAnsi="Arial"/>
                <w:sz w:val="18"/>
                <w:szCs w:val="18"/>
                <w:b w:val="1"/>
                <w:bCs w:val="1"/>
                <w:color w:val="auto"/>
                <w:w w:val="86"/>
              </w:rPr>
              <w:t>Increase (decrease)</w:t>
            </w: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39"/>
        </w:trPr>
        <w:tc>
          <w:tcPr>
            <w:tcW w:w="33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5"/>
          </w:tcPr>
          <w:p>
            <w:pPr>
              <w:jc w:val="center"/>
              <w:ind w:right="40"/>
              <w:spacing w:after="0"/>
              <w:rPr>
                <w:sz w:val="20"/>
                <w:szCs w:val="20"/>
                <w:color w:val="auto"/>
              </w:rPr>
            </w:pPr>
            <w:r>
              <w:rPr>
                <w:rFonts w:ascii="Arial" w:cs="Arial" w:eastAsia="Arial" w:hAnsi="Arial"/>
                <w:sz w:val="18"/>
                <w:szCs w:val="18"/>
                <w:b w:val="1"/>
                <w:bCs w:val="1"/>
                <w:color w:val="auto"/>
                <w:w w:val="88"/>
              </w:rPr>
              <w:t>Due to Changes in</w:t>
            </w:r>
          </w:p>
        </w:tc>
        <w:tc>
          <w:tcPr>
            <w:tcW w:w="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5"/>
          </w:tcPr>
          <w:p>
            <w:pPr>
              <w:jc w:val="center"/>
              <w:ind w:right="60"/>
              <w:spacing w:after="0"/>
              <w:rPr>
                <w:sz w:val="20"/>
                <w:szCs w:val="20"/>
                <w:color w:val="auto"/>
              </w:rPr>
            </w:pPr>
            <w:r>
              <w:rPr>
                <w:rFonts w:ascii="Arial" w:cs="Arial" w:eastAsia="Arial" w:hAnsi="Arial"/>
                <w:sz w:val="18"/>
                <w:szCs w:val="18"/>
                <w:b w:val="1"/>
                <w:bCs w:val="1"/>
                <w:color w:val="auto"/>
                <w:w w:val="87"/>
              </w:rPr>
              <w:t>Due to Changes in</w:t>
            </w: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r>
      <w:tr>
        <w:trPr>
          <w:trHeight w:val="221"/>
        </w:trPr>
        <w:tc>
          <w:tcPr>
            <w:tcW w:w="3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ind w:right="271"/>
              <w:spacing w:after="0"/>
              <w:rPr>
                <w:sz w:val="20"/>
                <w:szCs w:val="20"/>
                <w:color w:val="auto"/>
              </w:rPr>
            </w:pPr>
            <w:r>
              <w:rPr>
                <w:rFonts w:ascii="Arial" w:cs="Arial" w:eastAsia="Arial" w:hAnsi="Arial"/>
                <w:sz w:val="18"/>
                <w:szCs w:val="18"/>
                <w:b w:val="1"/>
                <w:bCs w:val="1"/>
                <w:color w:val="auto"/>
              </w:rPr>
              <w:t>Volume</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2"/>
              </w:rPr>
              <w:t>Rate</w:t>
            </w: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ind w:right="411"/>
              <w:spacing w:after="0"/>
              <w:rPr>
                <w:sz w:val="20"/>
                <w:szCs w:val="20"/>
                <w:color w:val="auto"/>
              </w:rPr>
            </w:pPr>
            <w:r>
              <w:rPr>
                <w:rFonts w:ascii="Arial" w:cs="Arial" w:eastAsia="Arial" w:hAnsi="Arial"/>
                <w:sz w:val="18"/>
                <w:szCs w:val="18"/>
                <w:b w:val="1"/>
                <w:bCs w:val="1"/>
                <w:color w:val="auto"/>
              </w:rPr>
              <w:t>Total</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ind w:right="251"/>
              <w:spacing w:after="0"/>
              <w:rPr>
                <w:sz w:val="20"/>
                <w:szCs w:val="20"/>
                <w:color w:val="auto"/>
              </w:rPr>
            </w:pPr>
            <w:r>
              <w:rPr>
                <w:rFonts w:ascii="Arial" w:cs="Arial" w:eastAsia="Arial" w:hAnsi="Arial"/>
                <w:sz w:val="18"/>
                <w:szCs w:val="18"/>
                <w:b w:val="1"/>
                <w:bCs w:val="1"/>
                <w:color w:val="auto"/>
                <w:w w:val="98"/>
              </w:rPr>
              <w:t>Volume</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7"/>
              </w:rPr>
              <w:t>Rate</w:t>
            </w:r>
          </w:p>
        </w:tc>
        <w:tc>
          <w:tcPr>
            <w:tcW w:w="240" w:type="dxa"/>
            <w:vAlign w:val="bottom"/>
          </w:tcPr>
          <w:p>
            <w:pPr>
              <w:spacing w:after="0"/>
              <w:rPr>
                <w:sz w:val="19"/>
                <w:szCs w:val="19"/>
                <w:color w:val="auto"/>
              </w:rPr>
            </w:pPr>
          </w:p>
        </w:tc>
        <w:tc>
          <w:tcPr>
            <w:tcW w:w="1000" w:type="dxa"/>
            <w:vAlign w:val="bottom"/>
          </w:tcPr>
          <w:p>
            <w:pPr>
              <w:jc w:val="right"/>
              <w:ind w:right="391"/>
              <w:spacing w:after="0"/>
              <w:rPr>
                <w:sz w:val="20"/>
                <w:szCs w:val="20"/>
                <w:color w:val="auto"/>
              </w:rPr>
            </w:pPr>
            <w:r>
              <w:rPr>
                <w:rFonts w:ascii="Arial" w:cs="Arial" w:eastAsia="Arial" w:hAnsi="Arial"/>
                <w:sz w:val="18"/>
                <w:szCs w:val="18"/>
                <w:b w:val="1"/>
                <w:bCs w:val="1"/>
                <w:color w:val="auto"/>
              </w:rPr>
              <w:t>Total</w:t>
            </w:r>
          </w:p>
        </w:tc>
      </w:tr>
      <w:tr>
        <w:trPr>
          <w:trHeight w:val="200"/>
        </w:trPr>
        <w:tc>
          <w:tcPr>
            <w:tcW w:w="3320" w:type="dxa"/>
            <w:vAlign w:val="bottom"/>
          </w:tcPr>
          <w:p>
            <w:pPr>
              <w:spacing w:after="0" w:line="200" w:lineRule="exact"/>
              <w:rPr>
                <w:sz w:val="20"/>
                <w:szCs w:val="20"/>
                <w:color w:val="auto"/>
              </w:rPr>
            </w:pPr>
            <w:r>
              <w:rPr>
                <w:rFonts w:ascii="Arial" w:cs="Arial" w:eastAsia="Arial" w:hAnsi="Arial"/>
                <w:sz w:val="18"/>
                <w:szCs w:val="18"/>
                <w:b w:val="1"/>
                <w:bCs w:val="1"/>
                <w:color w:val="auto"/>
              </w:rPr>
              <w:t>Interest-earning assets:</w:t>
            </w:r>
          </w:p>
        </w:tc>
        <w:tc>
          <w:tcPr>
            <w:tcW w:w="2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r>
      <w:tr>
        <w:trPr>
          <w:trHeight w:val="214"/>
        </w:trPr>
        <w:tc>
          <w:tcPr>
            <w:tcW w:w="3320" w:type="dxa"/>
            <w:vAlign w:val="bottom"/>
          </w:tcPr>
          <w:p>
            <w:pPr>
              <w:spacing w:after="0"/>
              <w:rPr>
                <w:sz w:val="20"/>
                <w:szCs w:val="20"/>
                <w:color w:val="auto"/>
              </w:rPr>
            </w:pPr>
            <w:r>
              <w:rPr>
                <w:rFonts w:ascii="Arial" w:cs="Arial" w:eastAsia="Arial" w:hAnsi="Arial"/>
                <w:sz w:val="18"/>
                <w:szCs w:val="18"/>
                <w:color w:val="auto"/>
              </w:rPr>
              <w:t>Loans</w:t>
            </w:r>
          </w:p>
        </w:tc>
        <w:tc>
          <w:tcPr>
            <w:tcW w:w="200" w:type="dxa"/>
            <w:vAlign w:val="bottom"/>
          </w:tcPr>
          <w:p>
            <w:pPr>
              <w:jc w:val="right"/>
              <w:ind w:right="11"/>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1,253</w:t>
            </w:r>
          </w:p>
        </w:tc>
        <w:tc>
          <w:tcPr>
            <w:tcW w:w="40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(4,743)</w:t>
            </w:r>
          </w:p>
        </w:tc>
        <w:tc>
          <w:tcPr>
            <w:tcW w:w="80" w:type="dxa"/>
            <w:vAlign w:val="bottom"/>
          </w:tcPr>
          <w:p>
            <w:pPr>
              <w:spacing w:after="0"/>
              <w:rPr>
                <w:sz w:val="18"/>
                <w:szCs w:val="18"/>
                <w:color w:val="auto"/>
              </w:rPr>
            </w:pPr>
          </w:p>
        </w:tc>
        <w:tc>
          <w:tcPr>
            <w:tcW w:w="28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(3,490)</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1,650</w:t>
            </w:r>
          </w:p>
        </w:tc>
        <w:tc>
          <w:tcPr>
            <w:tcW w:w="38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(9,983)</w:t>
            </w:r>
          </w:p>
        </w:tc>
        <w:tc>
          <w:tcPr>
            <w:tcW w:w="100" w:type="dxa"/>
            <w:vAlign w:val="bottom"/>
          </w:tcPr>
          <w:p>
            <w:pPr>
              <w:spacing w:after="0"/>
              <w:rPr>
                <w:sz w:val="18"/>
                <w:szCs w:val="18"/>
                <w:color w:val="auto"/>
              </w:rPr>
            </w:pPr>
          </w:p>
        </w:tc>
        <w:tc>
          <w:tcPr>
            <w:tcW w:w="240" w:type="dxa"/>
            <w:vAlign w:val="bottom"/>
          </w:tcPr>
          <w:p>
            <w:pPr>
              <w:jc w:val="right"/>
              <w:ind w:right="51"/>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(8,333)</w:t>
            </w:r>
          </w:p>
        </w:tc>
      </w:tr>
      <w:tr>
        <w:trPr>
          <w:trHeight w:val="214"/>
        </w:trPr>
        <w:tc>
          <w:tcPr>
            <w:tcW w:w="3320" w:type="dxa"/>
            <w:vAlign w:val="bottom"/>
          </w:tcPr>
          <w:p>
            <w:pPr>
              <w:spacing w:after="0"/>
              <w:rPr>
                <w:sz w:val="20"/>
                <w:szCs w:val="20"/>
                <w:color w:val="auto"/>
              </w:rPr>
            </w:pPr>
            <w:r>
              <w:rPr>
                <w:rFonts w:ascii="Arial" w:cs="Arial" w:eastAsia="Arial" w:hAnsi="Arial"/>
                <w:sz w:val="18"/>
                <w:szCs w:val="18"/>
                <w:color w:val="auto"/>
              </w:rPr>
              <w:t>Taxable securities</w:t>
            </w: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92</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(1,421)</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(1,329)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53</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(4,383)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(4,330)</w:t>
            </w:r>
          </w:p>
        </w:tc>
      </w:tr>
      <w:tr>
        <w:trPr>
          <w:trHeight w:val="214"/>
        </w:trPr>
        <w:tc>
          <w:tcPr>
            <w:tcW w:w="3320" w:type="dxa"/>
            <w:vAlign w:val="bottom"/>
          </w:tcPr>
          <w:p>
            <w:pPr>
              <w:spacing w:after="0"/>
              <w:rPr>
                <w:sz w:val="20"/>
                <w:szCs w:val="20"/>
                <w:color w:val="auto"/>
              </w:rPr>
            </w:pPr>
            <w:r>
              <w:rPr>
                <w:rFonts w:ascii="Arial" w:cs="Arial" w:eastAsia="Arial" w:hAnsi="Arial"/>
                <w:sz w:val="18"/>
                <w:szCs w:val="18"/>
                <w:color w:val="auto"/>
              </w:rPr>
              <w:t>Tax-exempt securities</w:t>
            </w: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(44)</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(41)</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(103)</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(148)</w:t>
            </w:r>
          </w:p>
        </w:tc>
      </w:tr>
      <w:tr>
        <w:trPr>
          <w:trHeight w:val="214"/>
        </w:trPr>
        <w:tc>
          <w:tcPr>
            <w:tcW w:w="3320" w:type="dxa"/>
            <w:vAlign w:val="bottom"/>
          </w:tcPr>
          <w:p>
            <w:pPr>
              <w:spacing w:after="0"/>
              <w:rPr>
                <w:sz w:val="20"/>
                <w:szCs w:val="20"/>
                <w:color w:val="auto"/>
              </w:rPr>
            </w:pPr>
            <w:r>
              <w:rPr>
                <w:rFonts w:ascii="Arial" w:cs="Arial" w:eastAsia="Arial" w:hAnsi="Arial"/>
                <w:sz w:val="18"/>
                <w:szCs w:val="18"/>
                <w:color w:val="auto"/>
                <w:w w:val="91"/>
              </w:rPr>
              <w:t>Federal funds sold and other interest-earning</w:t>
            </w: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35"/>
        </w:trPr>
        <w:tc>
          <w:tcPr>
            <w:tcW w:w="3320" w:type="dxa"/>
            <w:vAlign w:val="bottom"/>
          </w:tcPr>
          <w:p>
            <w:pPr>
              <w:spacing w:after="0"/>
              <w:rPr>
                <w:sz w:val="20"/>
                <w:szCs w:val="20"/>
                <w:color w:val="auto"/>
              </w:rPr>
            </w:pPr>
            <w:r>
              <w:rPr>
                <w:rFonts w:ascii="Arial" w:cs="Arial" w:eastAsia="Arial" w:hAnsi="Arial"/>
                <w:sz w:val="18"/>
                <w:szCs w:val="18"/>
                <w:color w:val="auto"/>
              </w:rPr>
              <w:t>assets</w:t>
            </w:r>
          </w:p>
        </w:tc>
        <w:tc>
          <w:tcPr>
            <w:tcW w:w="2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(744)</w:t>
            </w:r>
          </w:p>
        </w:tc>
        <w:tc>
          <w:tcPr>
            <w:tcW w:w="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561</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w:t>
            </w: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(1,415)</w:t>
            </w:r>
          </w:p>
        </w:tc>
        <w:tc>
          <w:tcPr>
            <w:tcW w:w="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1,052</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(363)</w:t>
            </w:r>
          </w:p>
        </w:tc>
      </w:tr>
      <w:tr>
        <w:trPr>
          <w:trHeight w:val="221"/>
        </w:trPr>
        <w:tc>
          <w:tcPr>
            <w:tcW w:w="3320" w:type="dxa"/>
            <w:vAlign w:val="bottom"/>
          </w:tcPr>
          <w:p>
            <w:pPr>
              <w:ind w:left="180"/>
              <w:spacing w:after="0"/>
              <w:rPr>
                <w:sz w:val="20"/>
                <w:szCs w:val="20"/>
                <w:color w:val="auto"/>
              </w:rPr>
            </w:pPr>
            <w:r>
              <w:rPr>
                <w:rFonts w:ascii="Arial" w:cs="Arial" w:eastAsia="Arial" w:hAnsi="Arial"/>
                <w:sz w:val="18"/>
                <w:szCs w:val="18"/>
                <w:b w:val="1"/>
                <w:bCs w:val="1"/>
                <w:color w:val="auto"/>
              </w:rPr>
              <w:t>Total interest-earning assets</w:t>
            </w: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557</w:t>
            </w:r>
          </w:p>
        </w:tc>
        <w:tc>
          <w:tcPr>
            <w:tcW w:w="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(5,644)</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(5,087)</w:t>
            </w: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w:t>
            </w:r>
          </w:p>
        </w:tc>
        <w:tc>
          <w:tcPr>
            <w:tcW w:w="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(13,359)</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(13,174)</w:t>
            </w:r>
          </w:p>
        </w:tc>
      </w:tr>
      <w:tr>
        <w:trPr>
          <w:trHeight w:val="414"/>
        </w:trPr>
        <w:tc>
          <w:tcPr>
            <w:tcW w:w="3320" w:type="dxa"/>
            <w:vAlign w:val="bottom"/>
          </w:tcPr>
          <w:p>
            <w:pPr>
              <w:spacing w:after="0"/>
              <w:rPr>
                <w:sz w:val="20"/>
                <w:szCs w:val="20"/>
                <w:color w:val="auto"/>
              </w:rPr>
            </w:pPr>
            <w:r>
              <w:rPr>
                <w:rFonts w:ascii="Arial" w:cs="Arial" w:eastAsia="Arial" w:hAnsi="Arial"/>
                <w:sz w:val="18"/>
                <w:szCs w:val="18"/>
                <w:b w:val="1"/>
                <w:bCs w:val="1"/>
                <w:color w:val="auto"/>
              </w:rPr>
              <w:t>Interest-bearing liabilities:</w:t>
            </w: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14"/>
        </w:trPr>
        <w:tc>
          <w:tcPr>
            <w:tcW w:w="3320" w:type="dxa"/>
            <w:vAlign w:val="bottom"/>
          </w:tcPr>
          <w:p>
            <w:pPr>
              <w:spacing w:after="0"/>
              <w:rPr>
                <w:sz w:val="20"/>
                <w:szCs w:val="20"/>
                <w:color w:val="auto"/>
              </w:rPr>
            </w:pPr>
            <w:r>
              <w:rPr>
                <w:rFonts w:ascii="Arial" w:cs="Arial" w:eastAsia="Arial" w:hAnsi="Arial"/>
                <w:sz w:val="18"/>
                <w:szCs w:val="18"/>
                <w:color w:val="auto"/>
              </w:rPr>
              <w:t>NOW accounts</w:t>
            </w: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(70)</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(75)</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(192)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(267)</w:t>
            </w:r>
          </w:p>
        </w:tc>
      </w:tr>
      <w:tr>
        <w:trPr>
          <w:trHeight w:val="214"/>
        </w:trPr>
        <w:tc>
          <w:tcPr>
            <w:tcW w:w="3320" w:type="dxa"/>
            <w:vAlign w:val="bottom"/>
          </w:tcPr>
          <w:p>
            <w:pPr>
              <w:spacing w:after="0"/>
              <w:rPr>
                <w:sz w:val="20"/>
                <w:szCs w:val="20"/>
                <w:color w:val="auto"/>
              </w:rPr>
            </w:pPr>
            <w:r>
              <w:rPr>
                <w:rFonts w:ascii="Arial" w:cs="Arial" w:eastAsia="Arial" w:hAnsi="Arial"/>
                <w:sz w:val="18"/>
                <w:szCs w:val="18"/>
                <w:color w:val="auto"/>
              </w:rPr>
              <w:t>Money market accounts</w:t>
            </w: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91</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(218)</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192</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(398)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(206)</w:t>
            </w:r>
          </w:p>
        </w:tc>
      </w:tr>
      <w:tr>
        <w:trPr>
          <w:trHeight w:val="214"/>
        </w:trPr>
        <w:tc>
          <w:tcPr>
            <w:tcW w:w="3320" w:type="dxa"/>
            <w:vAlign w:val="bottom"/>
          </w:tcPr>
          <w:p>
            <w:pPr>
              <w:spacing w:after="0"/>
              <w:rPr>
                <w:sz w:val="20"/>
                <w:szCs w:val="20"/>
                <w:color w:val="auto"/>
              </w:rPr>
            </w:pPr>
            <w:r>
              <w:rPr>
                <w:rFonts w:ascii="Arial" w:cs="Arial" w:eastAsia="Arial" w:hAnsi="Arial"/>
                <w:sz w:val="18"/>
                <w:szCs w:val="18"/>
                <w:color w:val="auto"/>
              </w:rPr>
              <w:t>Savings deposits</w:t>
            </w: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4"/>
        </w:trPr>
        <w:tc>
          <w:tcPr>
            <w:tcW w:w="3320" w:type="dxa"/>
            <w:vAlign w:val="bottom"/>
          </w:tcPr>
          <w:p>
            <w:pPr>
              <w:spacing w:after="0"/>
              <w:rPr>
                <w:sz w:val="20"/>
                <w:szCs w:val="20"/>
                <w:color w:val="auto"/>
              </w:rPr>
            </w:pPr>
            <w:r>
              <w:rPr>
                <w:rFonts w:ascii="Arial" w:cs="Arial" w:eastAsia="Arial" w:hAnsi="Arial"/>
                <w:sz w:val="18"/>
                <w:szCs w:val="18"/>
                <w:color w:val="auto"/>
              </w:rPr>
              <w:t>Time deposits less than $100,000</w:t>
            </w: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(352)</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(600)</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(952)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(839)</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(1,390)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(2,229)</w:t>
            </w:r>
          </w:p>
        </w:tc>
      </w:tr>
      <w:tr>
        <w:trPr>
          <w:trHeight w:val="214"/>
        </w:trPr>
        <w:tc>
          <w:tcPr>
            <w:tcW w:w="3320" w:type="dxa"/>
            <w:vAlign w:val="bottom"/>
          </w:tcPr>
          <w:p>
            <w:pPr>
              <w:spacing w:after="0"/>
              <w:rPr>
                <w:sz w:val="20"/>
                <w:szCs w:val="20"/>
                <w:color w:val="auto"/>
              </w:rPr>
            </w:pPr>
            <w:r>
              <w:rPr>
                <w:rFonts w:ascii="Arial" w:cs="Arial" w:eastAsia="Arial" w:hAnsi="Arial"/>
                <w:sz w:val="18"/>
                <w:szCs w:val="18"/>
                <w:color w:val="auto"/>
              </w:rPr>
              <w:t>Time deposits greater than $100,000</w:t>
            </w: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(253)</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(430)</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(683)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(587)</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(1,034)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(1,621)</w:t>
            </w:r>
          </w:p>
        </w:tc>
      </w:tr>
      <w:tr>
        <w:trPr>
          <w:trHeight w:val="235"/>
        </w:trPr>
        <w:tc>
          <w:tcPr>
            <w:tcW w:w="3320" w:type="dxa"/>
            <w:vAlign w:val="bottom"/>
          </w:tcPr>
          <w:p>
            <w:pPr>
              <w:spacing w:after="0"/>
              <w:rPr>
                <w:sz w:val="20"/>
                <w:szCs w:val="20"/>
                <w:color w:val="auto"/>
              </w:rPr>
            </w:pPr>
            <w:r>
              <w:rPr>
                <w:rFonts w:ascii="Arial" w:cs="Arial" w:eastAsia="Arial" w:hAnsi="Arial"/>
                <w:sz w:val="18"/>
                <w:szCs w:val="18"/>
                <w:color w:val="auto"/>
              </w:rPr>
              <w:t>Brokered deposits</w:t>
            </w:r>
          </w:p>
        </w:tc>
        <w:tc>
          <w:tcPr>
            <w:tcW w:w="2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w:t>
            </w:r>
          </w:p>
        </w:tc>
        <w:tc>
          <w:tcPr>
            <w:tcW w:w="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(626)</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(514)</w:t>
            </w: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w:t>
            </w:r>
          </w:p>
        </w:tc>
        <w:tc>
          <w:tcPr>
            <w:tcW w:w="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(1,423)</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(1,232)</w:t>
            </w:r>
          </w:p>
        </w:tc>
      </w:tr>
      <w:tr>
        <w:trPr>
          <w:trHeight w:val="221"/>
        </w:trPr>
        <w:tc>
          <w:tcPr>
            <w:tcW w:w="3320" w:type="dxa"/>
            <w:vAlign w:val="bottom"/>
          </w:tcPr>
          <w:p>
            <w:pPr>
              <w:ind w:left="100"/>
              <w:spacing w:after="0"/>
              <w:rPr>
                <w:sz w:val="20"/>
                <w:szCs w:val="20"/>
                <w:color w:val="auto"/>
              </w:rPr>
            </w:pPr>
            <w:r>
              <w:rPr>
                <w:rFonts w:ascii="Arial" w:cs="Arial" w:eastAsia="Arial" w:hAnsi="Arial"/>
                <w:sz w:val="18"/>
                <w:szCs w:val="18"/>
                <w:color w:val="auto"/>
              </w:rPr>
              <w:t>Total interest-bearing deposits</w:t>
            </w: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(411)</w:t>
            </w:r>
          </w:p>
        </w:tc>
        <w:tc>
          <w:tcPr>
            <w:tcW w:w="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(1,951)</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(2,362)</w:t>
            </w: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(1,108)</w:t>
            </w:r>
          </w:p>
        </w:tc>
        <w:tc>
          <w:tcPr>
            <w:tcW w:w="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(4,450)</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(5,558)</w:t>
            </w:r>
          </w:p>
        </w:tc>
      </w:tr>
      <w:tr>
        <w:trPr>
          <w:trHeight w:val="200"/>
        </w:trPr>
        <w:tc>
          <w:tcPr>
            <w:tcW w:w="3320" w:type="dxa"/>
            <w:vAlign w:val="bottom"/>
          </w:tcPr>
          <w:p>
            <w:pPr>
              <w:spacing w:after="0" w:line="200" w:lineRule="exact"/>
              <w:rPr>
                <w:sz w:val="20"/>
                <w:szCs w:val="20"/>
                <w:color w:val="auto"/>
              </w:rPr>
            </w:pPr>
            <w:r>
              <w:rPr>
                <w:rFonts w:ascii="Arial" w:cs="Arial" w:eastAsia="Arial" w:hAnsi="Arial"/>
                <w:sz w:val="18"/>
                <w:szCs w:val="18"/>
                <w:color w:val="auto"/>
                <w:w w:val="92"/>
              </w:rPr>
              <w:t>Federal funds purchased &amp; other borrowings</w:t>
            </w:r>
          </w:p>
        </w:tc>
        <w:tc>
          <w:tcPr>
            <w:tcW w:w="200" w:type="dxa"/>
            <w:vAlign w:val="bottom"/>
          </w:tcPr>
          <w:p>
            <w:pPr>
              <w:spacing w:after="0"/>
              <w:rPr>
                <w:sz w:val="17"/>
                <w:szCs w:val="17"/>
                <w:color w:val="auto"/>
              </w:rPr>
            </w:pPr>
          </w:p>
        </w:tc>
        <w:tc>
          <w:tcPr>
            <w:tcW w:w="1040" w:type="dxa"/>
            <w:vAlign w:val="bottom"/>
          </w:tcPr>
          <w:p>
            <w:pPr>
              <w:jc w:val="right"/>
              <w:spacing w:after="0" w:line="200" w:lineRule="exact"/>
              <w:rPr>
                <w:sz w:val="20"/>
                <w:szCs w:val="20"/>
                <w:color w:val="auto"/>
              </w:rPr>
            </w:pPr>
            <w:r>
              <w:rPr>
                <w:rFonts w:ascii="Arial" w:cs="Arial" w:eastAsia="Arial" w:hAnsi="Arial"/>
                <w:sz w:val="18"/>
                <w:szCs w:val="18"/>
                <w:color w:val="auto"/>
              </w:rPr>
              <w:t>(205)</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jc w:val="right"/>
              <w:spacing w:after="0" w:line="200" w:lineRule="exact"/>
              <w:rPr>
                <w:sz w:val="20"/>
                <w:szCs w:val="20"/>
                <w:color w:val="auto"/>
              </w:rPr>
            </w:pPr>
            <w:r>
              <w:rPr>
                <w:rFonts w:ascii="Arial" w:cs="Arial" w:eastAsia="Arial" w:hAnsi="Arial"/>
                <w:sz w:val="18"/>
                <w:szCs w:val="18"/>
                <w:color w:val="auto"/>
              </w:rPr>
              <w:t>(177)</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jc w:val="right"/>
              <w:spacing w:after="0" w:line="200" w:lineRule="exact"/>
              <w:rPr>
                <w:sz w:val="20"/>
                <w:szCs w:val="20"/>
                <w:color w:val="auto"/>
              </w:rPr>
            </w:pPr>
            <w:r>
              <w:rPr>
                <w:rFonts w:ascii="Arial" w:cs="Arial" w:eastAsia="Arial" w:hAnsi="Arial"/>
                <w:sz w:val="18"/>
                <w:szCs w:val="18"/>
                <w:color w:val="auto"/>
              </w:rPr>
              <w:t>(382)</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jc w:val="right"/>
              <w:spacing w:after="0" w:line="200" w:lineRule="exact"/>
              <w:rPr>
                <w:sz w:val="20"/>
                <w:szCs w:val="20"/>
                <w:color w:val="auto"/>
              </w:rPr>
            </w:pPr>
            <w:r>
              <w:rPr>
                <w:rFonts w:ascii="Arial" w:cs="Arial" w:eastAsia="Arial" w:hAnsi="Arial"/>
                <w:sz w:val="18"/>
                <w:szCs w:val="18"/>
                <w:color w:val="auto"/>
              </w:rPr>
              <w:t>(466)</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spacing w:after="0" w:line="200" w:lineRule="exact"/>
              <w:rPr>
                <w:sz w:val="20"/>
                <w:szCs w:val="20"/>
                <w:color w:val="auto"/>
              </w:rPr>
            </w:pPr>
            <w:r>
              <w:rPr>
                <w:rFonts w:ascii="Arial" w:cs="Arial" w:eastAsia="Arial" w:hAnsi="Arial"/>
                <w:sz w:val="18"/>
                <w:szCs w:val="18"/>
                <w:color w:val="auto"/>
              </w:rPr>
              <w:t>(445)</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spacing w:after="0" w:line="200" w:lineRule="exact"/>
              <w:rPr>
                <w:sz w:val="20"/>
                <w:szCs w:val="20"/>
                <w:color w:val="auto"/>
              </w:rPr>
            </w:pPr>
            <w:r>
              <w:rPr>
                <w:rFonts w:ascii="Arial" w:cs="Arial" w:eastAsia="Arial" w:hAnsi="Arial"/>
                <w:sz w:val="18"/>
                <w:szCs w:val="18"/>
                <w:color w:val="auto"/>
              </w:rPr>
              <w:t>(911)</w:t>
            </w:r>
          </w:p>
        </w:tc>
      </w:tr>
      <w:tr>
        <w:trPr>
          <w:trHeight w:val="214"/>
        </w:trPr>
        <w:tc>
          <w:tcPr>
            <w:tcW w:w="3320" w:type="dxa"/>
            <w:vAlign w:val="bottom"/>
          </w:tcPr>
          <w:p>
            <w:pPr>
              <w:spacing w:after="0"/>
              <w:rPr>
                <w:sz w:val="20"/>
                <w:szCs w:val="20"/>
                <w:color w:val="auto"/>
              </w:rPr>
            </w:pPr>
            <w:r>
              <w:rPr>
                <w:rFonts w:ascii="Arial" w:cs="Arial" w:eastAsia="Arial" w:hAnsi="Arial"/>
                <w:sz w:val="18"/>
                <w:szCs w:val="18"/>
                <w:color w:val="auto"/>
              </w:rPr>
              <w:t>Federal Home Loan Bank advances</w:t>
            </w: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(199)</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(161)</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(360)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(414)</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(393)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(807)</w:t>
            </w:r>
          </w:p>
        </w:tc>
      </w:tr>
      <w:tr>
        <w:trPr>
          <w:trHeight w:val="235"/>
        </w:trPr>
        <w:tc>
          <w:tcPr>
            <w:tcW w:w="3320" w:type="dxa"/>
            <w:vAlign w:val="bottom"/>
          </w:tcPr>
          <w:p>
            <w:pPr>
              <w:spacing w:after="0"/>
              <w:rPr>
                <w:sz w:val="20"/>
                <w:szCs w:val="20"/>
                <w:color w:val="auto"/>
              </w:rPr>
            </w:pPr>
            <w:r>
              <w:rPr>
                <w:rFonts w:ascii="Arial" w:cs="Arial" w:eastAsia="Arial" w:hAnsi="Arial"/>
                <w:sz w:val="18"/>
                <w:szCs w:val="18"/>
                <w:color w:val="auto"/>
              </w:rPr>
              <w:t>Long-term debt</w:t>
            </w:r>
          </w:p>
        </w:tc>
        <w:tc>
          <w:tcPr>
            <w:tcW w:w="2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w:t>
            </w:r>
          </w:p>
        </w:tc>
        <w:tc>
          <w:tcPr>
            <w:tcW w:w="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198</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291</w:t>
            </w: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w:t>
            </w:r>
          </w:p>
        </w:tc>
        <w:tc>
          <w:tcPr>
            <w:tcW w:w="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395</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581</w:t>
            </w:r>
          </w:p>
        </w:tc>
      </w:tr>
      <w:tr>
        <w:trPr>
          <w:trHeight w:val="221"/>
        </w:trPr>
        <w:tc>
          <w:tcPr>
            <w:tcW w:w="3320" w:type="dxa"/>
            <w:vAlign w:val="bottom"/>
          </w:tcPr>
          <w:p>
            <w:pPr>
              <w:ind w:left="100"/>
              <w:spacing w:after="0"/>
              <w:rPr>
                <w:sz w:val="20"/>
                <w:szCs w:val="20"/>
                <w:color w:val="auto"/>
              </w:rPr>
            </w:pPr>
            <w:r>
              <w:rPr>
                <w:rFonts w:ascii="Arial" w:cs="Arial" w:eastAsia="Arial" w:hAnsi="Arial"/>
                <w:sz w:val="18"/>
                <w:szCs w:val="18"/>
                <w:color w:val="auto"/>
              </w:rPr>
              <w:t>Total borrowed funds</w:t>
            </w: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(311)</w:t>
            </w:r>
          </w:p>
        </w:tc>
        <w:tc>
          <w:tcPr>
            <w:tcW w:w="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(451)</w:t>
            </w: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(694)</w:t>
            </w:r>
          </w:p>
        </w:tc>
        <w:tc>
          <w:tcPr>
            <w:tcW w:w="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(443)</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(1,137)</w:t>
            </w:r>
          </w:p>
        </w:tc>
      </w:tr>
      <w:tr>
        <w:trPr>
          <w:trHeight w:val="221"/>
        </w:trPr>
        <w:tc>
          <w:tcPr>
            <w:tcW w:w="3320" w:type="dxa"/>
            <w:vAlign w:val="bottom"/>
          </w:tcPr>
          <w:p>
            <w:pPr>
              <w:ind w:left="180"/>
              <w:spacing w:after="0"/>
              <w:rPr>
                <w:sz w:val="20"/>
                <w:szCs w:val="20"/>
                <w:color w:val="auto"/>
              </w:rPr>
            </w:pPr>
            <w:r>
              <w:rPr>
                <w:rFonts w:ascii="Arial" w:cs="Arial" w:eastAsia="Arial" w:hAnsi="Arial"/>
                <w:sz w:val="18"/>
                <w:szCs w:val="18"/>
                <w:b w:val="1"/>
                <w:bCs w:val="1"/>
                <w:color w:val="auto"/>
              </w:rPr>
              <w:t>Total interest-bearing liabilities</w:t>
            </w: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(722)</w:t>
            </w:r>
          </w:p>
        </w:tc>
        <w:tc>
          <w:tcPr>
            <w:tcW w:w="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(2,091)</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(2,813)</w:t>
            </w: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(1,802)</w:t>
            </w:r>
          </w:p>
        </w:tc>
        <w:tc>
          <w:tcPr>
            <w:tcW w:w="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(4,893)</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(6,695)</w:t>
            </w:r>
          </w:p>
        </w:tc>
      </w:tr>
      <w:tr>
        <w:trPr>
          <w:trHeight w:val="428"/>
        </w:trPr>
        <w:tc>
          <w:tcPr>
            <w:tcW w:w="3320" w:type="dxa"/>
            <w:vAlign w:val="bottom"/>
          </w:tcPr>
          <w:p>
            <w:pPr>
              <w:ind w:left="360"/>
              <w:spacing w:after="0"/>
              <w:rPr>
                <w:sz w:val="20"/>
                <w:szCs w:val="20"/>
                <w:color w:val="auto"/>
              </w:rPr>
            </w:pPr>
            <w:r>
              <w:rPr>
                <w:rFonts w:ascii="Arial" w:cs="Arial" w:eastAsia="Arial" w:hAnsi="Arial"/>
                <w:sz w:val="18"/>
                <w:szCs w:val="18"/>
                <w:b w:val="1"/>
                <w:bCs w:val="1"/>
                <w:color w:val="auto"/>
              </w:rPr>
              <w:t>Increase in net interest revenue</w:t>
            </w:r>
          </w:p>
        </w:tc>
        <w:tc>
          <w:tcPr>
            <w:tcW w:w="200" w:type="dxa"/>
            <w:vAlign w:val="bottom"/>
          </w:tcPr>
          <w:p>
            <w:pPr>
              <w:jc w:val="right"/>
              <w:ind w:right="11"/>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1,279</w:t>
            </w:r>
          </w:p>
        </w:tc>
        <w:tc>
          <w:tcPr>
            <w:tcW w:w="40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(3,553)</w:t>
            </w:r>
          </w:p>
        </w:tc>
        <w:tc>
          <w:tcPr>
            <w:tcW w:w="80" w:type="dxa"/>
            <w:vAlign w:val="bottom"/>
          </w:tcPr>
          <w:p>
            <w:pPr>
              <w:spacing w:after="0"/>
              <w:rPr>
                <w:sz w:val="24"/>
                <w:szCs w:val="24"/>
                <w:color w:val="auto"/>
              </w:rPr>
            </w:pPr>
          </w:p>
        </w:tc>
        <w:tc>
          <w:tcPr>
            <w:tcW w:w="28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(2,274)</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1,987</w:t>
            </w:r>
          </w:p>
        </w:tc>
        <w:tc>
          <w:tcPr>
            <w:tcW w:w="38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(8,466)</w:t>
            </w:r>
          </w:p>
        </w:tc>
        <w:tc>
          <w:tcPr>
            <w:tcW w:w="100" w:type="dxa"/>
            <w:vAlign w:val="bottom"/>
          </w:tcPr>
          <w:p>
            <w:pPr>
              <w:spacing w:after="0"/>
              <w:rPr>
                <w:sz w:val="24"/>
                <w:szCs w:val="24"/>
                <w:color w:val="auto"/>
              </w:rPr>
            </w:pPr>
          </w:p>
        </w:tc>
        <w:tc>
          <w:tcPr>
            <w:tcW w:w="240" w:type="dxa"/>
            <w:vAlign w:val="bottom"/>
          </w:tcPr>
          <w:p>
            <w:pPr>
              <w:jc w:val="right"/>
              <w:ind w:right="51"/>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(6,479)</w:t>
            </w:r>
          </w:p>
        </w:tc>
      </w:tr>
      <w:tr>
        <w:trPr>
          <w:trHeight w:val="21"/>
        </w:trPr>
        <w:tc>
          <w:tcPr>
            <w:tcW w:w="33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Loan Losses</w:t>
      </w:r>
    </w:p>
    <w:p>
      <w:pPr>
        <w:spacing w:after="0" w:line="248"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The provision for loan losses is based on management’s evaluation of losses inherent in the loan portfolio and corresponding analysis of the allowance for loan losses at quarter-end. The provision for loan losses was $48.5 million and $59.5 million for the second quarter and first six months of 2013, compared to $18.0 million and $33.0 million for the same periods in 2012. The amount of provision recorded in each period was the amount required such that the total allowance for loan losses reflected the appropriate balance, in the estimation of management, that was sufficient to cover inherent losses in the loan portfolio. The second quarter of 2013 loan loss provision was $30.5 million higher than the second quarter of 2012 provision, due to increased level of charge-offs associated with the second quarter 2013 classified asset disposition. For the three and six months ended June 30, 2013, net loan charge-offs as an annualized percentage of average outstanding loans were 6.87% and 4.07%, respectively, compared to 1.85% and 1.70%, respectively, for the same periods in 2012.</w:t>
      </w:r>
    </w:p>
    <w:p>
      <w:pPr>
        <w:spacing w:after="0" w:line="22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Over the past two years, we have seen a significant improvement in credit quality and corresponding credit measures. The second quarter of 2013 included the sales of classified assets totaling approximately $172 million, including a bulk sale of $131 million. The classified asset sales and a general improving trend reduced United’s non-performing assets to $31.8 million as of June 30, 2013. Additional discussion on credit quality and the allowance for loan losses is included in the Asset Quality and Risk Elements section of this report on page 51.</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13970</wp:posOffset>
            </wp:positionV>
            <wp:extent cx="724789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7890" cy="8255"/>
                    </a:xfrm>
                    <a:prstGeom prst="rect">
                      <a:avLst/>
                    </a:prstGeom>
                    <a:noFill/>
                  </pic:spPr>
                </pic:pic>
              </a:graphicData>
            </a:graphic>
          </wp:anchor>
        </w:drawing>
      </w:r>
    </w:p>
    <w:p>
      <w:pPr>
        <w:sectPr>
          <w:pgSz w:w="11900" w:h="16838" w:orient="portrait"/>
          <w:cols w:equalWidth="0" w:num="1">
            <w:col w:w="11420"/>
          </w:cols>
          <w:pgMar w:left="240" w:top="915" w:right="239" w:bottom="1440" w:gutter="0" w:footer="0" w:header="0"/>
        </w:sectPr>
      </w:pPr>
    </w:p>
    <w:bookmarkStart w:id="50" w:name="page51"/>
    <w:bookmarkEnd w:id="50"/>
    <w:p>
      <w:pPr>
        <w:spacing w:after="0"/>
        <w:rPr>
          <w:sz w:val="20"/>
          <w:szCs w:val="20"/>
          <w:color w:val="auto"/>
        </w:rPr>
      </w:pPr>
      <w:r>
        <w:rPr>
          <w:rFonts w:ascii="Arial" w:cs="Arial" w:eastAsia="Arial" w:hAnsi="Arial"/>
          <w:sz w:val="18"/>
          <w:szCs w:val="18"/>
          <w:b w:val="1"/>
          <w:bCs w:val="1"/>
          <w:i w:val="1"/>
          <w:iCs w:val="1"/>
          <w:color w:val="auto"/>
        </w:rPr>
        <w:t>Fee Revenue</w:t>
      </w:r>
    </w:p>
    <w:p>
      <w:pPr>
        <w:spacing w:after="0" w:line="248"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Fee revenue for the three and six months ended June 30, 2013 was $16.3 million and $29.2 million, respectively, an increase of $3.45 million, or 27%, compared to the second quarter of 2012, and an increase of $892,000, or 3%, from the year-to-date period of 2012. The following table presents the components of fee revenue for the second quarters and first six months of 2013 and 2012.</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5 - Fee Revenue</w:t>
      </w:r>
    </w:p>
    <w:p>
      <w:pPr>
        <w:spacing w:after="0" w:line="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thousands)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2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40" w:type="dxa"/>
            <w:vAlign w:val="bottom"/>
            <w:gridSpan w:val="4"/>
          </w:tcPr>
          <w:p>
            <w:pPr>
              <w:jc w:val="right"/>
              <w:ind w:right="251"/>
              <w:spacing w:after="0"/>
              <w:rPr>
                <w:sz w:val="20"/>
                <w:szCs w:val="20"/>
                <w:color w:val="auto"/>
              </w:rPr>
            </w:pPr>
            <w:r>
              <w:rPr>
                <w:rFonts w:ascii="Arial" w:cs="Arial" w:eastAsia="Arial" w:hAnsi="Arial"/>
                <w:sz w:val="18"/>
                <w:szCs w:val="18"/>
                <w:b w:val="1"/>
                <w:bCs w:val="1"/>
                <w:color w:val="auto"/>
                <w:w w:val="94"/>
              </w:rPr>
              <w:t>Three Months Ended</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40" w:type="dxa"/>
            <w:vAlign w:val="bottom"/>
            <w:gridSpan w:val="4"/>
          </w:tcPr>
          <w:p>
            <w:pPr>
              <w:jc w:val="right"/>
              <w:ind w:right="331"/>
              <w:spacing w:after="0"/>
              <w:rPr>
                <w:sz w:val="20"/>
                <w:szCs w:val="20"/>
                <w:color w:val="auto"/>
              </w:rPr>
            </w:pPr>
            <w:r>
              <w:rPr>
                <w:rFonts w:ascii="Arial" w:cs="Arial" w:eastAsia="Arial" w:hAnsi="Arial"/>
                <w:sz w:val="18"/>
                <w:szCs w:val="18"/>
                <w:b w:val="1"/>
                <w:bCs w:val="1"/>
                <w:color w:val="auto"/>
                <w:w w:val="96"/>
              </w:rPr>
              <w:t>Six Months Ended</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39"/>
        </w:trPr>
        <w:tc>
          <w:tcPr>
            <w:tcW w:w="24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8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gridSpan w:val="3"/>
          </w:tcPr>
          <w:p>
            <w:pPr>
              <w:ind w:left="640"/>
              <w:spacing w:after="0"/>
              <w:rPr>
                <w:sz w:val="20"/>
                <w:szCs w:val="20"/>
                <w:color w:val="auto"/>
              </w:rPr>
            </w:pPr>
            <w:r>
              <w:rPr>
                <w:rFonts w:ascii="Arial" w:cs="Arial" w:eastAsia="Arial" w:hAnsi="Arial"/>
                <w:sz w:val="18"/>
                <w:szCs w:val="18"/>
                <w:b w:val="1"/>
                <w:bCs w:val="1"/>
                <w:color w:val="auto"/>
                <w:w w:val="84"/>
              </w:rPr>
              <w:t>Change</w:t>
            </w:r>
          </w:p>
        </w:tc>
        <w:tc>
          <w:tcPr>
            <w:tcW w:w="8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7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gridSpan w:val="3"/>
          </w:tcPr>
          <w:p>
            <w:pPr>
              <w:jc w:val="right"/>
              <w:ind w:right="731"/>
              <w:spacing w:after="0"/>
              <w:rPr>
                <w:sz w:val="20"/>
                <w:szCs w:val="20"/>
                <w:color w:val="auto"/>
              </w:rPr>
            </w:pPr>
            <w:r>
              <w:rPr>
                <w:rFonts w:ascii="Arial" w:cs="Arial" w:eastAsia="Arial" w:hAnsi="Arial"/>
                <w:sz w:val="18"/>
                <w:szCs w:val="18"/>
                <w:b w:val="1"/>
                <w:bCs w:val="1"/>
                <w:color w:val="auto"/>
              </w:rPr>
              <w:t>Change</w:t>
            </w:r>
          </w:p>
        </w:tc>
      </w:tr>
      <w:tr>
        <w:trPr>
          <w:trHeight w:val="221"/>
        </w:trPr>
        <w:tc>
          <w:tcPr>
            <w:tcW w:w="24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11"/>
              <w:spacing w:after="0"/>
              <w:rPr>
                <w:sz w:val="20"/>
                <w:szCs w:val="20"/>
                <w:color w:val="auto"/>
              </w:rPr>
            </w:pPr>
            <w:r>
              <w:rPr>
                <w:rFonts w:ascii="Arial" w:cs="Arial" w:eastAsia="Arial" w:hAnsi="Arial"/>
                <w:sz w:val="18"/>
                <w:szCs w:val="18"/>
                <w:b w:val="1"/>
                <w:bCs w:val="1"/>
                <w:color w:val="auto"/>
              </w:rPr>
              <w:t>2013</w:t>
            </w: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11"/>
              <w:spacing w:after="0"/>
              <w:rPr>
                <w:sz w:val="20"/>
                <w:szCs w:val="20"/>
                <w:color w:val="auto"/>
              </w:rPr>
            </w:pPr>
            <w:r>
              <w:rPr>
                <w:rFonts w:ascii="Arial" w:cs="Arial" w:eastAsia="Arial" w:hAnsi="Arial"/>
                <w:sz w:val="18"/>
                <w:szCs w:val="18"/>
                <w:b w:val="1"/>
                <w:bCs w:val="1"/>
                <w:color w:val="auto"/>
                <w:w w:val="94"/>
              </w:rPr>
              <w:t>2012</w:t>
            </w: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91"/>
              <w:spacing w:after="0"/>
              <w:rPr>
                <w:sz w:val="20"/>
                <w:szCs w:val="20"/>
                <w:color w:val="auto"/>
              </w:rPr>
            </w:pPr>
            <w:r>
              <w:rPr>
                <w:rFonts w:ascii="Arial" w:cs="Arial" w:eastAsia="Arial" w:hAnsi="Arial"/>
                <w:sz w:val="18"/>
                <w:szCs w:val="18"/>
                <w:b w:val="1"/>
                <w:bCs w:val="1"/>
                <w:color w:val="auto"/>
                <w:w w:val="94"/>
              </w:rPr>
              <w:t>Amount</w:t>
            </w: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11"/>
              <w:spacing w:after="0"/>
              <w:rPr>
                <w:sz w:val="20"/>
                <w:szCs w:val="20"/>
                <w:color w:val="auto"/>
              </w:rPr>
            </w:pPr>
            <w:r>
              <w:rPr>
                <w:rFonts w:ascii="Arial" w:cs="Arial" w:eastAsia="Arial" w:hAnsi="Arial"/>
                <w:sz w:val="18"/>
                <w:szCs w:val="18"/>
                <w:b w:val="1"/>
                <w:bCs w:val="1"/>
                <w:color w:val="auto"/>
                <w:w w:val="84"/>
              </w:rPr>
              <w:t>Percent</w:t>
            </w: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91"/>
              <w:spacing w:after="0"/>
              <w:rPr>
                <w:sz w:val="20"/>
                <w:szCs w:val="20"/>
                <w:color w:val="auto"/>
              </w:rPr>
            </w:pPr>
            <w:r>
              <w:rPr>
                <w:rFonts w:ascii="Arial" w:cs="Arial" w:eastAsia="Arial" w:hAnsi="Arial"/>
                <w:sz w:val="18"/>
                <w:szCs w:val="18"/>
                <w:b w:val="1"/>
                <w:bCs w:val="1"/>
                <w:color w:val="auto"/>
              </w:rPr>
              <w:t>2013</w:t>
            </w: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91"/>
              <w:spacing w:after="0"/>
              <w:rPr>
                <w:sz w:val="20"/>
                <w:szCs w:val="20"/>
                <w:color w:val="auto"/>
              </w:rPr>
            </w:pPr>
            <w:r>
              <w:rPr>
                <w:rFonts w:ascii="Arial" w:cs="Arial" w:eastAsia="Arial" w:hAnsi="Arial"/>
                <w:sz w:val="18"/>
                <w:szCs w:val="18"/>
                <w:b w:val="1"/>
                <w:bCs w:val="1"/>
                <w:color w:val="auto"/>
                <w:w w:val="89"/>
              </w:rPr>
              <w:t>2012</w:t>
            </w: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b w:val="1"/>
                <w:bCs w:val="1"/>
                <w:color w:val="auto"/>
                <w:w w:val="91"/>
              </w:rPr>
              <w:t>Amount</w:t>
            </w:r>
          </w:p>
        </w:tc>
        <w:tc>
          <w:tcPr>
            <w:tcW w:w="120" w:type="dxa"/>
            <w:vAlign w:val="bottom"/>
          </w:tcPr>
          <w:p>
            <w:pPr>
              <w:spacing w:after="0"/>
              <w:rPr>
                <w:sz w:val="19"/>
                <w:szCs w:val="19"/>
                <w:color w:val="auto"/>
              </w:rPr>
            </w:pPr>
          </w:p>
        </w:tc>
        <w:tc>
          <w:tcPr>
            <w:tcW w:w="1000" w:type="dxa"/>
            <w:vAlign w:val="bottom"/>
            <w:tcBorders>
              <w:bottom w:val="single" w:sz="8" w:color="auto"/>
            </w:tcBorders>
          </w:tcPr>
          <w:p>
            <w:pPr>
              <w:jc w:val="right"/>
              <w:ind w:right="171"/>
              <w:spacing w:after="0"/>
              <w:rPr>
                <w:sz w:val="20"/>
                <w:szCs w:val="20"/>
                <w:color w:val="auto"/>
              </w:rPr>
            </w:pPr>
            <w:r>
              <w:rPr>
                <w:rFonts w:ascii="Arial" w:cs="Arial" w:eastAsia="Arial" w:hAnsi="Arial"/>
                <w:sz w:val="18"/>
                <w:szCs w:val="18"/>
                <w:b w:val="1"/>
                <w:bCs w:val="1"/>
                <w:color w:val="auto"/>
              </w:rPr>
              <w:t>Percent</w:t>
            </w:r>
          </w:p>
        </w:tc>
      </w:tr>
      <w:tr>
        <w:trPr>
          <w:trHeight w:val="414"/>
        </w:trPr>
        <w:tc>
          <w:tcPr>
            <w:tcW w:w="2420" w:type="dxa"/>
            <w:vAlign w:val="bottom"/>
          </w:tcPr>
          <w:p>
            <w:pPr>
              <w:ind w:left="60"/>
              <w:spacing w:after="0"/>
              <w:rPr>
                <w:sz w:val="20"/>
                <w:szCs w:val="20"/>
                <w:color w:val="auto"/>
              </w:rPr>
            </w:pPr>
            <w:r>
              <w:rPr>
                <w:rFonts w:ascii="Arial" w:cs="Arial" w:eastAsia="Arial" w:hAnsi="Arial"/>
                <w:sz w:val="18"/>
                <w:szCs w:val="18"/>
                <w:color w:val="auto"/>
              </w:rPr>
              <w:t>Overdraft fees</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3,032</w:t>
            </w:r>
          </w:p>
        </w:tc>
        <w:tc>
          <w:tcPr>
            <w:tcW w:w="360" w:type="dxa"/>
            <w:vAlign w:val="bottom"/>
            <w:gridSpan w:val="2"/>
          </w:tcPr>
          <w:p>
            <w:pPr>
              <w:jc w:val="right"/>
              <w:ind w:right="51"/>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3,232</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(200)</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w:t>
            </w:r>
          </w:p>
        </w:tc>
        <w:tc>
          <w:tcPr>
            <w:tcW w:w="30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6,023</w:t>
            </w:r>
          </w:p>
        </w:tc>
        <w:tc>
          <w:tcPr>
            <w:tcW w:w="360" w:type="dxa"/>
            <w:vAlign w:val="bottom"/>
            <w:gridSpan w:val="2"/>
          </w:tcPr>
          <w:p>
            <w:pPr>
              <w:jc w:val="right"/>
              <w:ind w:right="87"/>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11"/>
              <w:spacing w:after="0"/>
              <w:rPr>
                <w:sz w:val="20"/>
                <w:szCs w:val="20"/>
                <w:color w:val="auto"/>
              </w:rPr>
            </w:pPr>
            <w:r>
              <w:rPr>
                <w:rFonts w:ascii="Arial" w:cs="Arial" w:eastAsia="Arial" w:hAnsi="Arial"/>
                <w:sz w:val="18"/>
                <w:szCs w:val="18"/>
                <w:color w:val="auto"/>
              </w:rPr>
              <w:t>6,477</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(454)</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(7)</w:t>
            </w:r>
          </w:p>
        </w:tc>
      </w:tr>
      <w:tr>
        <w:trPr>
          <w:trHeight w:val="214"/>
        </w:trPr>
        <w:tc>
          <w:tcPr>
            <w:tcW w:w="2420" w:type="dxa"/>
            <w:vAlign w:val="bottom"/>
          </w:tcPr>
          <w:p>
            <w:pPr>
              <w:ind w:left="60"/>
              <w:spacing w:after="0"/>
              <w:rPr>
                <w:sz w:val="20"/>
                <w:szCs w:val="20"/>
                <w:color w:val="auto"/>
              </w:rPr>
            </w:pPr>
            <w:r>
              <w:rPr>
                <w:rFonts w:ascii="Arial" w:cs="Arial" w:eastAsia="Arial" w:hAnsi="Arial"/>
                <w:sz w:val="18"/>
                <w:szCs w:val="18"/>
                <w:color w:val="auto"/>
              </w:rPr>
              <w:t>Debit card and interchange</w:t>
            </w: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4"/>
        </w:trPr>
        <w:tc>
          <w:tcPr>
            <w:tcW w:w="2420" w:type="dxa"/>
            <w:vAlign w:val="bottom"/>
          </w:tcPr>
          <w:p>
            <w:pPr>
              <w:spacing w:after="0"/>
              <w:rPr>
                <w:sz w:val="20"/>
                <w:szCs w:val="20"/>
                <w:color w:val="auto"/>
              </w:rPr>
            </w:pPr>
            <w:r>
              <w:rPr>
                <w:rFonts w:ascii="Arial" w:cs="Arial" w:eastAsia="Arial" w:hAnsi="Arial"/>
                <w:sz w:val="18"/>
                <w:szCs w:val="18"/>
                <w:color w:val="auto"/>
              </w:rPr>
              <w:t>fees</w:t>
            </w:r>
          </w:p>
        </w:tc>
        <w:tc>
          <w:tcPr>
            <w:tcW w:w="160" w:type="dxa"/>
            <w:vAlign w:val="bottom"/>
          </w:tcPr>
          <w:p>
            <w:pPr>
              <w:spacing w:after="0"/>
              <w:rPr>
                <w:sz w:val="18"/>
                <w:szCs w:val="18"/>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3,639</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3,242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397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6,866</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jc w:val="right"/>
              <w:ind w:right="11"/>
              <w:spacing w:after="0"/>
              <w:rPr>
                <w:sz w:val="20"/>
                <w:szCs w:val="20"/>
                <w:color w:val="auto"/>
              </w:rPr>
            </w:pPr>
            <w:r>
              <w:rPr>
                <w:rFonts w:ascii="Arial" w:cs="Arial" w:eastAsia="Arial" w:hAnsi="Arial"/>
                <w:sz w:val="18"/>
                <w:szCs w:val="18"/>
                <w:color w:val="auto"/>
              </w:rPr>
              <w:t>6,344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522</w:t>
            </w:r>
          </w:p>
        </w:tc>
        <w:tc>
          <w:tcPr>
            <w:tcW w:w="1120" w:type="dxa"/>
            <w:vAlign w:val="bottom"/>
            <w:gridSpan w:val="2"/>
          </w:tcPr>
          <w:p>
            <w:pPr>
              <w:jc w:val="right"/>
              <w:ind w:right="11"/>
              <w:spacing w:after="0"/>
              <w:rPr>
                <w:sz w:val="20"/>
                <w:szCs w:val="20"/>
                <w:color w:val="auto"/>
              </w:rPr>
            </w:pPr>
            <w:r>
              <w:rPr>
                <w:rFonts w:ascii="Arial" w:cs="Arial" w:eastAsia="Arial" w:hAnsi="Arial"/>
                <w:sz w:val="18"/>
                <w:szCs w:val="18"/>
                <w:color w:val="auto"/>
              </w:rPr>
              <w:t>8</w:t>
            </w:r>
          </w:p>
        </w:tc>
      </w:tr>
      <w:tr>
        <w:trPr>
          <w:trHeight w:val="235"/>
        </w:trPr>
        <w:tc>
          <w:tcPr>
            <w:tcW w:w="2420" w:type="dxa"/>
            <w:vAlign w:val="bottom"/>
          </w:tcPr>
          <w:p>
            <w:pPr>
              <w:ind w:left="60"/>
              <w:spacing w:after="0"/>
              <w:rPr>
                <w:sz w:val="20"/>
                <w:szCs w:val="20"/>
                <w:color w:val="auto"/>
              </w:rPr>
            </w:pPr>
            <w:r>
              <w:rPr>
                <w:rFonts w:ascii="Arial" w:cs="Arial" w:eastAsia="Arial" w:hAnsi="Arial"/>
                <w:sz w:val="18"/>
                <w:szCs w:val="18"/>
                <w:color w:val="auto"/>
                <w:w w:val="93"/>
              </w:rPr>
              <w:t>Other service charges and fees</w:t>
            </w:r>
          </w:p>
        </w:tc>
        <w:tc>
          <w:tcPr>
            <w:tcW w:w="1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1,301</w:t>
            </w: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1,342</w:t>
            </w: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2,486</w:t>
            </w: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2,778</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(292)</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(11)</w:t>
            </w:r>
          </w:p>
        </w:tc>
      </w:tr>
      <w:tr>
        <w:trPr>
          <w:trHeight w:val="200"/>
        </w:trPr>
        <w:tc>
          <w:tcPr>
            <w:tcW w:w="2420" w:type="dxa"/>
            <w:vAlign w:val="bottom"/>
          </w:tcPr>
          <w:p>
            <w:pPr>
              <w:ind w:left="280"/>
              <w:spacing w:after="0" w:line="200" w:lineRule="exact"/>
              <w:rPr>
                <w:sz w:val="20"/>
                <w:szCs w:val="20"/>
                <w:color w:val="auto"/>
              </w:rPr>
            </w:pPr>
            <w:r>
              <w:rPr>
                <w:rFonts w:ascii="Arial" w:cs="Arial" w:eastAsia="Arial" w:hAnsi="Arial"/>
                <w:sz w:val="18"/>
                <w:szCs w:val="18"/>
                <w:color w:val="auto"/>
              </w:rPr>
              <w:t>Service charges and fees</w:t>
            </w:r>
          </w:p>
        </w:tc>
        <w:tc>
          <w:tcPr>
            <w:tcW w:w="160" w:type="dxa"/>
            <w:vAlign w:val="bottom"/>
          </w:tcPr>
          <w:p>
            <w:pPr>
              <w:spacing w:after="0"/>
              <w:rPr>
                <w:sz w:val="17"/>
                <w:szCs w:val="17"/>
                <w:color w:val="auto"/>
              </w:rPr>
            </w:pPr>
          </w:p>
        </w:tc>
        <w:tc>
          <w:tcPr>
            <w:tcW w:w="880" w:type="dxa"/>
            <w:vAlign w:val="bottom"/>
          </w:tcPr>
          <w:p>
            <w:pPr>
              <w:jc w:val="right"/>
              <w:ind w:right="31"/>
              <w:spacing w:after="0" w:line="200" w:lineRule="exact"/>
              <w:rPr>
                <w:sz w:val="20"/>
                <w:szCs w:val="20"/>
                <w:color w:val="auto"/>
              </w:rPr>
            </w:pPr>
            <w:r>
              <w:rPr>
                <w:rFonts w:ascii="Arial" w:cs="Arial" w:eastAsia="Arial" w:hAnsi="Arial"/>
                <w:sz w:val="18"/>
                <w:szCs w:val="18"/>
                <w:color w:val="auto"/>
              </w:rPr>
              <w:t>7,972</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jc w:val="right"/>
              <w:ind w:right="31"/>
              <w:spacing w:after="0" w:line="200" w:lineRule="exact"/>
              <w:rPr>
                <w:sz w:val="20"/>
                <w:szCs w:val="20"/>
                <w:color w:val="auto"/>
              </w:rPr>
            </w:pPr>
            <w:r>
              <w:rPr>
                <w:rFonts w:ascii="Arial" w:cs="Arial" w:eastAsia="Arial" w:hAnsi="Arial"/>
                <w:sz w:val="18"/>
                <w:szCs w:val="18"/>
                <w:color w:val="auto"/>
              </w:rPr>
              <w:t>7,816</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right"/>
              <w:ind w:right="31"/>
              <w:spacing w:after="0" w:line="200" w:lineRule="exact"/>
              <w:rPr>
                <w:sz w:val="20"/>
                <w:szCs w:val="20"/>
                <w:color w:val="auto"/>
              </w:rPr>
            </w:pPr>
            <w:r>
              <w:rPr>
                <w:rFonts w:ascii="Arial" w:cs="Arial" w:eastAsia="Arial" w:hAnsi="Arial"/>
                <w:sz w:val="18"/>
                <w:szCs w:val="18"/>
                <w:color w:val="auto"/>
              </w:rPr>
              <w:t>156</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jc w:val="right"/>
              <w:ind w:right="31"/>
              <w:spacing w:after="0" w:line="200" w:lineRule="exact"/>
              <w:rPr>
                <w:sz w:val="20"/>
                <w:szCs w:val="20"/>
                <w:color w:val="auto"/>
              </w:rPr>
            </w:pPr>
            <w:r>
              <w:rPr>
                <w:rFonts w:ascii="Arial" w:cs="Arial" w:eastAsia="Arial" w:hAnsi="Arial"/>
                <w:sz w:val="18"/>
                <w:szCs w:val="18"/>
                <w:color w:val="auto"/>
              </w:rPr>
              <w:t>2</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jc w:val="right"/>
              <w:ind w:right="11"/>
              <w:spacing w:after="0" w:line="200" w:lineRule="exact"/>
              <w:rPr>
                <w:sz w:val="20"/>
                <w:szCs w:val="20"/>
                <w:color w:val="auto"/>
              </w:rPr>
            </w:pPr>
            <w:r>
              <w:rPr>
                <w:rFonts w:ascii="Arial" w:cs="Arial" w:eastAsia="Arial" w:hAnsi="Arial"/>
                <w:sz w:val="18"/>
                <w:szCs w:val="18"/>
                <w:color w:val="auto"/>
              </w:rPr>
              <w:t>15,375</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jc w:val="right"/>
              <w:ind w:right="11"/>
              <w:spacing w:after="0" w:line="200" w:lineRule="exact"/>
              <w:rPr>
                <w:sz w:val="20"/>
                <w:szCs w:val="20"/>
                <w:color w:val="auto"/>
              </w:rPr>
            </w:pPr>
            <w:r>
              <w:rPr>
                <w:rFonts w:ascii="Arial" w:cs="Arial" w:eastAsia="Arial" w:hAnsi="Arial"/>
                <w:sz w:val="18"/>
                <w:szCs w:val="18"/>
                <w:color w:val="auto"/>
              </w:rPr>
              <w:t>15,599</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spacing w:after="0" w:line="200" w:lineRule="exact"/>
              <w:rPr>
                <w:sz w:val="20"/>
                <w:szCs w:val="20"/>
                <w:color w:val="auto"/>
              </w:rPr>
            </w:pPr>
            <w:r>
              <w:rPr>
                <w:rFonts w:ascii="Arial" w:cs="Arial" w:eastAsia="Arial" w:hAnsi="Arial"/>
                <w:sz w:val="18"/>
                <w:szCs w:val="18"/>
                <w:color w:val="auto"/>
              </w:rPr>
              <w:t>(224)</w:t>
            </w:r>
          </w:p>
        </w:tc>
        <w:tc>
          <w:tcPr>
            <w:tcW w:w="1120" w:type="dxa"/>
            <w:vAlign w:val="bottom"/>
            <w:gridSpan w:val="2"/>
          </w:tcPr>
          <w:p>
            <w:pPr>
              <w:jc w:val="right"/>
              <w:spacing w:after="0" w:line="200" w:lineRule="exact"/>
              <w:rPr>
                <w:sz w:val="20"/>
                <w:szCs w:val="20"/>
                <w:color w:val="auto"/>
              </w:rPr>
            </w:pPr>
            <w:r>
              <w:rPr>
                <w:rFonts w:ascii="Arial" w:cs="Arial" w:eastAsia="Arial" w:hAnsi="Arial"/>
                <w:sz w:val="18"/>
                <w:szCs w:val="18"/>
                <w:color w:val="auto"/>
              </w:rPr>
              <w:t>(1)</w:t>
            </w:r>
          </w:p>
        </w:tc>
      </w:tr>
      <w:tr>
        <w:trPr>
          <w:trHeight w:val="214"/>
        </w:trPr>
        <w:tc>
          <w:tcPr>
            <w:tcW w:w="2420" w:type="dxa"/>
            <w:vAlign w:val="bottom"/>
          </w:tcPr>
          <w:p>
            <w:pPr>
              <w:ind w:left="60"/>
              <w:spacing w:after="0"/>
              <w:rPr>
                <w:sz w:val="20"/>
                <w:szCs w:val="20"/>
                <w:color w:val="auto"/>
              </w:rPr>
            </w:pPr>
            <w:r>
              <w:rPr>
                <w:rFonts w:ascii="Arial" w:cs="Arial" w:eastAsia="Arial" w:hAnsi="Arial"/>
                <w:sz w:val="18"/>
                <w:szCs w:val="18"/>
                <w:color w:val="auto"/>
                <w:w w:val="93"/>
              </w:rPr>
              <w:t>Mortgage loan and related fees</w:t>
            </w:r>
          </w:p>
        </w:tc>
        <w:tc>
          <w:tcPr>
            <w:tcW w:w="160" w:type="dxa"/>
            <w:vAlign w:val="bottom"/>
          </w:tcPr>
          <w:p>
            <w:pPr>
              <w:spacing w:after="0"/>
              <w:rPr>
                <w:sz w:val="18"/>
                <w:szCs w:val="18"/>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3,003</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2,322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681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5,658</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jc w:val="right"/>
              <w:ind w:right="11"/>
              <w:spacing w:after="0"/>
              <w:rPr>
                <w:sz w:val="20"/>
                <w:szCs w:val="20"/>
                <w:color w:val="auto"/>
              </w:rPr>
            </w:pPr>
            <w:r>
              <w:rPr>
                <w:rFonts w:ascii="Arial" w:cs="Arial" w:eastAsia="Arial" w:hAnsi="Arial"/>
                <w:sz w:val="18"/>
                <w:szCs w:val="18"/>
                <w:color w:val="auto"/>
              </w:rPr>
              <w:t>4,421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1,237</w:t>
            </w:r>
          </w:p>
        </w:tc>
        <w:tc>
          <w:tcPr>
            <w:tcW w:w="1120" w:type="dxa"/>
            <w:vAlign w:val="bottom"/>
            <w:gridSpan w:val="2"/>
          </w:tcPr>
          <w:p>
            <w:pPr>
              <w:jc w:val="right"/>
              <w:ind w:right="11"/>
              <w:spacing w:after="0"/>
              <w:rPr>
                <w:sz w:val="20"/>
                <w:szCs w:val="20"/>
                <w:color w:val="auto"/>
              </w:rPr>
            </w:pPr>
            <w:r>
              <w:rPr>
                <w:rFonts w:ascii="Arial" w:cs="Arial" w:eastAsia="Arial" w:hAnsi="Arial"/>
                <w:sz w:val="18"/>
                <w:szCs w:val="18"/>
                <w:color w:val="auto"/>
              </w:rPr>
              <w:t>28</w:t>
            </w:r>
          </w:p>
        </w:tc>
      </w:tr>
      <w:tr>
        <w:trPr>
          <w:trHeight w:val="214"/>
        </w:trPr>
        <w:tc>
          <w:tcPr>
            <w:tcW w:w="2420" w:type="dxa"/>
            <w:vAlign w:val="bottom"/>
          </w:tcPr>
          <w:p>
            <w:pPr>
              <w:ind w:left="60"/>
              <w:spacing w:after="0"/>
              <w:rPr>
                <w:sz w:val="20"/>
                <w:szCs w:val="20"/>
                <w:color w:val="auto"/>
              </w:rPr>
            </w:pPr>
            <w:r>
              <w:rPr>
                <w:rFonts w:ascii="Arial" w:cs="Arial" w:eastAsia="Arial" w:hAnsi="Arial"/>
                <w:sz w:val="18"/>
                <w:szCs w:val="18"/>
                <w:color w:val="auto"/>
              </w:rPr>
              <w:t>Brokerage fees</w:t>
            </w:r>
          </w:p>
        </w:tc>
        <w:tc>
          <w:tcPr>
            <w:tcW w:w="160" w:type="dxa"/>
            <w:vAlign w:val="bottom"/>
          </w:tcPr>
          <w:p>
            <w:pPr>
              <w:spacing w:after="0"/>
              <w:rPr>
                <w:sz w:val="18"/>
                <w:szCs w:val="18"/>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1,063</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809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254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1,830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jc w:val="right"/>
              <w:ind w:right="11"/>
              <w:spacing w:after="0"/>
              <w:rPr>
                <w:sz w:val="20"/>
                <w:szCs w:val="20"/>
                <w:color w:val="auto"/>
              </w:rPr>
            </w:pPr>
            <w:r>
              <w:rPr>
                <w:rFonts w:ascii="Arial" w:cs="Arial" w:eastAsia="Arial" w:hAnsi="Arial"/>
                <w:sz w:val="18"/>
                <w:szCs w:val="18"/>
                <w:color w:val="auto"/>
              </w:rPr>
              <w:t>1,622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208</w:t>
            </w:r>
          </w:p>
        </w:tc>
        <w:tc>
          <w:tcPr>
            <w:tcW w:w="1120" w:type="dxa"/>
            <w:vAlign w:val="bottom"/>
            <w:gridSpan w:val="2"/>
          </w:tcPr>
          <w:p>
            <w:pPr>
              <w:jc w:val="right"/>
              <w:ind w:right="11"/>
              <w:spacing w:after="0"/>
              <w:rPr>
                <w:sz w:val="20"/>
                <w:szCs w:val="20"/>
                <w:color w:val="auto"/>
              </w:rPr>
            </w:pPr>
            <w:r>
              <w:rPr>
                <w:rFonts w:ascii="Arial" w:cs="Arial" w:eastAsia="Arial" w:hAnsi="Arial"/>
                <w:sz w:val="18"/>
                <w:szCs w:val="18"/>
                <w:color w:val="auto"/>
              </w:rPr>
              <w:t>13</w:t>
            </w:r>
          </w:p>
        </w:tc>
      </w:tr>
      <w:tr>
        <w:trPr>
          <w:trHeight w:val="214"/>
        </w:trPr>
        <w:tc>
          <w:tcPr>
            <w:tcW w:w="2420" w:type="dxa"/>
            <w:vAlign w:val="bottom"/>
          </w:tcPr>
          <w:p>
            <w:pPr>
              <w:ind w:left="60"/>
              <w:spacing w:after="0"/>
              <w:rPr>
                <w:sz w:val="20"/>
                <w:szCs w:val="20"/>
                <w:color w:val="auto"/>
              </w:rPr>
            </w:pPr>
            <w:r>
              <w:rPr>
                <w:rFonts w:ascii="Arial" w:cs="Arial" w:eastAsia="Arial" w:hAnsi="Arial"/>
                <w:sz w:val="18"/>
                <w:szCs w:val="18"/>
                <w:color w:val="auto"/>
              </w:rPr>
              <w:t>Securities gains, net</w:t>
            </w:r>
          </w:p>
        </w:tc>
        <w:tc>
          <w:tcPr>
            <w:tcW w:w="160" w:type="dxa"/>
            <w:vAlign w:val="bottom"/>
          </w:tcPr>
          <w:p>
            <w:pPr>
              <w:spacing w:after="0"/>
              <w:rPr>
                <w:sz w:val="18"/>
                <w:szCs w:val="18"/>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6,490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(6,490)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116</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jc w:val="right"/>
              <w:ind w:right="11"/>
              <w:spacing w:after="0"/>
              <w:rPr>
                <w:sz w:val="20"/>
                <w:szCs w:val="20"/>
                <w:color w:val="auto"/>
              </w:rPr>
            </w:pPr>
            <w:r>
              <w:rPr>
                <w:rFonts w:ascii="Arial" w:cs="Arial" w:eastAsia="Arial" w:hAnsi="Arial"/>
                <w:sz w:val="18"/>
                <w:szCs w:val="18"/>
                <w:color w:val="auto"/>
              </w:rPr>
              <w:t>7,047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(6,931)</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4"/>
        </w:trPr>
        <w:tc>
          <w:tcPr>
            <w:tcW w:w="2420" w:type="dxa"/>
            <w:vAlign w:val="bottom"/>
          </w:tcPr>
          <w:p>
            <w:pPr>
              <w:ind w:left="60"/>
              <w:spacing w:after="0"/>
              <w:rPr>
                <w:sz w:val="20"/>
                <w:szCs w:val="20"/>
                <w:color w:val="auto"/>
              </w:rPr>
            </w:pPr>
            <w:r>
              <w:rPr>
                <w:rFonts w:ascii="Arial" w:cs="Arial" w:eastAsia="Arial" w:hAnsi="Arial"/>
                <w:sz w:val="18"/>
                <w:szCs w:val="18"/>
                <w:color w:val="auto"/>
              </w:rPr>
              <w:t>Losses from prepayment of</w:t>
            </w: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4"/>
        </w:trPr>
        <w:tc>
          <w:tcPr>
            <w:tcW w:w="2420" w:type="dxa"/>
            <w:vAlign w:val="bottom"/>
          </w:tcPr>
          <w:p>
            <w:pPr>
              <w:spacing w:after="0"/>
              <w:rPr>
                <w:sz w:val="20"/>
                <w:szCs w:val="20"/>
                <w:color w:val="auto"/>
              </w:rPr>
            </w:pPr>
            <w:r>
              <w:rPr>
                <w:rFonts w:ascii="Arial" w:cs="Arial" w:eastAsia="Arial" w:hAnsi="Arial"/>
                <w:sz w:val="18"/>
                <w:szCs w:val="18"/>
                <w:color w:val="auto"/>
              </w:rPr>
              <w:t>debt</w:t>
            </w:r>
          </w:p>
        </w:tc>
        <w:tc>
          <w:tcPr>
            <w:tcW w:w="160" w:type="dxa"/>
            <w:vAlign w:val="bottom"/>
          </w:tcPr>
          <w:p>
            <w:pPr>
              <w:spacing w:after="0"/>
              <w:rPr>
                <w:sz w:val="18"/>
                <w:szCs w:val="18"/>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(6,199)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6,199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(6,681)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6,681</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4"/>
        </w:trPr>
        <w:tc>
          <w:tcPr>
            <w:tcW w:w="2420" w:type="dxa"/>
            <w:vAlign w:val="bottom"/>
          </w:tcPr>
          <w:p>
            <w:pPr>
              <w:ind w:left="60"/>
              <w:spacing w:after="0"/>
              <w:rPr>
                <w:sz w:val="20"/>
                <w:szCs w:val="20"/>
                <w:color w:val="auto"/>
              </w:rPr>
            </w:pPr>
            <w:r>
              <w:rPr>
                <w:rFonts w:ascii="Arial" w:cs="Arial" w:eastAsia="Arial" w:hAnsi="Arial"/>
                <w:sz w:val="18"/>
                <w:szCs w:val="18"/>
                <w:color w:val="auto"/>
              </w:rPr>
              <w:t>Hedge ineffectiveness</w:t>
            </w:r>
          </w:p>
        </w:tc>
        <w:tc>
          <w:tcPr>
            <w:tcW w:w="160" w:type="dxa"/>
            <w:vAlign w:val="bottom"/>
          </w:tcPr>
          <w:p>
            <w:pPr>
              <w:spacing w:after="0"/>
              <w:rPr>
                <w:sz w:val="18"/>
                <w:szCs w:val="18"/>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369</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(180)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549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284</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349</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35"/>
        </w:trPr>
        <w:tc>
          <w:tcPr>
            <w:tcW w:w="2420" w:type="dxa"/>
            <w:vAlign w:val="bottom"/>
          </w:tcPr>
          <w:p>
            <w:pPr>
              <w:ind w:left="60"/>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3,905</w:t>
            </w: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1,809</w:t>
            </w: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2,096</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116</w:t>
            </w: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5,875</w:t>
            </w: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6,303</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(428)</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(7)</w:t>
            </w:r>
          </w:p>
        </w:tc>
      </w:tr>
      <w:tr>
        <w:trPr>
          <w:trHeight w:val="214"/>
        </w:trPr>
        <w:tc>
          <w:tcPr>
            <w:tcW w:w="2420" w:type="dxa"/>
            <w:vAlign w:val="bottom"/>
          </w:tcPr>
          <w:p>
            <w:pPr>
              <w:ind w:left="280"/>
              <w:spacing w:after="0"/>
              <w:rPr>
                <w:sz w:val="20"/>
                <w:szCs w:val="20"/>
                <w:color w:val="auto"/>
              </w:rPr>
            </w:pPr>
            <w:r>
              <w:rPr>
                <w:rFonts w:ascii="Arial" w:cs="Arial" w:eastAsia="Arial" w:hAnsi="Arial"/>
                <w:sz w:val="18"/>
                <w:szCs w:val="18"/>
                <w:color w:val="auto"/>
              </w:rPr>
              <w:t>Total fee revenue</w:t>
            </w: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16,312</w:t>
            </w:r>
          </w:p>
        </w:tc>
        <w:tc>
          <w:tcPr>
            <w:tcW w:w="120" w:type="dxa"/>
            <w:vAlign w:val="bottom"/>
          </w:tcPr>
          <w:p>
            <w:pPr>
              <w:spacing w:after="0"/>
              <w:rPr>
                <w:sz w:val="18"/>
                <w:szCs w:val="18"/>
                <w:color w:val="auto"/>
              </w:rPr>
            </w:pPr>
          </w:p>
        </w:tc>
        <w:tc>
          <w:tcPr>
            <w:tcW w:w="24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12,867</w:t>
            </w:r>
          </w:p>
        </w:tc>
        <w:tc>
          <w:tcPr>
            <w:tcW w:w="1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3,445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18"/>
                <w:szCs w:val="18"/>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29,138</w:t>
            </w:r>
          </w:p>
        </w:tc>
        <w:tc>
          <w:tcPr>
            <w:tcW w:w="120" w:type="dxa"/>
            <w:vAlign w:val="bottom"/>
          </w:tcPr>
          <w:p>
            <w:pPr>
              <w:spacing w:after="0"/>
              <w:rPr>
                <w:sz w:val="18"/>
                <w:szCs w:val="18"/>
                <w:color w:val="auto"/>
              </w:rPr>
            </w:pP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28,246</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892</w:t>
            </w:r>
          </w:p>
        </w:tc>
        <w:tc>
          <w:tcPr>
            <w:tcW w:w="1120" w:type="dxa"/>
            <w:vAlign w:val="bottom"/>
            <w:gridSpan w:val="2"/>
          </w:tcPr>
          <w:p>
            <w:pPr>
              <w:jc w:val="right"/>
              <w:ind w:right="11"/>
              <w:spacing w:after="0"/>
              <w:rPr>
                <w:sz w:val="20"/>
                <w:szCs w:val="20"/>
                <w:color w:val="auto"/>
              </w:rPr>
            </w:pPr>
            <w:r>
              <w:rPr>
                <w:rFonts w:ascii="Arial" w:cs="Arial" w:eastAsia="Arial" w:hAnsi="Arial"/>
                <w:sz w:val="18"/>
                <w:szCs w:val="18"/>
                <w:color w:val="auto"/>
              </w:rPr>
              <w:t>3</w:t>
            </w:r>
          </w:p>
        </w:tc>
      </w:tr>
      <w:tr>
        <w:trPr>
          <w:trHeight w:val="20"/>
        </w:trPr>
        <w:tc>
          <w:tcPr>
            <w:tcW w:w="24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Service charges and fees of $7.97 million were up $156,000, or 2%, from the second quarter of 2012. For the first six months of 2013, service charges and fees of $15.4 million were down $224,000, or 1%, from the same period in 2012. The quarterly increase resulted from higher debit card and interchange fees. The year-to-date decrease was primarily due to a decline in overdraft fees resulting from decreased utilization of our courtesy overdraft services as well as a decline in other account service fees. United began assessing fees on low balance demand deposit accounts in January 2012. Customers have been able to avoid these fees by maintaining higher balances in their accounts which has led to a decline in fee revenue since the fees were first introduced.</w:t>
      </w:r>
    </w:p>
    <w:p>
      <w:pPr>
        <w:spacing w:after="0" w:line="19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Mortgage loans and related fees for the second quarter and first six months of 2013 were up $681,000, or 29%, and $1.24 million, or 28%, respectively, from the same periods in 2012. In the second quarter of 2013, United closed 608 loans totaling $95.2 million compared with 507 loans totaling $79.8 million in the second quarter of 2012. Year-to-date mortgage production in 2013 amounted to 1,072 loans totaling $165 million, compared to 1,024 loans totaling $161 million for the same period in 2012.</w:t>
      </w:r>
    </w:p>
    <w:p>
      <w:pPr>
        <w:spacing w:after="0" w:line="21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United recognized net securities gains of $116,000 for the six months ended June 30, 2013. No securities gains or losses were recognized in the second quarter of 2013. Net securities gains totaled $6.49 million and $7.05 million, respectively, for the second quarter and first six months of 2012. United also recognized $6.20 million and $6.68 million, respectively, in charges from the prepayment of Federal Home Loan Bank advances and structured repurchase agreements in the second quarter and first six months of 2012.</w:t>
      </w:r>
    </w:p>
    <w:p>
      <w:pPr>
        <w:spacing w:after="0" w:line="215" w:lineRule="exact"/>
        <w:rPr>
          <w:sz w:val="20"/>
          <w:szCs w:val="20"/>
          <w:color w:val="auto"/>
        </w:rPr>
      </w:pPr>
    </w:p>
    <w:p>
      <w:pPr>
        <w:jc w:val="both"/>
        <w:spacing w:after="0" w:line="307" w:lineRule="auto"/>
        <w:rPr>
          <w:sz w:val="20"/>
          <w:szCs w:val="20"/>
          <w:color w:val="auto"/>
        </w:rPr>
      </w:pPr>
      <w:r>
        <w:rPr>
          <w:rFonts w:ascii="Arial" w:cs="Arial" w:eastAsia="Arial" w:hAnsi="Arial"/>
          <w:sz w:val="16"/>
          <w:szCs w:val="16"/>
          <w:color w:val="auto"/>
        </w:rPr>
        <w:t>In the second quarter of 2013, United recognized $369,000 in net gains from hedge ineffectiveness compared with $180,000 in net losses in the second quarter of 2012. For the first six months of 2013, United recognized $284,000 in net gains from hedge ineffectiveness compared with $65,000 in losses for the same period of 2012. In 2012 and 2013, most of the hedge ineffectiveness gains and losses resulted from ineffectiveness on fair value hedges of brokered deposits.</w:t>
      </w:r>
    </w:p>
    <w:p>
      <w:pPr>
        <w:spacing w:after="0" w:line="178"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Other fee revenue of $3.91 million for the second quarter of 2013 was up $2.10 million from the second quarter of 2012. For the first six months of 2013, other fee revenue of $5.88 million was down $428,000, or 7%, from the same period in 2012. During the second quarter of 2013, United recorded a $1.37 million death benefit on a bank-owned life insurance policy as well as $468,000 in gains from the sale of low income housing tax credits. In addition, the second quarter of 2013 other fee revenue included an increase of $236,000 related to customer derivative fees from our commercial loan swap program. The first six months of 2012 included $1.10 million of interest on a prior period tax refund and a $728,000 gain from the sale of low income housing tax credits.</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13970</wp:posOffset>
            </wp:positionV>
            <wp:extent cx="724789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7890" cy="8255"/>
                    </a:xfrm>
                    <a:prstGeom prst="rect">
                      <a:avLst/>
                    </a:prstGeom>
                    <a:noFill/>
                  </pic:spPr>
                </pic:pic>
              </a:graphicData>
            </a:graphic>
          </wp:anchor>
        </w:drawing>
      </w:r>
    </w:p>
    <w:p>
      <w:pPr>
        <w:sectPr>
          <w:pgSz w:w="11900" w:h="16838" w:orient="portrait"/>
          <w:cols w:equalWidth="0" w:num="1">
            <w:col w:w="11420"/>
          </w:cols>
          <w:pgMar w:left="240" w:top="674" w:right="239" w:bottom="1440" w:gutter="0" w:footer="0" w:header="0"/>
        </w:sectPr>
      </w:pPr>
    </w:p>
    <w:bookmarkStart w:id="51" w:name="page52"/>
    <w:bookmarkEnd w:id="51"/>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components of operating expenses for the three and six months ended June 30, 2013 and 2012.</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6 - Operating Expenses</w:t>
      </w:r>
    </w:p>
    <w:p>
      <w:pPr>
        <w:spacing w:after="0" w:line="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thousands)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2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40" w:type="dxa"/>
            <w:vAlign w:val="bottom"/>
            <w:gridSpan w:val="4"/>
          </w:tcPr>
          <w:p>
            <w:pPr>
              <w:jc w:val="right"/>
              <w:ind w:right="251"/>
              <w:spacing w:after="0"/>
              <w:rPr>
                <w:sz w:val="20"/>
                <w:szCs w:val="20"/>
                <w:color w:val="auto"/>
              </w:rPr>
            </w:pPr>
            <w:r>
              <w:rPr>
                <w:rFonts w:ascii="Arial" w:cs="Arial" w:eastAsia="Arial" w:hAnsi="Arial"/>
                <w:sz w:val="18"/>
                <w:szCs w:val="18"/>
                <w:b w:val="1"/>
                <w:bCs w:val="1"/>
                <w:color w:val="auto"/>
                <w:w w:val="94"/>
              </w:rPr>
              <w:t>Three Months Ended</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40" w:type="dxa"/>
            <w:vAlign w:val="bottom"/>
            <w:gridSpan w:val="4"/>
          </w:tcPr>
          <w:p>
            <w:pPr>
              <w:jc w:val="right"/>
              <w:ind w:right="331"/>
              <w:spacing w:after="0"/>
              <w:rPr>
                <w:sz w:val="20"/>
                <w:szCs w:val="20"/>
                <w:color w:val="auto"/>
              </w:rPr>
            </w:pPr>
            <w:r>
              <w:rPr>
                <w:rFonts w:ascii="Arial" w:cs="Arial" w:eastAsia="Arial" w:hAnsi="Arial"/>
                <w:sz w:val="18"/>
                <w:szCs w:val="18"/>
                <w:b w:val="1"/>
                <w:bCs w:val="1"/>
                <w:color w:val="auto"/>
                <w:w w:val="96"/>
              </w:rPr>
              <w:t>Six Months Ended</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39"/>
        </w:trPr>
        <w:tc>
          <w:tcPr>
            <w:tcW w:w="24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8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gridSpan w:val="3"/>
          </w:tcPr>
          <w:p>
            <w:pPr>
              <w:ind w:left="640"/>
              <w:spacing w:after="0"/>
              <w:rPr>
                <w:sz w:val="20"/>
                <w:szCs w:val="20"/>
                <w:color w:val="auto"/>
              </w:rPr>
            </w:pPr>
            <w:r>
              <w:rPr>
                <w:rFonts w:ascii="Arial" w:cs="Arial" w:eastAsia="Arial" w:hAnsi="Arial"/>
                <w:sz w:val="18"/>
                <w:szCs w:val="18"/>
                <w:b w:val="1"/>
                <w:bCs w:val="1"/>
                <w:color w:val="auto"/>
                <w:w w:val="84"/>
              </w:rPr>
              <w:t>Change</w:t>
            </w:r>
          </w:p>
        </w:tc>
        <w:tc>
          <w:tcPr>
            <w:tcW w:w="8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7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gridSpan w:val="3"/>
          </w:tcPr>
          <w:p>
            <w:pPr>
              <w:jc w:val="right"/>
              <w:ind w:right="731"/>
              <w:spacing w:after="0"/>
              <w:rPr>
                <w:sz w:val="20"/>
                <w:szCs w:val="20"/>
                <w:color w:val="auto"/>
              </w:rPr>
            </w:pPr>
            <w:r>
              <w:rPr>
                <w:rFonts w:ascii="Arial" w:cs="Arial" w:eastAsia="Arial" w:hAnsi="Arial"/>
                <w:sz w:val="18"/>
                <w:szCs w:val="18"/>
                <w:b w:val="1"/>
                <w:bCs w:val="1"/>
                <w:color w:val="auto"/>
              </w:rPr>
              <w:t>Change</w:t>
            </w:r>
          </w:p>
        </w:tc>
      </w:tr>
      <w:tr>
        <w:trPr>
          <w:trHeight w:val="221"/>
        </w:trPr>
        <w:tc>
          <w:tcPr>
            <w:tcW w:w="24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11"/>
              <w:spacing w:after="0"/>
              <w:rPr>
                <w:sz w:val="20"/>
                <w:szCs w:val="20"/>
                <w:color w:val="auto"/>
              </w:rPr>
            </w:pPr>
            <w:r>
              <w:rPr>
                <w:rFonts w:ascii="Arial" w:cs="Arial" w:eastAsia="Arial" w:hAnsi="Arial"/>
                <w:sz w:val="18"/>
                <w:szCs w:val="18"/>
                <w:b w:val="1"/>
                <w:bCs w:val="1"/>
                <w:color w:val="auto"/>
              </w:rPr>
              <w:t>2013</w:t>
            </w: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11"/>
              <w:spacing w:after="0"/>
              <w:rPr>
                <w:sz w:val="20"/>
                <w:szCs w:val="20"/>
                <w:color w:val="auto"/>
              </w:rPr>
            </w:pPr>
            <w:r>
              <w:rPr>
                <w:rFonts w:ascii="Arial" w:cs="Arial" w:eastAsia="Arial" w:hAnsi="Arial"/>
                <w:sz w:val="18"/>
                <w:szCs w:val="18"/>
                <w:b w:val="1"/>
                <w:bCs w:val="1"/>
                <w:color w:val="auto"/>
                <w:w w:val="94"/>
              </w:rPr>
              <w:t>2012</w:t>
            </w: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91"/>
              <w:spacing w:after="0"/>
              <w:rPr>
                <w:sz w:val="20"/>
                <w:szCs w:val="20"/>
                <w:color w:val="auto"/>
              </w:rPr>
            </w:pPr>
            <w:r>
              <w:rPr>
                <w:rFonts w:ascii="Arial" w:cs="Arial" w:eastAsia="Arial" w:hAnsi="Arial"/>
                <w:sz w:val="18"/>
                <w:szCs w:val="18"/>
                <w:b w:val="1"/>
                <w:bCs w:val="1"/>
                <w:color w:val="auto"/>
                <w:w w:val="94"/>
              </w:rPr>
              <w:t>Amount</w:t>
            </w: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11"/>
              <w:spacing w:after="0"/>
              <w:rPr>
                <w:sz w:val="20"/>
                <w:szCs w:val="20"/>
                <w:color w:val="auto"/>
              </w:rPr>
            </w:pPr>
            <w:r>
              <w:rPr>
                <w:rFonts w:ascii="Arial" w:cs="Arial" w:eastAsia="Arial" w:hAnsi="Arial"/>
                <w:sz w:val="18"/>
                <w:szCs w:val="18"/>
                <w:b w:val="1"/>
                <w:bCs w:val="1"/>
                <w:color w:val="auto"/>
                <w:w w:val="84"/>
              </w:rPr>
              <w:t>Percent</w:t>
            </w: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91"/>
              <w:spacing w:after="0"/>
              <w:rPr>
                <w:sz w:val="20"/>
                <w:szCs w:val="20"/>
                <w:color w:val="auto"/>
              </w:rPr>
            </w:pPr>
            <w:r>
              <w:rPr>
                <w:rFonts w:ascii="Arial" w:cs="Arial" w:eastAsia="Arial" w:hAnsi="Arial"/>
                <w:sz w:val="18"/>
                <w:szCs w:val="18"/>
                <w:b w:val="1"/>
                <w:bCs w:val="1"/>
                <w:color w:val="auto"/>
              </w:rPr>
              <w:t>2013</w:t>
            </w: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91"/>
              <w:spacing w:after="0"/>
              <w:rPr>
                <w:sz w:val="20"/>
                <w:szCs w:val="20"/>
                <w:color w:val="auto"/>
              </w:rPr>
            </w:pPr>
            <w:r>
              <w:rPr>
                <w:rFonts w:ascii="Arial" w:cs="Arial" w:eastAsia="Arial" w:hAnsi="Arial"/>
                <w:sz w:val="18"/>
                <w:szCs w:val="18"/>
                <w:b w:val="1"/>
                <w:bCs w:val="1"/>
                <w:color w:val="auto"/>
                <w:w w:val="89"/>
              </w:rPr>
              <w:t>2012</w:t>
            </w: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b w:val="1"/>
                <w:bCs w:val="1"/>
                <w:color w:val="auto"/>
                <w:w w:val="91"/>
              </w:rPr>
              <w:t>Amount</w:t>
            </w:r>
          </w:p>
        </w:tc>
        <w:tc>
          <w:tcPr>
            <w:tcW w:w="120" w:type="dxa"/>
            <w:vAlign w:val="bottom"/>
          </w:tcPr>
          <w:p>
            <w:pPr>
              <w:spacing w:after="0"/>
              <w:rPr>
                <w:sz w:val="19"/>
                <w:szCs w:val="19"/>
                <w:color w:val="auto"/>
              </w:rPr>
            </w:pPr>
          </w:p>
        </w:tc>
        <w:tc>
          <w:tcPr>
            <w:tcW w:w="1000" w:type="dxa"/>
            <w:vAlign w:val="bottom"/>
            <w:tcBorders>
              <w:bottom w:val="single" w:sz="8" w:color="auto"/>
            </w:tcBorders>
          </w:tcPr>
          <w:p>
            <w:pPr>
              <w:jc w:val="right"/>
              <w:ind w:right="171"/>
              <w:spacing w:after="0"/>
              <w:rPr>
                <w:sz w:val="20"/>
                <w:szCs w:val="20"/>
                <w:color w:val="auto"/>
              </w:rPr>
            </w:pPr>
            <w:r>
              <w:rPr>
                <w:rFonts w:ascii="Arial" w:cs="Arial" w:eastAsia="Arial" w:hAnsi="Arial"/>
                <w:sz w:val="18"/>
                <w:szCs w:val="18"/>
                <w:b w:val="1"/>
                <w:bCs w:val="1"/>
                <w:color w:val="auto"/>
              </w:rPr>
              <w:t>Percent</w:t>
            </w:r>
          </w:p>
        </w:tc>
      </w:tr>
      <w:tr>
        <w:trPr>
          <w:trHeight w:val="414"/>
        </w:trPr>
        <w:tc>
          <w:tcPr>
            <w:tcW w:w="2420" w:type="dxa"/>
            <w:vAlign w:val="bottom"/>
          </w:tcPr>
          <w:p>
            <w:pPr>
              <w:spacing w:after="0"/>
              <w:rPr>
                <w:sz w:val="20"/>
                <w:szCs w:val="20"/>
                <w:color w:val="auto"/>
              </w:rPr>
            </w:pPr>
            <w:r>
              <w:rPr>
                <w:rFonts w:ascii="Arial" w:cs="Arial" w:eastAsia="Arial" w:hAnsi="Arial"/>
                <w:sz w:val="18"/>
                <w:szCs w:val="18"/>
                <w:color w:val="auto"/>
                <w:w w:val="95"/>
              </w:rPr>
              <w:t>Salaries and employee benefits</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24,734</w:t>
            </w:r>
          </w:p>
        </w:tc>
        <w:tc>
          <w:tcPr>
            <w:tcW w:w="360" w:type="dxa"/>
            <w:vAlign w:val="bottom"/>
            <w:gridSpan w:val="2"/>
          </w:tcPr>
          <w:p>
            <w:pPr>
              <w:jc w:val="right"/>
              <w:ind w:right="51"/>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24,297</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437</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2</w:t>
            </w:r>
          </w:p>
        </w:tc>
        <w:tc>
          <w:tcPr>
            <w:tcW w:w="30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48,326</w:t>
            </w:r>
          </w:p>
        </w:tc>
        <w:tc>
          <w:tcPr>
            <w:tcW w:w="360" w:type="dxa"/>
            <w:vAlign w:val="bottom"/>
            <w:gridSpan w:val="2"/>
          </w:tcPr>
          <w:p>
            <w:pPr>
              <w:jc w:val="right"/>
              <w:ind w:right="87"/>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11"/>
              <w:spacing w:after="0"/>
              <w:rPr>
                <w:sz w:val="20"/>
                <w:szCs w:val="20"/>
                <w:color w:val="auto"/>
              </w:rPr>
            </w:pPr>
            <w:r>
              <w:rPr>
                <w:rFonts w:ascii="Arial" w:cs="Arial" w:eastAsia="Arial" w:hAnsi="Arial"/>
                <w:sz w:val="18"/>
                <w:szCs w:val="18"/>
                <w:color w:val="auto"/>
              </w:rPr>
              <w:t>49,522</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(1,196)</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w:t>
            </w:r>
          </w:p>
        </w:tc>
      </w:tr>
      <w:tr>
        <w:trPr>
          <w:trHeight w:val="214"/>
        </w:trPr>
        <w:tc>
          <w:tcPr>
            <w:tcW w:w="2420" w:type="dxa"/>
            <w:vAlign w:val="bottom"/>
          </w:tcPr>
          <w:p>
            <w:pPr>
              <w:spacing w:after="0"/>
              <w:rPr>
                <w:sz w:val="20"/>
                <w:szCs w:val="20"/>
                <w:color w:val="auto"/>
              </w:rPr>
            </w:pPr>
            <w:r>
              <w:rPr>
                <w:rFonts w:ascii="Arial" w:cs="Arial" w:eastAsia="Arial" w:hAnsi="Arial"/>
                <w:sz w:val="18"/>
                <w:szCs w:val="18"/>
                <w:color w:val="auto"/>
              </w:rPr>
              <w:t>Communications and</w:t>
            </w: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4"/>
        </w:trPr>
        <w:tc>
          <w:tcPr>
            <w:tcW w:w="2420" w:type="dxa"/>
            <w:vAlign w:val="bottom"/>
          </w:tcPr>
          <w:p>
            <w:pPr>
              <w:ind w:left="160"/>
              <w:spacing w:after="0"/>
              <w:rPr>
                <w:sz w:val="20"/>
                <w:szCs w:val="20"/>
                <w:color w:val="auto"/>
              </w:rPr>
            </w:pPr>
            <w:r>
              <w:rPr>
                <w:rFonts w:ascii="Arial" w:cs="Arial" w:eastAsia="Arial" w:hAnsi="Arial"/>
                <w:sz w:val="18"/>
                <w:szCs w:val="18"/>
                <w:color w:val="auto"/>
              </w:rPr>
              <w:t>equipment</w:t>
            </w:r>
          </w:p>
        </w:tc>
        <w:tc>
          <w:tcPr>
            <w:tcW w:w="160" w:type="dxa"/>
            <w:vAlign w:val="bottom"/>
          </w:tcPr>
          <w:p>
            <w:pPr>
              <w:spacing w:after="0"/>
              <w:rPr>
                <w:sz w:val="18"/>
                <w:szCs w:val="18"/>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3,468</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3,211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257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6,514</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jc w:val="right"/>
              <w:ind w:right="11"/>
              <w:spacing w:after="0"/>
              <w:rPr>
                <w:sz w:val="20"/>
                <w:szCs w:val="20"/>
                <w:color w:val="auto"/>
              </w:rPr>
            </w:pPr>
            <w:r>
              <w:rPr>
                <w:rFonts w:ascii="Arial" w:cs="Arial" w:eastAsia="Arial" w:hAnsi="Arial"/>
                <w:sz w:val="18"/>
                <w:szCs w:val="18"/>
                <w:color w:val="auto"/>
              </w:rPr>
              <w:t>6,366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148</w:t>
            </w:r>
          </w:p>
        </w:tc>
        <w:tc>
          <w:tcPr>
            <w:tcW w:w="1120" w:type="dxa"/>
            <w:vAlign w:val="bottom"/>
            <w:gridSpan w:val="2"/>
          </w:tcPr>
          <w:p>
            <w:pPr>
              <w:jc w:val="right"/>
              <w:ind w:right="11"/>
              <w:spacing w:after="0"/>
              <w:rPr>
                <w:sz w:val="20"/>
                <w:szCs w:val="20"/>
                <w:color w:val="auto"/>
              </w:rPr>
            </w:pPr>
            <w:r>
              <w:rPr>
                <w:rFonts w:ascii="Arial" w:cs="Arial" w:eastAsia="Arial" w:hAnsi="Arial"/>
                <w:sz w:val="18"/>
                <w:szCs w:val="18"/>
                <w:color w:val="auto"/>
              </w:rPr>
              <w:t>2</w:t>
            </w:r>
          </w:p>
        </w:tc>
      </w:tr>
      <w:tr>
        <w:trPr>
          <w:trHeight w:val="214"/>
        </w:trPr>
        <w:tc>
          <w:tcPr>
            <w:tcW w:w="2420" w:type="dxa"/>
            <w:vAlign w:val="bottom"/>
          </w:tcPr>
          <w:p>
            <w:pPr>
              <w:spacing w:after="0"/>
              <w:rPr>
                <w:sz w:val="20"/>
                <w:szCs w:val="20"/>
                <w:color w:val="auto"/>
              </w:rPr>
            </w:pPr>
            <w:r>
              <w:rPr>
                <w:rFonts w:ascii="Arial" w:cs="Arial" w:eastAsia="Arial" w:hAnsi="Arial"/>
                <w:sz w:val="18"/>
                <w:szCs w:val="18"/>
                <w:color w:val="auto"/>
              </w:rPr>
              <w:t>Occupancy</w:t>
            </w:r>
          </w:p>
        </w:tc>
        <w:tc>
          <w:tcPr>
            <w:tcW w:w="160" w:type="dxa"/>
            <w:vAlign w:val="bottom"/>
          </w:tcPr>
          <w:p>
            <w:pPr>
              <w:spacing w:after="0"/>
              <w:rPr>
                <w:sz w:val="18"/>
                <w:szCs w:val="18"/>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3,449</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3,539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6,816</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jc w:val="right"/>
              <w:ind w:right="11"/>
              <w:spacing w:after="0"/>
              <w:rPr>
                <w:sz w:val="20"/>
                <w:szCs w:val="20"/>
                <w:color w:val="auto"/>
              </w:rPr>
            </w:pPr>
            <w:r>
              <w:rPr>
                <w:rFonts w:ascii="Arial" w:cs="Arial" w:eastAsia="Arial" w:hAnsi="Arial"/>
                <w:sz w:val="18"/>
                <w:szCs w:val="18"/>
                <w:color w:val="auto"/>
              </w:rPr>
              <w:t>7,310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(494)</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(7)</w:t>
            </w:r>
          </w:p>
        </w:tc>
      </w:tr>
      <w:tr>
        <w:trPr>
          <w:trHeight w:val="214"/>
        </w:trPr>
        <w:tc>
          <w:tcPr>
            <w:tcW w:w="2420" w:type="dxa"/>
            <w:vAlign w:val="bottom"/>
          </w:tcPr>
          <w:p>
            <w:pPr>
              <w:spacing w:after="0"/>
              <w:rPr>
                <w:sz w:val="20"/>
                <w:szCs w:val="20"/>
                <w:color w:val="auto"/>
              </w:rPr>
            </w:pPr>
            <w:r>
              <w:rPr>
                <w:rFonts w:ascii="Arial" w:cs="Arial" w:eastAsia="Arial" w:hAnsi="Arial"/>
                <w:sz w:val="18"/>
                <w:szCs w:val="18"/>
                <w:color w:val="auto"/>
              </w:rPr>
              <w:t>Advertising and public</w:t>
            </w: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4"/>
        </w:trPr>
        <w:tc>
          <w:tcPr>
            <w:tcW w:w="2420" w:type="dxa"/>
            <w:vAlign w:val="bottom"/>
          </w:tcPr>
          <w:p>
            <w:pPr>
              <w:ind w:left="160"/>
              <w:spacing w:after="0"/>
              <w:rPr>
                <w:sz w:val="20"/>
                <w:szCs w:val="20"/>
                <w:color w:val="auto"/>
              </w:rPr>
            </w:pPr>
            <w:r>
              <w:rPr>
                <w:rFonts w:ascii="Arial" w:cs="Arial" w:eastAsia="Arial" w:hAnsi="Arial"/>
                <w:sz w:val="18"/>
                <w:szCs w:val="18"/>
                <w:color w:val="auto"/>
              </w:rPr>
              <w:t>relations</w:t>
            </w:r>
          </w:p>
        </w:tc>
        <w:tc>
          <w:tcPr>
            <w:tcW w:w="160" w:type="dxa"/>
            <w:vAlign w:val="bottom"/>
          </w:tcPr>
          <w:p>
            <w:pPr>
              <w:spacing w:after="0"/>
              <w:rPr>
                <w:sz w:val="18"/>
                <w:szCs w:val="18"/>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1,037</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1,088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1,975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jc w:val="right"/>
              <w:ind w:right="11"/>
              <w:spacing w:after="0"/>
              <w:rPr>
                <w:sz w:val="20"/>
                <w:szCs w:val="20"/>
                <w:color w:val="auto"/>
              </w:rPr>
            </w:pPr>
            <w:r>
              <w:rPr>
                <w:rFonts w:ascii="Arial" w:cs="Arial" w:eastAsia="Arial" w:hAnsi="Arial"/>
                <w:sz w:val="18"/>
                <w:szCs w:val="18"/>
                <w:color w:val="auto"/>
              </w:rPr>
              <w:t>1,934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41</w:t>
            </w:r>
          </w:p>
        </w:tc>
        <w:tc>
          <w:tcPr>
            <w:tcW w:w="1120" w:type="dxa"/>
            <w:vAlign w:val="bottom"/>
            <w:gridSpan w:val="2"/>
          </w:tcPr>
          <w:p>
            <w:pPr>
              <w:jc w:val="right"/>
              <w:ind w:right="11"/>
              <w:spacing w:after="0"/>
              <w:rPr>
                <w:sz w:val="20"/>
                <w:szCs w:val="20"/>
                <w:color w:val="auto"/>
              </w:rPr>
            </w:pPr>
            <w:r>
              <w:rPr>
                <w:rFonts w:ascii="Arial" w:cs="Arial" w:eastAsia="Arial" w:hAnsi="Arial"/>
                <w:sz w:val="18"/>
                <w:szCs w:val="18"/>
                <w:color w:val="auto"/>
              </w:rPr>
              <w:t>2</w:t>
            </w:r>
          </w:p>
        </w:tc>
      </w:tr>
      <w:tr>
        <w:trPr>
          <w:trHeight w:val="214"/>
        </w:trPr>
        <w:tc>
          <w:tcPr>
            <w:tcW w:w="2420" w:type="dxa"/>
            <w:vAlign w:val="bottom"/>
          </w:tcPr>
          <w:p>
            <w:pPr>
              <w:spacing w:after="0"/>
              <w:rPr>
                <w:sz w:val="20"/>
                <w:szCs w:val="20"/>
                <w:color w:val="auto"/>
              </w:rPr>
            </w:pPr>
            <w:r>
              <w:rPr>
                <w:rFonts w:ascii="Arial" w:cs="Arial" w:eastAsia="Arial" w:hAnsi="Arial"/>
                <w:sz w:val="18"/>
                <w:szCs w:val="18"/>
                <w:color w:val="auto"/>
                <w:w w:val="99"/>
              </w:rPr>
              <w:t>Postage, printing and supplies</w:t>
            </w:r>
          </w:p>
        </w:tc>
        <w:tc>
          <w:tcPr>
            <w:tcW w:w="160" w:type="dxa"/>
            <w:vAlign w:val="bottom"/>
          </w:tcPr>
          <w:p>
            <w:pPr>
              <w:spacing w:after="0"/>
              <w:rPr>
                <w:sz w:val="18"/>
                <w:szCs w:val="18"/>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894</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916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1,757</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jc w:val="right"/>
              <w:ind w:right="11"/>
              <w:spacing w:after="0"/>
              <w:rPr>
                <w:sz w:val="20"/>
                <w:szCs w:val="20"/>
                <w:color w:val="auto"/>
              </w:rPr>
            </w:pPr>
            <w:r>
              <w:rPr>
                <w:rFonts w:ascii="Arial" w:cs="Arial" w:eastAsia="Arial" w:hAnsi="Arial"/>
                <w:sz w:val="18"/>
                <w:szCs w:val="18"/>
                <w:color w:val="auto"/>
              </w:rPr>
              <w:t>1,895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(138)</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(7)</w:t>
            </w:r>
          </w:p>
        </w:tc>
      </w:tr>
      <w:tr>
        <w:trPr>
          <w:trHeight w:val="214"/>
        </w:trPr>
        <w:tc>
          <w:tcPr>
            <w:tcW w:w="2420" w:type="dxa"/>
            <w:vAlign w:val="bottom"/>
          </w:tcPr>
          <w:p>
            <w:pPr>
              <w:spacing w:after="0"/>
              <w:rPr>
                <w:sz w:val="20"/>
                <w:szCs w:val="20"/>
                <w:color w:val="auto"/>
              </w:rPr>
            </w:pPr>
            <w:r>
              <w:rPr>
                <w:rFonts w:ascii="Arial" w:cs="Arial" w:eastAsia="Arial" w:hAnsi="Arial"/>
                <w:sz w:val="18"/>
                <w:szCs w:val="18"/>
                <w:color w:val="auto"/>
              </w:rPr>
              <w:t>Professional fees</w:t>
            </w:r>
          </w:p>
        </w:tc>
        <w:tc>
          <w:tcPr>
            <w:tcW w:w="160" w:type="dxa"/>
            <w:vAlign w:val="bottom"/>
          </w:tcPr>
          <w:p>
            <w:pPr>
              <w:spacing w:after="0"/>
              <w:rPr>
                <w:sz w:val="18"/>
                <w:szCs w:val="18"/>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2,499</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1,952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547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4,865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jc w:val="right"/>
              <w:ind w:right="11"/>
              <w:spacing w:after="0"/>
              <w:rPr>
                <w:sz w:val="20"/>
                <w:szCs w:val="20"/>
                <w:color w:val="auto"/>
              </w:rPr>
            </w:pPr>
            <w:r>
              <w:rPr>
                <w:rFonts w:ascii="Arial" w:cs="Arial" w:eastAsia="Arial" w:hAnsi="Arial"/>
                <w:sz w:val="18"/>
                <w:szCs w:val="18"/>
                <w:color w:val="auto"/>
              </w:rPr>
              <w:t>3,927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938</w:t>
            </w:r>
          </w:p>
        </w:tc>
        <w:tc>
          <w:tcPr>
            <w:tcW w:w="1120" w:type="dxa"/>
            <w:vAlign w:val="bottom"/>
            <w:gridSpan w:val="2"/>
          </w:tcPr>
          <w:p>
            <w:pPr>
              <w:jc w:val="right"/>
              <w:ind w:right="11"/>
              <w:spacing w:after="0"/>
              <w:rPr>
                <w:sz w:val="20"/>
                <w:szCs w:val="20"/>
                <w:color w:val="auto"/>
              </w:rPr>
            </w:pPr>
            <w:r>
              <w:rPr>
                <w:rFonts w:ascii="Arial" w:cs="Arial" w:eastAsia="Arial" w:hAnsi="Arial"/>
                <w:sz w:val="18"/>
                <w:szCs w:val="18"/>
                <w:color w:val="auto"/>
              </w:rPr>
              <w:t>24</w:t>
            </w:r>
          </w:p>
        </w:tc>
      </w:tr>
      <w:tr>
        <w:trPr>
          <w:trHeight w:val="214"/>
        </w:trPr>
        <w:tc>
          <w:tcPr>
            <w:tcW w:w="2420" w:type="dxa"/>
            <w:vAlign w:val="bottom"/>
          </w:tcPr>
          <w:p>
            <w:pPr>
              <w:spacing w:after="0"/>
              <w:rPr>
                <w:sz w:val="20"/>
                <w:szCs w:val="20"/>
                <w:color w:val="auto"/>
              </w:rPr>
            </w:pPr>
            <w:r>
              <w:rPr>
                <w:rFonts w:ascii="Arial" w:cs="Arial" w:eastAsia="Arial" w:hAnsi="Arial"/>
                <w:sz w:val="18"/>
                <w:szCs w:val="18"/>
                <w:color w:val="auto"/>
              </w:rPr>
              <w:t>FDIC assessments and other</w:t>
            </w: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4"/>
        </w:trPr>
        <w:tc>
          <w:tcPr>
            <w:tcW w:w="2420" w:type="dxa"/>
            <w:vAlign w:val="bottom"/>
          </w:tcPr>
          <w:p>
            <w:pPr>
              <w:ind w:left="160"/>
              <w:spacing w:after="0"/>
              <w:rPr>
                <w:sz w:val="20"/>
                <w:szCs w:val="20"/>
                <w:color w:val="auto"/>
              </w:rPr>
            </w:pPr>
            <w:r>
              <w:rPr>
                <w:rFonts w:ascii="Arial" w:cs="Arial" w:eastAsia="Arial" w:hAnsi="Arial"/>
                <w:sz w:val="18"/>
                <w:szCs w:val="18"/>
                <w:color w:val="auto"/>
              </w:rPr>
              <w:t>regulatory charges</w:t>
            </w:r>
          </w:p>
        </w:tc>
        <w:tc>
          <w:tcPr>
            <w:tcW w:w="160" w:type="dxa"/>
            <w:vAlign w:val="bottom"/>
          </w:tcPr>
          <w:p>
            <w:pPr>
              <w:spacing w:after="0"/>
              <w:rPr>
                <w:sz w:val="18"/>
                <w:szCs w:val="18"/>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2,505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2,545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5,010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jc w:val="right"/>
              <w:ind w:right="11"/>
              <w:spacing w:after="0"/>
              <w:rPr>
                <w:sz w:val="20"/>
                <w:szCs w:val="20"/>
                <w:color w:val="auto"/>
              </w:rPr>
            </w:pPr>
            <w:r>
              <w:rPr>
                <w:rFonts w:ascii="Arial" w:cs="Arial" w:eastAsia="Arial" w:hAnsi="Arial"/>
                <w:sz w:val="18"/>
                <w:szCs w:val="18"/>
                <w:color w:val="auto"/>
              </w:rPr>
              <w:t>5,055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(45)</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w:t>
            </w:r>
          </w:p>
        </w:tc>
      </w:tr>
      <w:tr>
        <w:trPr>
          <w:trHeight w:val="214"/>
        </w:trPr>
        <w:tc>
          <w:tcPr>
            <w:tcW w:w="2420" w:type="dxa"/>
            <w:vAlign w:val="bottom"/>
          </w:tcPr>
          <w:p>
            <w:pPr>
              <w:spacing w:after="0"/>
              <w:rPr>
                <w:sz w:val="20"/>
                <w:szCs w:val="20"/>
                <w:color w:val="auto"/>
              </w:rPr>
            </w:pPr>
            <w:r>
              <w:rPr>
                <w:rFonts w:ascii="Arial" w:cs="Arial" w:eastAsia="Arial" w:hAnsi="Arial"/>
                <w:sz w:val="18"/>
                <w:szCs w:val="18"/>
                <w:color w:val="auto"/>
              </w:rPr>
              <w:t>Amortization of intangibles</w:t>
            </w:r>
          </w:p>
        </w:tc>
        <w:tc>
          <w:tcPr>
            <w:tcW w:w="160" w:type="dxa"/>
            <w:vAlign w:val="bottom"/>
          </w:tcPr>
          <w:p>
            <w:pPr>
              <w:spacing w:after="0"/>
              <w:rPr>
                <w:sz w:val="18"/>
                <w:szCs w:val="18"/>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491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730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(239)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1,196</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jc w:val="right"/>
              <w:ind w:right="11"/>
              <w:spacing w:after="0"/>
              <w:rPr>
                <w:sz w:val="20"/>
                <w:szCs w:val="20"/>
                <w:color w:val="auto"/>
              </w:rPr>
            </w:pPr>
            <w:r>
              <w:rPr>
                <w:rFonts w:ascii="Arial" w:cs="Arial" w:eastAsia="Arial" w:hAnsi="Arial"/>
                <w:sz w:val="18"/>
                <w:szCs w:val="18"/>
                <w:color w:val="auto"/>
              </w:rPr>
              <w:t>1,462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(266)</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(18)</w:t>
            </w:r>
          </w:p>
        </w:tc>
      </w:tr>
      <w:tr>
        <w:trPr>
          <w:trHeight w:val="235"/>
        </w:trPr>
        <w:tc>
          <w:tcPr>
            <w:tcW w:w="2420" w:type="dxa"/>
            <w:vAlign w:val="bottom"/>
          </w:tcPr>
          <w:p>
            <w:pPr>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4,595</w:t>
            </w: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4,181</w:t>
            </w: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414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8,650</w:t>
            </w: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8,118</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532</w:t>
            </w:r>
          </w:p>
        </w:tc>
        <w:tc>
          <w:tcPr>
            <w:tcW w:w="1120" w:type="dxa"/>
            <w:vAlign w:val="bottom"/>
            <w:gridSpan w:val="2"/>
          </w:tcPr>
          <w:p>
            <w:pPr>
              <w:jc w:val="right"/>
              <w:ind w:right="11"/>
              <w:spacing w:after="0"/>
              <w:rPr>
                <w:sz w:val="20"/>
                <w:szCs w:val="20"/>
                <w:color w:val="auto"/>
              </w:rPr>
            </w:pPr>
            <w:r>
              <w:rPr>
                <w:rFonts w:ascii="Arial" w:cs="Arial" w:eastAsia="Arial" w:hAnsi="Arial"/>
                <w:sz w:val="18"/>
                <w:szCs w:val="18"/>
                <w:color w:val="auto"/>
              </w:rPr>
              <w:t>7</w:t>
            </w:r>
          </w:p>
        </w:tc>
      </w:tr>
      <w:tr>
        <w:trPr>
          <w:trHeight w:val="200"/>
        </w:trPr>
        <w:tc>
          <w:tcPr>
            <w:tcW w:w="2420" w:type="dxa"/>
            <w:vAlign w:val="bottom"/>
          </w:tcPr>
          <w:p>
            <w:pPr>
              <w:ind w:left="160"/>
              <w:spacing w:after="0" w:line="200" w:lineRule="exact"/>
              <w:rPr>
                <w:sz w:val="20"/>
                <w:szCs w:val="20"/>
                <w:color w:val="auto"/>
              </w:rPr>
            </w:pPr>
            <w:r>
              <w:rPr>
                <w:rFonts w:ascii="Arial" w:cs="Arial" w:eastAsia="Arial" w:hAnsi="Arial"/>
                <w:sz w:val="18"/>
                <w:szCs w:val="18"/>
                <w:color w:val="auto"/>
              </w:rPr>
              <w:t>Total excluding foreclosed</w:t>
            </w: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14"/>
        </w:trPr>
        <w:tc>
          <w:tcPr>
            <w:tcW w:w="2420" w:type="dxa"/>
            <w:vAlign w:val="bottom"/>
          </w:tcPr>
          <w:p>
            <w:pPr>
              <w:ind w:left="320"/>
              <w:spacing w:after="0"/>
              <w:rPr>
                <w:sz w:val="20"/>
                <w:szCs w:val="20"/>
                <w:color w:val="auto"/>
              </w:rPr>
            </w:pPr>
            <w:r>
              <w:rPr>
                <w:rFonts w:ascii="Arial" w:cs="Arial" w:eastAsia="Arial" w:hAnsi="Arial"/>
                <w:sz w:val="18"/>
                <w:szCs w:val="18"/>
                <w:color w:val="auto"/>
              </w:rPr>
              <w:t>property expenses</w:t>
            </w:r>
          </w:p>
        </w:tc>
        <w:tc>
          <w:tcPr>
            <w:tcW w:w="160" w:type="dxa"/>
            <w:vAlign w:val="bottom"/>
          </w:tcPr>
          <w:p>
            <w:pPr>
              <w:spacing w:after="0"/>
              <w:rPr>
                <w:sz w:val="18"/>
                <w:szCs w:val="18"/>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43,672</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42,459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1,213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85,109</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jc w:val="right"/>
              <w:ind w:right="11"/>
              <w:spacing w:after="0"/>
              <w:rPr>
                <w:sz w:val="20"/>
                <w:szCs w:val="20"/>
                <w:color w:val="auto"/>
              </w:rPr>
            </w:pPr>
            <w:r>
              <w:rPr>
                <w:rFonts w:ascii="Arial" w:cs="Arial" w:eastAsia="Arial" w:hAnsi="Arial"/>
                <w:sz w:val="18"/>
                <w:szCs w:val="18"/>
                <w:color w:val="auto"/>
              </w:rPr>
              <w:t>85,589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(480)</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w:t>
            </w:r>
          </w:p>
        </w:tc>
      </w:tr>
      <w:tr>
        <w:trPr>
          <w:trHeight w:val="214"/>
        </w:trPr>
        <w:tc>
          <w:tcPr>
            <w:tcW w:w="2420" w:type="dxa"/>
            <w:vAlign w:val="bottom"/>
          </w:tcPr>
          <w:p>
            <w:pPr>
              <w:spacing w:after="0"/>
              <w:rPr>
                <w:sz w:val="20"/>
                <w:szCs w:val="20"/>
                <w:color w:val="auto"/>
              </w:rPr>
            </w:pPr>
            <w:r>
              <w:rPr>
                <w:rFonts w:ascii="Arial" w:cs="Arial" w:eastAsia="Arial" w:hAnsi="Arial"/>
                <w:sz w:val="18"/>
                <w:szCs w:val="18"/>
                <w:color w:val="auto"/>
              </w:rPr>
              <w:t>Net losses on sales of</w:t>
            </w: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4"/>
        </w:trPr>
        <w:tc>
          <w:tcPr>
            <w:tcW w:w="2420" w:type="dxa"/>
            <w:vAlign w:val="bottom"/>
          </w:tcPr>
          <w:p>
            <w:pPr>
              <w:ind w:left="160"/>
              <w:spacing w:after="0"/>
              <w:rPr>
                <w:sz w:val="20"/>
                <w:szCs w:val="20"/>
                <w:color w:val="auto"/>
              </w:rPr>
            </w:pPr>
            <w:r>
              <w:rPr>
                <w:rFonts w:ascii="Arial" w:cs="Arial" w:eastAsia="Arial" w:hAnsi="Arial"/>
                <w:sz w:val="18"/>
                <w:szCs w:val="18"/>
                <w:color w:val="auto"/>
              </w:rPr>
              <w:t>foreclosed properties</w:t>
            </w:r>
          </w:p>
        </w:tc>
        <w:tc>
          <w:tcPr>
            <w:tcW w:w="160" w:type="dxa"/>
            <w:vAlign w:val="bottom"/>
          </w:tcPr>
          <w:p>
            <w:pPr>
              <w:spacing w:after="0"/>
              <w:rPr>
                <w:sz w:val="18"/>
                <w:szCs w:val="18"/>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2,945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(269)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3,214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3,050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(176)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3,226</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4"/>
        </w:trPr>
        <w:tc>
          <w:tcPr>
            <w:tcW w:w="2420" w:type="dxa"/>
            <w:vAlign w:val="bottom"/>
          </w:tcPr>
          <w:p>
            <w:pPr>
              <w:spacing w:after="0"/>
              <w:rPr>
                <w:sz w:val="20"/>
                <w:szCs w:val="20"/>
                <w:color w:val="auto"/>
              </w:rPr>
            </w:pPr>
            <w:r>
              <w:rPr>
                <w:rFonts w:ascii="Arial" w:cs="Arial" w:eastAsia="Arial" w:hAnsi="Arial"/>
                <w:sz w:val="18"/>
                <w:szCs w:val="18"/>
                <w:color w:val="auto"/>
              </w:rPr>
              <w:t>Foreclosed property write</w:t>
            </w: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4"/>
        </w:trPr>
        <w:tc>
          <w:tcPr>
            <w:tcW w:w="2420" w:type="dxa"/>
            <w:vAlign w:val="bottom"/>
          </w:tcPr>
          <w:p>
            <w:pPr>
              <w:ind w:left="160"/>
              <w:spacing w:after="0"/>
              <w:rPr>
                <w:sz w:val="20"/>
                <w:szCs w:val="20"/>
                <w:color w:val="auto"/>
              </w:rPr>
            </w:pPr>
            <w:r>
              <w:rPr>
                <w:rFonts w:ascii="Arial" w:cs="Arial" w:eastAsia="Arial" w:hAnsi="Arial"/>
                <w:sz w:val="18"/>
                <w:szCs w:val="18"/>
                <w:color w:val="auto"/>
              </w:rPr>
              <w:t>downs</w:t>
            </w:r>
          </w:p>
        </w:tc>
        <w:tc>
          <w:tcPr>
            <w:tcW w:w="160" w:type="dxa"/>
            <w:vAlign w:val="bottom"/>
          </w:tcPr>
          <w:p>
            <w:pPr>
              <w:spacing w:after="0"/>
              <w:rPr>
                <w:sz w:val="18"/>
                <w:szCs w:val="18"/>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1,369</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1,008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361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2,410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jc w:val="right"/>
              <w:ind w:right="11"/>
              <w:spacing w:after="0"/>
              <w:rPr>
                <w:sz w:val="20"/>
                <w:szCs w:val="20"/>
                <w:color w:val="auto"/>
              </w:rPr>
            </w:pPr>
            <w:r>
              <w:rPr>
                <w:rFonts w:ascii="Arial" w:cs="Arial" w:eastAsia="Arial" w:hAnsi="Arial"/>
                <w:sz w:val="18"/>
                <w:szCs w:val="18"/>
                <w:color w:val="auto"/>
              </w:rPr>
              <w:t>3,119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(709)</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4"/>
        </w:trPr>
        <w:tc>
          <w:tcPr>
            <w:tcW w:w="2420" w:type="dxa"/>
            <w:vAlign w:val="bottom"/>
          </w:tcPr>
          <w:p>
            <w:pPr>
              <w:spacing w:after="0"/>
              <w:rPr>
                <w:sz w:val="20"/>
                <w:szCs w:val="20"/>
                <w:color w:val="auto"/>
              </w:rPr>
            </w:pPr>
            <w:r>
              <w:rPr>
                <w:rFonts w:ascii="Arial" w:cs="Arial" w:eastAsia="Arial" w:hAnsi="Arial"/>
                <w:sz w:val="18"/>
                <w:szCs w:val="18"/>
                <w:color w:val="auto"/>
              </w:rPr>
              <w:t>Foreclosed property</w:t>
            </w: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35"/>
        </w:trPr>
        <w:tc>
          <w:tcPr>
            <w:tcW w:w="2420" w:type="dxa"/>
            <w:vAlign w:val="bottom"/>
          </w:tcPr>
          <w:p>
            <w:pPr>
              <w:ind w:left="160"/>
              <w:spacing w:after="0"/>
              <w:rPr>
                <w:sz w:val="20"/>
                <w:szCs w:val="20"/>
                <w:color w:val="auto"/>
              </w:rPr>
            </w:pPr>
            <w:r>
              <w:rPr>
                <w:rFonts w:ascii="Arial" w:cs="Arial" w:eastAsia="Arial" w:hAnsi="Arial"/>
                <w:sz w:val="18"/>
                <w:szCs w:val="18"/>
                <w:color w:val="auto"/>
              </w:rPr>
              <w:t>maintenance expenses</w:t>
            </w:r>
          </w:p>
        </w:tc>
        <w:tc>
          <w:tcPr>
            <w:tcW w:w="1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837</w:t>
            </w: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1,112</w:t>
            </w: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2,024</w:t>
            </w: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2,733</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(709)</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(26)</w:t>
            </w:r>
          </w:p>
        </w:tc>
      </w:tr>
      <w:tr>
        <w:trPr>
          <w:trHeight w:val="214"/>
        </w:trPr>
        <w:tc>
          <w:tcPr>
            <w:tcW w:w="2420" w:type="dxa"/>
            <w:vAlign w:val="bottom"/>
          </w:tcPr>
          <w:p>
            <w:pPr>
              <w:ind w:left="160"/>
              <w:spacing w:after="0"/>
              <w:rPr>
                <w:sz w:val="20"/>
                <w:szCs w:val="20"/>
                <w:color w:val="auto"/>
              </w:rPr>
            </w:pPr>
            <w:r>
              <w:rPr>
                <w:rFonts w:ascii="Arial" w:cs="Arial" w:eastAsia="Arial" w:hAnsi="Arial"/>
                <w:sz w:val="18"/>
                <w:szCs w:val="18"/>
                <w:color w:val="auto"/>
              </w:rPr>
              <w:t>Total operating expenses</w:t>
            </w: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48,823</w:t>
            </w:r>
          </w:p>
        </w:tc>
        <w:tc>
          <w:tcPr>
            <w:tcW w:w="120" w:type="dxa"/>
            <w:vAlign w:val="bottom"/>
          </w:tcPr>
          <w:p>
            <w:pPr>
              <w:spacing w:after="0"/>
              <w:rPr>
                <w:sz w:val="18"/>
                <w:szCs w:val="18"/>
                <w:color w:val="auto"/>
              </w:rPr>
            </w:pPr>
          </w:p>
        </w:tc>
        <w:tc>
          <w:tcPr>
            <w:tcW w:w="24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44,310</w:t>
            </w:r>
          </w:p>
        </w:tc>
        <w:tc>
          <w:tcPr>
            <w:tcW w:w="1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4,513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8"/>
                <w:szCs w:val="18"/>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92,593</w:t>
            </w:r>
          </w:p>
        </w:tc>
        <w:tc>
          <w:tcPr>
            <w:tcW w:w="120" w:type="dxa"/>
            <w:vAlign w:val="bottom"/>
          </w:tcPr>
          <w:p>
            <w:pPr>
              <w:spacing w:after="0"/>
              <w:rPr>
                <w:sz w:val="18"/>
                <w:szCs w:val="18"/>
                <w:color w:val="auto"/>
              </w:rPr>
            </w:pP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91,265</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1,328</w:t>
            </w:r>
          </w:p>
        </w:tc>
        <w:tc>
          <w:tcPr>
            <w:tcW w:w="1120" w:type="dxa"/>
            <w:vAlign w:val="bottom"/>
            <w:gridSpan w:val="2"/>
          </w:tcPr>
          <w:p>
            <w:pPr>
              <w:jc w:val="right"/>
              <w:ind w:right="11"/>
              <w:spacing w:after="0"/>
              <w:rPr>
                <w:sz w:val="20"/>
                <w:szCs w:val="20"/>
                <w:color w:val="auto"/>
              </w:rPr>
            </w:pPr>
            <w:r>
              <w:rPr>
                <w:rFonts w:ascii="Arial" w:cs="Arial" w:eastAsia="Arial" w:hAnsi="Arial"/>
                <w:sz w:val="18"/>
                <w:szCs w:val="18"/>
                <w:color w:val="auto"/>
              </w:rPr>
              <w:t>1</w:t>
            </w:r>
          </w:p>
        </w:tc>
      </w:tr>
      <w:tr>
        <w:trPr>
          <w:trHeight w:val="20"/>
        </w:trPr>
        <w:tc>
          <w:tcPr>
            <w:tcW w:w="24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bl>
    <w:p>
      <w:pPr>
        <w:spacing w:after="0" w:line="22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Operating expenses for the second quarter of 2013 totaled $48.8 million, up $4.51 million, or 10%, from the second quarter of 2012. The increase mostly reflects higher foreclosed property losses and write downs associated with the classified asset sales in the second quarter of 2013. For the six months ended June 30, 2103, operating expenses totaled $92.6 million, up $1.33 million, or 1%, from the same period in 2012. Excluding foreclosed property costs, total operating expenses were $43.7 million and $85.1 million, respectively, for the three and six months ended June 30, 2013, up $1.21 million, or 3%, from the second quarter of 2012, and down $480,000, or 1%, from the first six months of 2012.</w:t>
      </w:r>
    </w:p>
    <w:p>
      <w:pPr>
        <w:spacing w:after="0" w:line="20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Salaries and employee benefits for the second quarter of 2013 were $24.7 million, up $437,000, or 2%, from the same period of 2012. The increase was due to higher severance costs as well as higher mortgage and brokerage incentives in the second quarter of 2013. For the first six months of 2013, salaries and employee benefits of $48.3 million were down $1.20 million, or 2%, from the first six months of 2012. The decrease was due to reduced staffing levels. Headcount totaled 1,500 at June 30, 2013, compared to 1,614 at June 30, 2012, a decrease of 114 positions.</w:t>
      </w:r>
    </w:p>
    <w:p>
      <w:pPr>
        <w:spacing w:after="0" w:line="199" w:lineRule="exact"/>
        <w:rPr>
          <w:sz w:val="20"/>
          <w:szCs w:val="20"/>
          <w:color w:val="auto"/>
        </w:rPr>
      </w:pPr>
    </w:p>
    <w:p>
      <w:pPr>
        <w:jc w:val="both"/>
        <w:spacing w:after="0" w:line="282" w:lineRule="auto"/>
        <w:rPr>
          <w:sz w:val="20"/>
          <w:szCs w:val="20"/>
          <w:color w:val="auto"/>
        </w:rPr>
      </w:pPr>
      <w:r>
        <w:rPr>
          <w:rFonts w:ascii="Arial" w:cs="Arial" w:eastAsia="Arial" w:hAnsi="Arial"/>
          <w:sz w:val="17"/>
          <w:szCs w:val="17"/>
          <w:color w:val="auto"/>
        </w:rPr>
        <w:t>Communications and equipment expense of $3.47 million for the second quarter of 2013 was up $257,000, or 8%, from the second quarter of 2012. For the first six months, communications and equipment expense was up $148,000 from a year ago. The increases reflect higher software costs resulting from new technology solutions to improve operating efficiency and customer service as well as higher telecommunications charges.</w:t>
      </w:r>
    </w:p>
    <w:p>
      <w:pPr>
        <w:spacing w:after="0" w:line="195"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Occupancy expense of $3.45 million and $6.82 million, respectively, for the second quarter and first six months of 2013 was down $90,000, or 3%, and down $494,000, or 7%, respectively, compared to the same periods of 2012. The decrease was primarily related to lower depreciation charges partially due to the closing of underperforming branches.</w:t>
      </w:r>
    </w:p>
    <w:p>
      <w:pPr>
        <w:spacing w:after="0" w:line="211" w:lineRule="exact"/>
        <w:rPr>
          <w:sz w:val="20"/>
          <w:szCs w:val="20"/>
          <w:color w:val="auto"/>
        </w:rPr>
      </w:pPr>
    </w:p>
    <w:p>
      <w:pPr>
        <w:jc w:val="both"/>
        <w:spacing w:after="0" w:line="307" w:lineRule="auto"/>
        <w:rPr>
          <w:sz w:val="20"/>
          <w:szCs w:val="20"/>
          <w:color w:val="auto"/>
        </w:rPr>
      </w:pPr>
      <w:r>
        <w:rPr>
          <w:rFonts w:ascii="Arial" w:cs="Arial" w:eastAsia="Arial" w:hAnsi="Arial"/>
          <w:sz w:val="16"/>
          <w:szCs w:val="16"/>
          <w:color w:val="auto"/>
        </w:rPr>
        <w:t>Professional fees for the second quarter of 2013 of $2.50 million were up $547,000, or 28%, from the same period in 2012. For the six months ended June 30, 2013, professional fees of $4.87 million were up $938,000, or 24%. The increases for both quarterly and year-to-date periods were primarily due to legal costs associated with the classified asset sales and other initiatives and consulting services related to several efficiency projects that are in process.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Amortization of intangibles continues to decrease as core deposit intangibles related to past acquisitions become fully amortized.</w:t>
      </w:r>
    </w:p>
    <w:p>
      <w:pPr>
        <w:spacing w:after="0" w:line="248" w:lineRule="exact"/>
        <w:rPr>
          <w:sz w:val="20"/>
          <w:szCs w:val="20"/>
          <w:color w:val="auto"/>
        </w:rPr>
      </w:pPr>
    </w:p>
    <w:p>
      <w:pPr>
        <w:jc w:val="both"/>
        <w:spacing w:after="0" w:line="335" w:lineRule="auto"/>
        <w:rPr>
          <w:sz w:val="20"/>
          <w:szCs w:val="20"/>
          <w:color w:val="auto"/>
        </w:rPr>
      </w:pPr>
      <w:r>
        <w:rPr>
          <w:rFonts w:ascii="Arial" w:cs="Arial" w:eastAsia="Arial" w:hAnsi="Arial"/>
          <w:sz w:val="16"/>
          <w:szCs w:val="16"/>
          <w:color w:val="auto"/>
        </w:rPr>
        <w:t>Other expense of $4.60 million for the second quarter of 2013 increased $414,000 from the second quarter of 2012. Year-to-date, other expense of $8.65 million increased $532,000 from the first six months of 2012. The increase for the quarter was primarily due to higher appraisal and lending support costs.</w:t>
      </w:r>
    </w:p>
    <w:p>
      <w:pPr>
        <w:spacing w:after="0" w:line="15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Net losses on sales of foreclosed property totaled $2.95 million for the second quarter of 2013, compared to net gains on sale of $269,000 for the second quarter of 2012. For the six months ended June 30, 2013, net losses on sales were $3.05 million, compared to net gains on sales of $176,000 for the same period of the prior year. The increase in losses was due to the classified asset sales. Foreclosed property write-downs for the second quarter and first six months of 2013 were $1.37 million and $2.41 million, respectively, compared to $1.01 million and $3.12 million, respectively, a year ago. Foreclosed property maintenance expenses include legal fees, property taxes, marketing costs, utility services, maintenance and repair charges and totaled $837,000 and $2.02 million, respectively, for the second quarter and first six months of 2013 compared with $1.11 million and $2.73 million, respectively, a year ago. These costs continue to decline with the decrease in the number of foreclosed properties held by United.</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13970</wp:posOffset>
            </wp:positionV>
            <wp:extent cx="724789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7890" cy="8255"/>
                    </a:xfrm>
                    <a:prstGeom prst="rect">
                      <a:avLst/>
                    </a:prstGeom>
                    <a:noFill/>
                  </pic:spPr>
                </pic:pic>
              </a:graphicData>
            </a:graphic>
          </wp:anchor>
        </w:drawing>
      </w:r>
    </w:p>
    <w:p>
      <w:pPr>
        <w:sectPr>
          <w:pgSz w:w="11900" w:h="16838" w:orient="portrait"/>
          <w:cols w:equalWidth="0" w:num="1">
            <w:col w:w="11420"/>
          </w:cols>
          <w:pgMar w:left="240" w:top="916" w:right="239" w:bottom="0" w:gutter="0" w:footer="0" w:header="0"/>
        </w:sectPr>
      </w:pPr>
    </w:p>
    <w:bookmarkStart w:id="52" w:name="page53"/>
    <w:bookmarkEnd w:id="52"/>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4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Income tax benefit for the second quarter of 2013 was $257 million as compared with income tax expense of $450,000 for the second quarter of 2012. The second quarter 2013 income tax benefit was primarily due to the income tax benefit recognized during the quarter related to the reversal of $272 million of the deferred tax asset valuation allowance. Income tax expense for the second quarter of 2012 mostly represents adjustments to its reserve for uncertain tax positions and amounts payable under the Federal Alternative Minimum Tax. For the remainder of the year, United expects to record income tax expense at an effective tax rate of approximately 35%.</w:t>
      </w:r>
    </w:p>
    <w:p>
      <w:pPr>
        <w:spacing w:after="0" w:line="218" w:lineRule="exact"/>
        <w:rPr>
          <w:sz w:val="20"/>
          <w:szCs w:val="20"/>
          <w:color w:val="auto"/>
        </w:rPr>
      </w:pPr>
    </w:p>
    <w:p>
      <w:pPr>
        <w:jc w:val="both"/>
        <w:ind w:right="20"/>
        <w:spacing w:after="0" w:line="260" w:lineRule="auto"/>
        <w:rPr>
          <w:sz w:val="20"/>
          <w:szCs w:val="20"/>
          <w:color w:val="auto"/>
        </w:rPr>
      </w:pPr>
      <w:r>
        <w:rPr>
          <w:rFonts w:ascii="Arial" w:cs="Arial" w:eastAsia="Arial" w:hAnsi="Arial"/>
          <w:sz w:val="18"/>
          <w:szCs w:val="18"/>
          <w:color w:val="auto"/>
        </w:rPr>
        <w:t>Deferred tax assets and liabilities are recognized for the future tax consequences attributable to differences between the financial statement carrying amounts and their respective tax bases including operating losses and tax credit carryforwards. Net deferred tax assets (deferred tax assets net of deferred tax liabilities and valuation allowance) are reported in the consolidated balance sheet as a component of total assets.</w:t>
      </w:r>
    </w:p>
    <w:p>
      <w:pPr>
        <w:spacing w:after="0" w:line="21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 xml:space="preserve">Accounting Standards Codification Topic 740, </w:t>
      </w:r>
      <w:r>
        <w:rPr>
          <w:rFonts w:ascii="Arial" w:cs="Arial" w:eastAsia="Arial" w:hAnsi="Arial"/>
          <w:sz w:val="17"/>
          <w:szCs w:val="17"/>
          <w:i w:val="1"/>
          <w:iCs w:val="1"/>
          <w:color w:val="auto"/>
        </w:rPr>
        <w:t>Income Taxes</w:t>
      </w:r>
      <w:r>
        <w:rPr>
          <w:rFonts w:ascii="Arial" w:cs="Arial" w:eastAsia="Arial" w:hAnsi="Arial"/>
          <w:sz w:val="17"/>
          <w:szCs w:val="17"/>
          <w:color w:val="auto"/>
        </w:rPr>
        <w:t>, requires that companies assess whether a valuation allowance should be established against their deferred tax assets based on the consideration of all available evidence using a “more likely than not” standard. The determination of whether a valuation allowance for deferred tax assets is appropriate is subject to considerable judgment and requires an evaluation of all positive and negative evidence with more weight given to evidence that can be objectively verified. Each quarter, management considers both positive and negative evidence and analyzes changes in near-term market conditions as well as other factors which may impact future operating results.</w:t>
      </w:r>
    </w:p>
    <w:p>
      <w:pPr>
        <w:spacing w:after="0" w:line="20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At December 31, 2012 and June 30, 2012, United reported no net deferred tax asset due to full valuation allowances of $270 million and $277 million, respectively. At June 30, 2013, based on the weight of all the positive and negative evidence at such date, management concluded that it was more likely than not that $272 million of the net deferred tax assets will be realized based upon future taxable income and therefore, reversed $272 million of the valuation allowance. Thus, at June 30, 2013, United reported a net deferred tax asset of $272 million, net of a valuation allowance of $4.96 million. The remaining valuation allowance of $4.96 million at June 30, 2013 relates to specific state income tax credits that have short carryforward periods and therefore are expected to expire before they can be utilized. The reversal of the valuation allowance resulted in an income tax benefit of $257 million, or $4.42 per diluted common share for the second quarter of 2013, and an increase in tangible book value per common share of $4.69 at June 30, 2013.</w:t>
      </w:r>
    </w:p>
    <w:p>
      <w:pPr>
        <w:spacing w:after="0" w:line="208"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United remains in a three-year cumulative loss position that resulted from significant credit losses incurred during the recent financial crisis. A three-year cumulative loss position is considered to be negative evidence that is difficult to overcome. However, the deferred tax asset valuation allowance was reversed in the second quarter of 2013 following the achievement of seven consecutive quarters of positive operating results, excluding the impact of the discretionary sale of classified assets in the second quarter of 2013. The recent positive earnings results and improving credit measures provide an objective basis for a conclusion that profitability is sustainable and improving. In addition, the second quarter 2013 sale of classified assets improved United’s ability to project credit costs and forecast profitability going forward by removing the assets that were most likely to drive future credit losses. As a result of this discretionary distressed asset sale, United’s classified asset ratio (classified assets as a percentage of Tier 1 Capital and the allowance for loan losses) improved to 27% at June 30, 2013 compared with 49% at March 31, 2013 and 50% at December 31, 2012.</w:t>
      </w:r>
    </w:p>
    <w:p>
      <w:pPr>
        <w:spacing w:after="0" w:line="210"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With continuous improvements in credit quality, quarterly earnings for the past seven quarters have closely followed management’s forecast for these periods, excluding the impact of the discretionary sales of classified assets in the second quarter 2013. The improvement in management’s ability to produce reliable forecasts, continuous and significant improvements in credit quality, and a sustained period of profitability were given appropriate weighting in our analysis, and such evidence was considered sufficient to overcome the weight of the negative evidence related to the significant operating losses in prior years. Based on all evidence considered by management as of June 30, 2013, our net deferred tax asset is more likely than not to be realizable.</w:t>
      </w:r>
    </w:p>
    <w:p>
      <w:pPr>
        <w:spacing w:after="0" w:line="19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As noted above, other positive evidence at June 30, 2013 included United’s significantly improved credit risk profile and the continued improving trends in credit quality and profitability. United has also reduced the amount of credit risk inherent in its loan portfolio by reducing its concentration of construction loans and improving its overall loan portfolio diversification. These changes place United in a strong position to manage through the ongoing weakness in the economy. United also has a long record of positive earnings and accurate earnings forecasts prior to the recent economic downturn and is currently in a strong capital position and conservatively expects to exit the three-year cumulative loss position in the first quarter of 2014. These factors, as well as a demonstrated ability to generate sufficient amounts of future taxable income, support the reversal of the valuation allowance and the realization of $272 million of United’s net deferred tax asset at June 30, 2013.</w:t>
      </w:r>
    </w:p>
    <w:p>
      <w:pPr>
        <w:spacing w:after="0" w:line="22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Management expects to generate higher levels of future taxable income which management expects will allow for full utilization of its net operating loss carryforwards within five to seven years, which is well within the statutory carryforward periods. In determining whether management’s projections of future taxable income are reliable, management considered objective evidence supporting the forecast assumptions as well as recent experience which demonstrates management’s ability to reasonably project future results of operations. Further, while the banking environment is expected to remain challenging due to economic and other uncertainties, management believes that it can confidently forecast future taxable income at sufficient levels over the future period of time that United has available to realize its June 30, 2013 deferred tax asset.</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13970</wp:posOffset>
            </wp:positionV>
            <wp:extent cx="724789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7890" cy="8255"/>
                    </a:xfrm>
                    <a:prstGeom prst="rect">
                      <a:avLst/>
                    </a:prstGeom>
                    <a:noFill/>
                  </pic:spPr>
                </pic:pic>
              </a:graphicData>
            </a:graphic>
          </wp:anchor>
        </w:drawing>
      </w:r>
    </w:p>
    <w:p>
      <w:pPr>
        <w:sectPr>
          <w:pgSz w:w="11900" w:h="16838" w:orient="portrait"/>
          <w:cols w:equalWidth="0" w:num="1">
            <w:col w:w="11420"/>
          </w:cols>
          <w:pgMar w:left="240" w:top="889" w:right="239" w:bottom="1440" w:gutter="0" w:footer="0" w:header="0"/>
        </w:sectPr>
      </w:pPr>
    </w:p>
    <w:bookmarkStart w:id="53" w:name="page54"/>
    <w:bookmarkEnd w:id="53"/>
    <w:p>
      <w:pPr>
        <w:jc w:val="both"/>
        <w:spacing w:after="0" w:line="252" w:lineRule="auto"/>
        <w:rPr>
          <w:sz w:val="20"/>
          <w:szCs w:val="20"/>
          <w:color w:val="auto"/>
        </w:rPr>
      </w:pPr>
      <w:r>
        <w:rPr>
          <w:rFonts w:ascii="Arial" w:cs="Arial" w:eastAsia="Arial" w:hAnsi="Arial"/>
          <w:sz w:val="18"/>
          <w:szCs w:val="18"/>
          <w:color w:val="auto"/>
        </w:rPr>
        <w:t>As of February 22, 2011, United adopted a tax benefits preservation plan designed to protect its ability to utilize its substantial tax assets. Those tax assets include net operating losses that it could utilize in certain circumstances to offset taxable income and reduce its federal income tax liability and the future tax benefits from potential net unrealized built in losses. United’s ability to use its tax benefits would be substantially limited if it were to experience an ownership change as defined under Section 382. In general, an ownership change would occur if United’s “5-percent shareholders,” as defined under Section 382, collectively increase their ownership in United by more than 50% over a rolling three-year period. The tax benefits preservation plan is designed to reduce the likelihood that United will experience an ownership change by discouraging any person or group from becoming a beneficial owner of 4.99% or more of United’s common stock then outstanding.</w:t>
      </w:r>
    </w:p>
    <w:p>
      <w:pPr>
        <w:spacing w:after="0" w:line="220"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Additional information regarding income taxes, including a reconciliation of the differences between the recorded income tax provision and the amount of income tax computed by applying the statutory federal income tax rate to income before income taxes, can be found in Note 16 to the consolidated financial statements filed with United’s Annual Report on Form 10-K for the year ended December 31, 2012.</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13970</wp:posOffset>
            </wp:positionV>
            <wp:extent cx="724789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7890" cy="8255"/>
                    </a:xfrm>
                    <a:prstGeom prst="rect">
                      <a:avLst/>
                    </a:prstGeom>
                    <a:noFill/>
                  </pic:spPr>
                </pic:pic>
              </a:graphicData>
            </a:graphic>
          </wp:anchor>
        </w:drawing>
      </w:r>
    </w:p>
    <w:p>
      <w:pPr>
        <w:sectPr>
          <w:pgSz w:w="11900" w:h="16838" w:orient="portrait"/>
          <w:cols w:equalWidth="0" w:num="1">
            <w:col w:w="11420"/>
          </w:cols>
          <w:pgMar w:left="240" w:top="889" w:right="239" w:bottom="1440" w:gutter="0" w:footer="0" w:header="0"/>
        </w:sectPr>
      </w:pPr>
    </w:p>
    <w:bookmarkStart w:id="54" w:name="page55"/>
    <w:bookmarkEnd w:id="54"/>
    <w:p>
      <w:pPr>
        <w:spacing w:after="0"/>
        <w:rPr>
          <w:sz w:val="20"/>
          <w:szCs w:val="20"/>
          <w:color w:val="auto"/>
        </w:rPr>
      </w:pPr>
      <w:r>
        <w:rPr>
          <w:rFonts w:ascii="Arial" w:cs="Arial" w:eastAsia="Arial" w:hAnsi="Arial"/>
          <w:sz w:val="18"/>
          <w:szCs w:val="18"/>
          <w:b w:val="1"/>
          <w:bCs w:val="1"/>
          <w:color w:val="auto"/>
        </w:rPr>
        <w:t>Balance Sheet Review</w:t>
      </w:r>
    </w:p>
    <w:p>
      <w:pPr>
        <w:spacing w:after="0" w:line="252"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Total assets at June 30, 2013, December 31, 2012 and June 30, 2012 were $7.16 billion, $6.80 billion and $6.74 billion, respectively. Average total assets for the second quarter of 2013 were $6.91 billion, down from $6.99 billion in the second quarter of 2012.</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6780" w:type="dxa"/>
            <w:vAlign w:val="bottom"/>
          </w:tcPr>
          <w:p>
            <w:pPr>
              <w:spacing w:after="0"/>
              <w:rPr>
                <w:sz w:val="20"/>
                <w:szCs w:val="20"/>
                <w:color w:val="auto"/>
              </w:rPr>
            </w:pPr>
            <w:r>
              <w:rPr>
                <w:rFonts w:ascii="Arial" w:cs="Arial" w:eastAsia="Arial" w:hAnsi="Arial"/>
                <w:sz w:val="18"/>
                <w:szCs w:val="18"/>
                <w:color w:val="auto"/>
              </w:rPr>
              <w:t>The following table presents a summary of the loan portfolio.</w:t>
            </w: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6"/>
        </w:trPr>
        <w:tc>
          <w:tcPr>
            <w:tcW w:w="6780" w:type="dxa"/>
            <w:vAlign w:val="bottom"/>
          </w:tcPr>
          <w:p>
            <w:pPr>
              <w:ind w:left="580"/>
              <w:spacing w:after="0"/>
              <w:rPr>
                <w:sz w:val="20"/>
                <w:szCs w:val="20"/>
                <w:color w:val="auto"/>
              </w:rPr>
            </w:pPr>
            <w:r>
              <w:rPr>
                <w:rFonts w:ascii="Arial" w:cs="Arial" w:eastAsia="Arial" w:hAnsi="Arial"/>
                <w:sz w:val="18"/>
                <w:szCs w:val="18"/>
                <w:b w:val="1"/>
                <w:bCs w:val="1"/>
                <w:color w:val="auto"/>
                <w:w w:val="89"/>
              </w:rPr>
              <w:t>Table 7 - Loans Outstanding (excludes loans covered by loss share agreements)</w:t>
            </w: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7"/>
        </w:trPr>
        <w:tc>
          <w:tcPr>
            <w:tcW w:w="6780" w:type="dxa"/>
            <w:vAlign w:val="bottom"/>
          </w:tcPr>
          <w:p>
            <w:pPr>
              <w:ind w:left="580"/>
              <w:spacing w:after="0"/>
              <w:rPr>
                <w:sz w:val="20"/>
                <w:szCs w:val="20"/>
                <w:color w:val="auto"/>
              </w:rPr>
            </w:pPr>
            <w:r>
              <w:rPr>
                <w:rFonts w:ascii="Arial" w:cs="Arial" w:eastAsia="Arial" w:hAnsi="Arial"/>
                <w:sz w:val="18"/>
                <w:szCs w:val="18"/>
                <w:i w:val="1"/>
                <w:iCs w:val="1"/>
                <w:color w:val="auto"/>
              </w:rPr>
              <w:t>(in thousands)</w:t>
            </w: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2"/>
        </w:trPr>
        <w:tc>
          <w:tcPr>
            <w:tcW w:w="6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jc w:val="right"/>
              <w:ind w:right="311"/>
              <w:spacing w:after="0"/>
              <w:rPr>
                <w:sz w:val="20"/>
                <w:szCs w:val="20"/>
                <w:color w:val="auto"/>
              </w:rPr>
            </w:pPr>
            <w:r>
              <w:rPr>
                <w:rFonts w:ascii="Arial" w:cs="Arial" w:eastAsia="Arial" w:hAnsi="Arial"/>
                <w:sz w:val="18"/>
                <w:szCs w:val="18"/>
                <w:b w:val="1"/>
                <w:bCs w:val="1"/>
                <w:color w:val="auto"/>
                <w:w w:val="94"/>
              </w:rPr>
              <w:t>June 30,</w:t>
            </w:r>
          </w:p>
        </w:tc>
        <w:tc>
          <w:tcPr>
            <w:tcW w:w="80" w:type="dxa"/>
            <w:vAlign w:val="bottom"/>
          </w:tcPr>
          <w:p>
            <w:pPr>
              <w:spacing w:after="0"/>
              <w:rPr>
                <w:sz w:val="24"/>
                <w:szCs w:val="24"/>
                <w:color w:val="auto"/>
              </w:rPr>
            </w:pPr>
          </w:p>
        </w:tc>
        <w:tc>
          <w:tcPr>
            <w:tcW w:w="1300" w:type="dxa"/>
            <w:vAlign w:val="bottom"/>
            <w:gridSpan w:val="2"/>
          </w:tcPr>
          <w:p>
            <w:pPr>
              <w:jc w:val="right"/>
              <w:ind w:right="131"/>
              <w:spacing w:after="0"/>
              <w:rPr>
                <w:sz w:val="20"/>
                <w:szCs w:val="20"/>
                <w:color w:val="auto"/>
              </w:rPr>
            </w:pPr>
            <w:r>
              <w:rPr>
                <w:rFonts w:ascii="Arial" w:cs="Arial" w:eastAsia="Arial" w:hAnsi="Arial"/>
                <w:sz w:val="18"/>
                <w:szCs w:val="18"/>
                <w:b w:val="1"/>
                <w:bCs w:val="1"/>
                <w:color w:val="auto"/>
                <w:w w:val="90"/>
              </w:rPr>
              <w:t>December 31,</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jc w:val="right"/>
              <w:ind w:right="331"/>
              <w:spacing w:after="0"/>
              <w:rPr>
                <w:sz w:val="20"/>
                <w:szCs w:val="20"/>
                <w:color w:val="auto"/>
              </w:rPr>
            </w:pPr>
            <w:r>
              <w:rPr>
                <w:rFonts w:ascii="Arial" w:cs="Arial" w:eastAsia="Arial" w:hAnsi="Arial"/>
                <w:sz w:val="18"/>
                <w:szCs w:val="18"/>
                <w:b w:val="1"/>
                <w:bCs w:val="1"/>
                <w:color w:val="auto"/>
                <w:w w:val="97"/>
              </w:rPr>
              <w:t>June 30,</w:t>
            </w:r>
          </w:p>
        </w:tc>
        <w:tc>
          <w:tcPr>
            <w:tcW w:w="0" w:type="dxa"/>
            <w:vAlign w:val="bottom"/>
          </w:tcPr>
          <w:p>
            <w:pPr>
              <w:spacing w:after="0"/>
              <w:rPr>
                <w:sz w:val="1"/>
                <w:szCs w:val="1"/>
                <w:color w:val="auto"/>
              </w:rPr>
            </w:pPr>
          </w:p>
        </w:tc>
      </w:tr>
      <w:tr>
        <w:trPr>
          <w:trHeight w:val="239"/>
        </w:trPr>
        <w:tc>
          <w:tcPr>
            <w:tcW w:w="67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51"/>
              <w:spacing w:after="0"/>
              <w:rPr>
                <w:sz w:val="20"/>
                <w:szCs w:val="20"/>
                <w:color w:val="auto"/>
              </w:rPr>
            </w:pPr>
            <w:r>
              <w:rPr>
                <w:rFonts w:ascii="Arial" w:cs="Arial" w:eastAsia="Arial" w:hAnsi="Arial"/>
                <w:sz w:val="18"/>
                <w:szCs w:val="18"/>
                <w:b w:val="1"/>
                <w:bCs w:val="1"/>
                <w:color w:val="auto"/>
              </w:rPr>
              <w:t>2013</w:t>
            </w: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71"/>
              <w:spacing w:after="0"/>
              <w:rPr>
                <w:sz w:val="20"/>
                <w:szCs w:val="20"/>
                <w:color w:val="auto"/>
              </w:rPr>
            </w:pPr>
            <w:r>
              <w:rPr>
                <w:rFonts w:ascii="Arial" w:cs="Arial" w:eastAsia="Arial" w:hAnsi="Arial"/>
                <w:sz w:val="18"/>
                <w:szCs w:val="18"/>
                <w:b w:val="1"/>
                <w:bCs w:val="1"/>
                <w:color w:val="auto"/>
              </w:rPr>
              <w:t>2012</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71"/>
              <w:spacing w:after="0"/>
              <w:rPr>
                <w:sz w:val="20"/>
                <w:szCs w:val="20"/>
                <w:color w:val="auto"/>
              </w:rPr>
            </w:pPr>
            <w:r>
              <w:rPr>
                <w:rFonts w:ascii="Arial" w:cs="Arial" w:eastAsia="Arial" w:hAnsi="Arial"/>
                <w:sz w:val="18"/>
                <w:szCs w:val="18"/>
                <w:b w:val="1"/>
                <w:bCs w:val="1"/>
                <w:color w:val="auto"/>
              </w:rPr>
              <w:t>2012</w:t>
            </w:r>
          </w:p>
        </w:tc>
        <w:tc>
          <w:tcPr>
            <w:tcW w:w="0" w:type="dxa"/>
            <w:vAlign w:val="bottom"/>
          </w:tcPr>
          <w:p>
            <w:pPr>
              <w:spacing w:after="0"/>
              <w:rPr>
                <w:sz w:val="1"/>
                <w:szCs w:val="1"/>
                <w:color w:val="auto"/>
              </w:rPr>
            </w:pPr>
          </w:p>
        </w:tc>
      </w:tr>
      <w:tr>
        <w:trPr>
          <w:trHeight w:val="200"/>
        </w:trPr>
        <w:tc>
          <w:tcPr>
            <w:tcW w:w="6780" w:type="dxa"/>
            <w:vAlign w:val="bottom"/>
          </w:tcPr>
          <w:p>
            <w:pPr>
              <w:ind w:left="580"/>
              <w:spacing w:after="0" w:line="200" w:lineRule="exact"/>
              <w:rPr>
                <w:sz w:val="20"/>
                <w:szCs w:val="20"/>
                <w:color w:val="auto"/>
              </w:rPr>
            </w:pPr>
            <w:r>
              <w:rPr>
                <w:rFonts w:ascii="Arial" w:cs="Arial" w:eastAsia="Arial" w:hAnsi="Arial"/>
                <w:sz w:val="18"/>
                <w:szCs w:val="18"/>
                <w:b w:val="1"/>
                <w:bCs w:val="1"/>
                <w:color w:val="auto"/>
              </w:rPr>
              <w:t>By Loan Type</w:t>
            </w: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6780" w:type="dxa"/>
            <w:vAlign w:val="bottom"/>
          </w:tcPr>
          <w:p>
            <w:pPr>
              <w:ind w:left="580"/>
              <w:spacing w:after="0"/>
              <w:rPr>
                <w:sz w:val="20"/>
                <w:szCs w:val="20"/>
                <w:color w:val="auto"/>
              </w:rPr>
            </w:pPr>
            <w:r>
              <w:rPr>
                <w:rFonts w:ascii="Arial" w:cs="Arial" w:eastAsia="Arial" w:hAnsi="Arial"/>
                <w:sz w:val="18"/>
                <w:szCs w:val="18"/>
                <w:color w:val="auto"/>
              </w:rPr>
              <w:t>Commercial (secured by real estate)</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ind w:right="71"/>
              <w:spacing w:after="0"/>
              <w:rPr>
                <w:sz w:val="20"/>
                <w:szCs w:val="20"/>
                <w:color w:val="auto"/>
              </w:rPr>
            </w:pPr>
            <w:r>
              <w:rPr>
                <w:rFonts w:ascii="Arial" w:cs="Arial" w:eastAsia="Arial" w:hAnsi="Arial"/>
                <w:sz w:val="18"/>
                <w:szCs w:val="18"/>
                <w:color w:val="auto"/>
              </w:rPr>
              <w:t>1,748,145</w:t>
            </w:r>
          </w:p>
        </w:tc>
        <w:tc>
          <w:tcPr>
            <w:tcW w:w="320" w:type="dxa"/>
            <w:vAlign w:val="bottom"/>
            <w:gridSpan w:val="2"/>
          </w:tcPr>
          <w:p>
            <w:pPr>
              <w:jc w:val="right"/>
              <w:ind w:right="51"/>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71"/>
              <w:spacing w:after="0"/>
              <w:rPr>
                <w:sz w:val="20"/>
                <w:szCs w:val="20"/>
                <w:color w:val="auto"/>
              </w:rPr>
            </w:pPr>
            <w:r>
              <w:rPr>
                <w:rFonts w:ascii="Arial" w:cs="Arial" w:eastAsia="Arial" w:hAnsi="Arial"/>
                <w:sz w:val="18"/>
                <w:szCs w:val="18"/>
                <w:color w:val="auto"/>
              </w:rPr>
              <w:t>1,813,365</w:t>
            </w:r>
          </w:p>
        </w:tc>
        <w:tc>
          <w:tcPr>
            <w:tcW w:w="28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71"/>
              <w:spacing w:after="0"/>
              <w:rPr>
                <w:sz w:val="20"/>
                <w:szCs w:val="20"/>
                <w:color w:val="auto"/>
              </w:rPr>
            </w:pPr>
            <w:r>
              <w:rPr>
                <w:rFonts w:ascii="Arial" w:cs="Arial" w:eastAsia="Arial" w:hAnsi="Arial"/>
                <w:sz w:val="18"/>
                <w:szCs w:val="18"/>
                <w:color w:val="auto"/>
              </w:rPr>
              <w:t>1,836,477</w:t>
            </w:r>
          </w:p>
        </w:tc>
        <w:tc>
          <w:tcPr>
            <w:tcW w:w="0" w:type="dxa"/>
            <w:vAlign w:val="bottom"/>
          </w:tcPr>
          <w:p>
            <w:pPr>
              <w:spacing w:after="0"/>
              <w:rPr>
                <w:sz w:val="1"/>
                <w:szCs w:val="1"/>
                <w:color w:val="auto"/>
              </w:rPr>
            </w:pPr>
          </w:p>
        </w:tc>
      </w:tr>
      <w:tr>
        <w:trPr>
          <w:trHeight w:val="214"/>
        </w:trPr>
        <w:tc>
          <w:tcPr>
            <w:tcW w:w="6780" w:type="dxa"/>
            <w:vAlign w:val="bottom"/>
          </w:tcPr>
          <w:p>
            <w:pPr>
              <w:ind w:left="580"/>
              <w:spacing w:after="0"/>
              <w:rPr>
                <w:sz w:val="20"/>
                <w:szCs w:val="20"/>
                <w:color w:val="auto"/>
              </w:rPr>
            </w:pPr>
            <w:r>
              <w:rPr>
                <w:rFonts w:ascii="Arial" w:cs="Arial" w:eastAsia="Arial" w:hAnsi="Arial"/>
                <w:sz w:val="18"/>
                <w:szCs w:val="18"/>
                <w:color w:val="auto"/>
              </w:rPr>
              <w:t>Commercial &amp; industrial</w:t>
            </w:r>
          </w:p>
        </w:tc>
        <w:tc>
          <w:tcPr>
            <w:tcW w:w="160" w:type="dxa"/>
            <w:vAlign w:val="bottom"/>
          </w:tcPr>
          <w:p>
            <w:pPr>
              <w:spacing w:after="0"/>
              <w:rPr>
                <w:sz w:val="18"/>
                <w:szCs w:val="18"/>
                <w:color w:val="auto"/>
              </w:rPr>
            </w:pPr>
          </w:p>
        </w:tc>
        <w:tc>
          <w:tcPr>
            <w:tcW w:w="1100" w:type="dxa"/>
            <w:vAlign w:val="bottom"/>
          </w:tcPr>
          <w:p>
            <w:pPr>
              <w:jc w:val="right"/>
              <w:ind w:right="71"/>
              <w:spacing w:after="0"/>
              <w:rPr>
                <w:sz w:val="20"/>
                <w:szCs w:val="20"/>
                <w:color w:val="auto"/>
              </w:rPr>
            </w:pPr>
            <w:r>
              <w:rPr>
                <w:rFonts w:ascii="Arial" w:cs="Arial" w:eastAsia="Arial" w:hAnsi="Arial"/>
                <w:sz w:val="18"/>
                <w:szCs w:val="18"/>
                <w:color w:val="auto"/>
              </w:rPr>
              <w:t>436,988</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jc w:val="right"/>
              <w:ind w:right="71"/>
              <w:spacing w:after="0"/>
              <w:rPr>
                <w:sz w:val="20"/>
                <w:szCs w:val="20"/>
                <w:color w:val="auto"/>
              </w:rPr>
            </w:pPr>
            <w:r>
              <w:rPr>
                <w:rFonts w:ascii="Arial" w:cs="Arial" w:eastAsia="Arial" w:hAnsi="Arial"/>
                <w:sz w:val="18"/>
                <w:szCs w:val="18"/>
                <w:color w:val="auto"/>
              </w:rPr>
              <w:t>458,246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right"/>
              <w:ind w:right="71"/>
              <w:spacing w:after="0"/>
              <w:rPr>
                <w:sz w:val="20"/>
                <w:szCs w:val="20"/>
                <w:color w:val="auto"/>
              </w:rPr>
            </w:pPr>
            <w:r>
              <w:rPr>
                <w:rFonts w:ascii="Arial" w:cs="Arial" w:eastAsia="Arial" w:hAnsi="Arial"/>
                <w:sz w:val="18"/>
                <w:szCs w:val="18"/>
                <w:color w:val="auto"/>
              </w:rPr>
              <w:t>450,222</w:t>
            </w:r>
          </w:p>
        </w:tc>
        <w:tc>
          <w:tcPr>
            <w:tcW w:w="0" w:type="dxa"/>
            <w:vAlign w:val="bottom"/>
          </w:tcPr>
          <w:p>
            <w:pPr>
              <w:spacing w:after="0"/>
              <w:rPr>
                <w:sz w:val="1"/>
                <w:szCs w:val="1"/>
                <w:color w:val="auto"/>
              </w:rPr>
            </w:pPr>
          </w:p>
        </w:tc>
      </w:tr>
      <w:tr>
        <w:trPr>
          <w:trHeight w:val="235"/>
        </w:trPr>
        <w:tc>
          <w:tcPr>
            <w:tcW w:w="6780" w:type="dxa"/>
            <w:vAlign w:val="bottom"/>
          </w:tcPr>
          <w:p>
            <w:pPr>
              <w:ind w:left="580"/>
              <w:spacing w:after="0"/>
              <w:rPr>
                <w:sz w:val="20"/>
                <w:szCs w:val="20"/>
                <w:color w:val="auto"/>
              </w:rPr>
            </w:pPr>
            <w:r>
              <w:rPr>
                <w:rFonts w:ascii="Arial" w:cs="Arial" w:eastAsia="Arial" w:hAnsi="Arial"/>
                <w:sz w:val="18"/>
                <w:szCs w:val="18"/>
                <w:color w:val="auto"/>
              </w:rPr>
              <w:t>Commercial construction</w:t>
            </w:r>
          </w:p>
        </w:tc>
        <w:tc>
          <w:tcPr>
            <w:tcW w:w="1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132,562</w:t>
            </w: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154,769</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169,338</w:t>
            </w:r>
          </w:p>
        </w:tc>
        <w:tc>
          <w:tcPr>
            <w:tcW w:w="0" w:type="dxa"/>
            <w:vAlign w:val="bottom"/>
          </w:tcPr>
          <w:p>
            <w:pPr>
              <w:spacing w:after="0"/>
              <w:rPr>
                <w:sz w:val="1"/>
                <w:szCs w:val="1"/>
                <w:color w:val="auto"/>
              </w:rPr>
            </w:pPr>
          </w:p>
        </w:tc>
      </w:tr>
      <w:tr>
        <w:trPr>
          <w:trHeight w:val="200"/>
        </w:trPr>
        <w:tc>
          <w:tcPr>
            <w:tcW w:w="6780" w:type="dxa"/>
            <w:vAlign w:val="bottom"/>
          </w:tcPr>
          <w:p>
            <w:pPr>
              <w:ind w:left="900"/>
              <w:spacing w:after="0" w:line="200" w:lineRule="exact"/>
              <w:rPr>
                <w:sz w:val="20"/>
                <w:szCs w:val="20"/>
                <w:color w:val="auto"/>
              </w:rPr>
            </w:pPr>
            <w:r>
              <w:rPr>
                <w:rFonts w:ascii="Arial" w:cs="Arial" w:eastAsia="Arial" w:hAnsi="Arial"/>
                <w:sz w:val="18"/>
                <w:szCs w:val="18"/>
                <w:color w:val="auto"/>
              </w:rPr>
              <w:t>Total commercial</w:t>
            </w:r>
          </w:p>
        </w:tc>
        <w:tc>
          <w:tcPr>
            <w:tcW w:w="160" w:type="dxa"/>
            <w:vAlign w:val="bottom"/>
          </w:tcPr>
          <w:p>
            <w:pPr>
              <w:spacing w:after="0"/>
              <w:rPr>
                <w:sz w:val="17"/>
                <w:szCs w:val="17"/>
                <w:color w:val="auto"/>
              </w:rPr>
            </w:pPr>
          </w:p>
        </w:tc>
        <w:tc>
          <w:tcPr>
            <w:tcW w:w="1100" w:type="dxa"/>
            <w:vAlign w:val="bottom"/>
          </w:tcPr>
          <w:p>
            <w:pPr>
              <w:jc w:val="right"/>
              <w:ind w:right="71"/>
              <w:spacing w:after="0" w:line="200" w:lineRule="exact"/>
              <w:rPr>
                <w:sz w:val="20"/>
                <w:szCs w:val="20"/>
                <w:color w:val="auto"/>
              </w:rPr>
            </w:pPr>
            <w:r>
              <w:rPr>
                <w:rFonts w:ascii="Arial" w:cs="Arial" w:eastAsia="Arial" w:hAnsi="Arial"/>
                <w:sz w:val="18"/>
                <w:szCs w:val="18"/>
                <w:color w:val="auto"/>
              </w:rPr>
              <w:t>2,317,695</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tcPr>
          <w:p>
            <w:pPr>
              <w:jc w:val="right"/>
              <w:ind w:right="71"/>
              <w:spacing w:after="0" w:line="200" w:lineRule="exact"/>
              <w:rPr>
                <w:sz w:val="20"/>
                <w:szCs w:val="20"/>
                <w:color w:val="auto"/>
              </w:rPr>
            </w:pPr>
            <w:r>
              <w:rPr>
                <w:rFonts w:ascii="Arial" w:cs="Arial" w:eastAsia="Arial" w:hAnsi="Arial"/>
                <w:sz w:val="18"/>
                <w:szCs w:val="18"/>
                <w:color w:val="auto"/>
              </w:rPr>
              <w:t>2,426,380</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jc w:val="right"/>
              <w:ind w:right="71"/>
              <w:spacing w:after="0" w:line="200" w:lineRule="exact"/>
              <w:rPr>
                <w:sz w:val="20"/>
                <w:szCs w:val="20"/>
                <w:color w:val="auto"/>
              </w:rPr>
            </w:pPr>
            <w:r>
              <w:rPr>
                <w:rFonts w:ascii="Arial" w:cs="Arial" w:eastAsia="Arial" w:hAnsi="Arial"/>
                <w:sz w:val="18"/>
                <w:szCs w:val="18"/>
                <w:color w:val="auto"/>
              </w:rPr>
              <w:t>2,456,037</w:t>
            </w:r>
          </w:p>
        </w:tc>
        <w:tc>
          <w:tcPr>
            <w:tcW w:w="0" w:type="dxa"/>
            <w:vAlign w:val="bottom"/>
          </w:tcPr>
          <w:p>
            <w:pPr>
              <w:spacing w:after="0"/>
              <w:rPr>
                <w:sz w:val="1"/>
                <w:szCs w:val="1"/>
                <w:color w:val="auto"/>
              </w:rPr>
            </w:pPr>
          </w:p>
        </w:tc>
      </w:tr>
      <w:tr>
        <w:trPr>
          <w:trHeight w:val="214"/>
        </w:trPr>
        <w:tc>
          <w:tcPr>
            <w:tcW w:w="6780" w:type="dxa"/>
            <w:vAlign w:val="bottom"/>
          </w:tcPr>
          <w:p>
            <w:pPr>
              <w:ind w:left="580"/>
              <w:spacing w:after="0"/>
              <w:rPr>
                <w:sz w:val="20"/>
                <w:szCs w:val="20"/>
                <w:color w:val="auto"/>
              </w:rPr>
            </w:pPr>
            <w:r>
              <w:rPr>
                <w:rFonts w:ascii="Arial" w:cs="Arial" w:eastAsia="Arial" w:hAnsi="Arial"/>
                <w:sz w:val="18"/>
                <w:szCs w:val="18"/>
                <w:color w:val="auto"/>
              </w:rPr>
              <w:t>Residential mortgage</w:t>
            </w:r>
          </w:p>
        </w:tc>
        <w:tc>
          <w:tcPr>
            <w:tcW w:w="160" w:type="dxa"/>
            <w:vAlign w:val="bottom"/>
          </w:tcPr>
          <w:p>
            <w:pPr>
              <w:spacing w:after="0"/>
              <w:rPr>
                <w:sz w:val="18"/>
                <w:szCs w:val="18"/>
                <w:color w:val="auto"/>
              </w:rPr>
            </w:pPr>
          </w:p>
        </w:tc>
        <w:tc>
          <w:tcPr>
            <w:tcW w:w="1100" w:type="dxa"/>
            <w:vAlign w:val="bottom"/>
          </w:tcPr>
          <w:p>
            <w:pPr>
              <w:jc w:val="right"/>
              <w:ind w:right="71"/>
              <w:spacing w:after="0"/>
              <w:rPr>
                <w:sz w:val="20"/>
                <w:szCs w:val="20"/>
                <w:color w:val="auto"/>
              </w:rPr>
            </w:pPr>
            <w:r>
              <w:rPr>
                <w:rFonts w:ascii="Arial" w:cs="Arial" w:eastAsia="Arial" w:hAnsi="Arial"/>
                <w:sz w:val="18"/>
                <w:szCs w:val="18"/>
                <w:color w:val="auto"/>
              </w:rPr>
              <w:t>1,278,559</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jc w:val="right"/>
              <w:ind w:right="71"/>
              <w:spacing w:after="0"/>
              <w:rPr>
                <w:sz w:val="20"/>
                <w:szCs w:val="20"/>
                <w:color w:val="auto"/>
              </w:rPr>
            </w:pPr>
            <w:r>
              <w:rPr>
                <w:rFonts w:ascii="Arial" w:cs="Arial" w:eastAsia="Arial" w:hAnsi="Arial"/>
                <w:sz w:val="18"/>
                <w:szCs w:val="18"/>
                <w:color w:val="auto"/>
              </w:rPr>
              <w:t>1,214,203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right"/>
              <w:ind w:right="71"/>
              <w:spacing w:after="0"/>
              <w:rPr>
                <w:sz w:val="20"/>
                <w:szCs w:val="20"/>
                <w:color w:val="auto"/>
              </w:rPr>
            </w:pPr>
            <w:r>
              <w:rPr>
                <w:rFonts w:ascii="Arial" w:cs="Arial" w:eastAsia="Arial" w:hAnsi="Arial"/>
                <w:sz w:val="18"/>
                <w:szCs w:val="18"/>
                <w:color w:val="auto"/>
              </w:rPr>
              <w:t>1,128,336</w:t>
            </w:r>
          </w:p>
        </w:tc>
        <w:tc>
          <w:tcPr>
            <w:tcW w:w="0" w:type="dxa"/>
            <w:vAlign w:val="bottom"/>
          </w:tcPr>
          <w:p>
            <w:pPr>
              <w:spacing w:after="0"/>
              <w:rPr>
                <w:sz w:val="1"/>
                <w:szCs w:val="1"/>
                <w:color w:val="auto"/>
              </w:rPr>
            </w:pPr>
          </w:p>
        </w:tc>
      </w:tr>
      <w:tr>
        <w:trPr>
          <w:trHeight w:val="214"/>
        </w:trPr>
        <w:tc>
          <w:tcPr>
            <w:tcW w:w="6780" w:type="dxa"/>
            <w:vAlign w:val="bottom"/>
          </w:tcPr>
          <w:p>
            <w:pPr>
              <w:ind w:left="580"/>
              <w:spacing w:after="0"/>
              <w:rPr>
                <w:sz w:val="20"/>
                <w:szCs w:val="20"/>
                <w:color w:val="auto"/>
              </w:rPr>
            </w:pPr>
            <w:r>
              <w:rPr>
                <w:rFonts w:ascii="Arial" w:cs="Arial" w:eastAsia="Arial" w:hAnsi="Arial"/>
                <w:sz w:val="18"/>
                <w:szCs w:val="18"/>
                <w:color w:val="auto"/>
              </w:rPr>
              <w:t>Residential construction</w:t>
            </w:r>
          </w:p>
        </w:tc>
        <w:tc>
          <w:tcPr>
            <w:tcW w:w="160" w:type="dxa"/>
            <w:vAlign w:val="bottom"/>
          </w:tcPr>
          <w:p>
            <w:pPr>
              <w:spacing w:after="0"/>
              <w:rPr>
                <w:sz w:val="18"/>
                <w:szCs w:val="18"/>
                <w:color w:val="auto"/>
              </w:rPr>
            </w:pPr>
          </w:p>
        </w:tc>
        <w:tc>
          <w:tcPr>
            <w:tcW w:w="1100" w:type="dxa"/>
            <w:vAlign w:val="bottom"/>
          </w:tcPr>
          <w:p>
            <w:pPr>
              <w:jc w:val="right"/>
              <w:ind w:right="71"/>
              <w:spacing w:after="0"/>
              <w:rPr>
                <w:sz w:val="20"/>
                <w:szCs w:val="20"/>
                <w:color w:val="auto"/>
              </w:rPr>
            </w:pPr>
            <w:r>
              <w:rPr>
                <w:rFonts w:ascii="Arial" w:cs="Arial" w:eastAsia="Arial" w:hAnsi="Arial"/>
                <w:sz w:val="18"/>
                <w:szCs w:val="18"/>
                <w:color w:val="auto"/>
              </w:rPr>
              <w:t>331,681</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jc w:val="right"/>
              <w:ind w:right="71"/>
              <w:spacing w:after="0"/>
              <w:rPr>
                <w:sz w:val="20"/>
                <w:szCs w:val="20"/>
                <w:color w:val="auto"/>
              </w:rPr>
            </w:pPr>
            <w:r>
              <w:rPr>
                <w:rFonts w:ascii="Arial" w:cs="Arial" w:eastAsia="Arial" w:hAnsi="Arial"/>
                <w:sz w:val="18"/>
                <w:szCs w:val="18"/>
                <w:color w:val="auto"/>
              </w:rPr>
              <w:t>381,677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right"/>
              <w:ind w:right="71"/>
              <w:spacing w:after="0"/>
              <w:rPr>
                <w:sz w:val="20"/>
                <w:szCs w:val="20"/>
                <w:color w:val="auto"/>
              </w:rPr>
            </w:pPr>
            <w:r>
              <w:rPr>
                <w:rFonts w:ascii="Arial" w:cs="Arial" w:eastAsia="Arial" w:hAnsi="Arial"/>
                <w:sz w:val="18"/>
                <w:szCs w:val="18"/>
                <w:color w:val="auto"/>
              </w:rPr>
              <w:t>408,966</w:t>
            </w:r>
          </w:p>
        </w:tc>
        <w:tc>
          <w:tcPr>
            <w:tcW w:w="0" w:type="dxa"/>
            <w:vAlign w:val="bottom"/>
          </w:tcPr>
          <w:p>
            <w:pPr>
              <w:spacing w:after="0"/>
              <w:rPr>
                <w:sz w:val="1"/>
                <w:szCs w:val="1"/>
                <w:color w:val="auto"/>
              </w:rPr>
            </w:pPr>
          </w:p>
        </w:tc>
      </w:tr>
      <w:tr>
        <w:trPr>
          <w:trHeight w:val="235"/>
        </w:trPr>
        <w:tc>
          <w:tcPr>
            <w:tcW w:w="6780" w:type="dxa"/>
            <w:vAlign w:val="bottom"/>
          </w:tcPr>
          <w:p>
            <w:pPr>
              <w:ind w:left="580"/>
              <w:spacing w:after="0"/>
              <w:rPr>
                <w:sz w:val="20"/>
                <w:szCs w:val="20"/>
                <w:color w:val="auto"/>
              </w:rPr>
            </w:pPr>
            <w:r>
              <w:rPr>
                <w:rFonts w:ascii="Arial" w:cs="Arial" w:eastAsia="Arial" w:hAnsi="Arial"/>
                <w:sz w:val="18"/>
                <w:szCs w:val="18"/>
                <w:color w:val="auto"/>
              </w:rPr>
              <w:t>Consumer installment</w:t>
            </w:r>
          </w:p>
        </w:tc>
        <w:tc>
          <w:tcPr>
            <w:tcW w:w="1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261,433</w:t>
            </w: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152,748</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125,896</w:t>
            </w:r>
          </w:p>
        </w:tc>
        <w:tc>
          <w:tcPr>
            <w:tcW w:w="0" w:type="dxa"/>
            <w:vAlign w:val="bottom"/>
          </w:tcPr>
          <w:p>
            <w:pPr>
              <w:spacing w:after="0"/>
              <w:rPr>
                <w:sz w:val="1"/>
                <w:szCs w:val="1"/>
                <w:color w:val="auto"/>
              </w:rPr>
            </w:pPr>
          </w:p>
        </w:tc>
      </w:tr>
      <w:tr>
        <w:trPr>
          <w:trHeight w:val="214"/>
        </w:trPr>
        <w:tc>
          <w:tcPr>
            <w:tcW w:w="6780" w:type="dxa"/>
            <w:vAlign w:val="bottom"/>
          </w:tcPr>
          <w:p>
            <w:pPr>
              <w:ind w:left="900"/>
              <w:spacing w:after="0"/>
              <w:rPr>
                <w:sz w:val="20"/>
                <w:szCs w:val="20"/>
                <w:color w:val="auto"/>
              </w:rPr>
            </w:pPr>
            <w:r>
              <w:rPr>
                <w:rFonts w:ascii="Arial" w:cs="Arial" w:eastAsia="Arial" w:hAnsi="Arial"/>
                <w:sz w:val="18"/>
                <w:szCs w:val="18"/>
                <w:color w:val="auto"/>
              </w:rPr>
              <w:t>Total loans</w:t>
            </w: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4,189,368</w:t>
            </w:r>
          </w:p>
        </w:tc>
        <w:tc>
          <w:tcPr>
            <w:tcW w:w="80" w:type="dxa"/>
            <w:vAlign w:val="bottom"/>
          </w:tcPr>
          <w:p>
            <w:pPr>
              <w:spacing w:after="0"/>
              <w:rPr>
                <w:sz w:val="18"/>
                <w:szCs w:val="18"/>
                <w:color w:val="auto"/>
              </w:rPr>
            </w:pPr>
          </w:p>
        </w:tc>
        <w:tc>
          <w:tcPr>
            <w:tcW w:w="24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4,175,008</w:t>
            </w:r>
          </w:p>
        </w:tc>
        <w:tc>
          <w:tcPr>
            <w:tcW w:w="120" w:type="dxa"/>
            <w:vAlign w:val="bottom"/>
          </w:tcPr>
          <w:p>
            <w:pPr>
              <w:spacing w:after="0"/>
              <w:rPr>
                <w:sz w:val="18"/>
                <w:szCs w:val="18"/>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4,119,235</w:t>
            </w:r>
          </w:p>
        </w:tc>
        <w:tc>
          <w:tcPr>
            <w:tcW w:w="0" w:type="dxa"/>
            <w:vAlign w:val="bottom"/>
          </w:tcPr>
          <w:p>
            <w:pPr>
              <w:spacing w:after="0"/>
              <w:rPr>
                <w:sz w:val="1"/>
                <w:szCs w:val="1"/>
                <w:color w:val="auto"/>
              </w:rPr>
            </w:pPr>
          </w:p>
        </w:tc>
      </w:tr>
      <w:tr>
        <w:trPr>
          <w:trHeight w:val="20"/>
        </w:trPr>
        <w:tc>
          <w:tcPr>
            <w:tcW w:w="6780" w:type="dxa"/>
            <w:vAlign w:val="bottom"/>
            <w:vMerge w:val="restart"/>
          </w:tcPr>
          <w:p>
            <w:pPr>
              <w:ind w:left="580"/>
              <w:spacing w:after="0"/>
              <w:rPr>
                <w:sz w:val="20"/>
                <w:szCs w:val="20"/>
                <w:color w:val="auto"/>
              </w:rPr>
            </w:pPr>
            <w:r>
              <w:rPr>
                <w:rFonts w:ascii="Arial" w:cs="Arial" w:eastAsia="Arial" w:hAnsi="Arial"/>
                <w:sz w:val="18"/>
                <w:szCs w:val="18"/>
                <w:color w:val="auto"/>
              </w:rPr>
              <w:t>As a percentage of total loans:</w:t>
            </w: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08"/>
        </w:trPr>
        <w:tc>
          <w:tcPr>
            <w:tcW w:w="678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6780" w:type="dxa"/>
            <w:vAlign w:val="bottom"/>
          </w:tcPr>
          <w:p>
            <w:pPr>
              <w:ind w:left="740"/>
              <w:spacing w:after="0"/>
              <w:rPr>
                <w:sz w:val="20"/>
                <w:szCs w:val="20"/>
                <w:color w:val="auto"/>
              </w:rPr>
            </w:pPr>
            <w:r>
              <w:rPr>
                <w:rFonts w:ascii="Arial" w:cs="Arial" w:eastAsia="Arial" w:hAnsi="Arial"/>
                <w:sz w:val="18"/>
                <w:szCs w:val="18"/>
                <w:color w:val="auto"/>
              </w:rPr>
              <w:t>Commercial (secured by real estate)</w:t>
            </w: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42%</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4"/>
        </w:trPr>
        <w:tc>
          <w:tcPr>
            <w:tcW w:w="6780" w:type="dxa"/>
            <w:vAlign w:val="bottom"/>
          </w:tcPr>
          <w:p>
            <w:pPr>
              <w:ind w:left="740"/>
              <w:spacing w:after="0"/>
              <w:rPr>
                <w:sz w:val="20"/>
                <w:szCs w:val="20"/>
                <w:color w:val="auto"/>
              </w:rPr>
            </w:pPr>
            <w:r>
              <w:rPr>
                <w:rFonts w:ascii="Arial" w:cs="Arial" w:eastAsia="Arial" w:hAnsi="Arial"/>
                <w:sz w:val="18"/>
                <w:szCs w:val="18"/>
                <w:color w:val="auto"/>
              </w:rPr>
              <w:t>Commercial &amp; industrial</w:t>
            </w:r>
          </w:p>
        </w:tc>
        <w:tc>
          <w:tcPr>
            <w:tcW w:w="160" w:type="dxa"/>
            <w:vAlign w:val="bottom"/>
          </w:tcPr>
          <w:p>
            <w:pPr>
              <w:spacing w:after="0"/>
              <w:rPr>
                <w:sz w:val="18"/>
                <w:szCs w:val="18"/>
                <w:color w:val="auto"/>
              </w:rPr>
            </w:pPr>
          </w:p>
        </w:tc>
        <w:tc>
          <w:tcPr>
            <w:tcW w:w="1100" w:type="dxa"/>
            <w:vAlign w:val="bottom"/>
          </w:tcPr>
          <w:p>
            <w:pPr>
              <w:jc w:val="right"/>
              <w:ind w:right="71"/>
              <w:spacing w:after="0"/>
              <w:rPr>
                <w:sz w:val="20"/>
                <w:szCs w:val="20"/>
                <w:color w:val="auto"/>
              </w:rPr>
            </w:pPr>
            <w:r>
              <w:rPr>
                <w:rFonts w:ascii="Arial" w:cs="Arial" w:eastAsia="Arial" w:hAnsi="Arial"/>
                <w:sz w:val="18"/>
                <w:szCs w:val="18"/>
                <w:color w:val="auto"/>
              </w:rPr>
              <w:t>10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jc w:val="right"/>
              <w:ind w:right="71"/>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right"/>
              <w:ind w:right="71"/>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35"/>
        </w:trPr>
        <w:tc>
          <w:tcPr>
            <w:tcW w:w="6780" w:type="dxa"/>
            <w:vAlign w:val="bottom"/>
          </w:tcPr>
          <w:p>
            <w:pPr>
              <w:ind w:left="740"/>
              <w:spacing w:after="0"/>
              <w:rPr>
                <w:sz w:val="20"/>
                <w:szCs w:val="20"/>
                <w:color w:val="auto"/>
              </w:rPr>
            </w:pPr>
            <w:r>
              <w:rPr>
                <w:rFonts w:ascii="Arial" w:cs="Arial" w:eastAsia="Arial" w:hAnsi="Arial"/>
                <w:sz w:val="18"/>
                <w:szCs w:val="18"/>
                <w:color w:val="auto"/>
              </w:rPr>
              <w:t>Commercial construction</w:t>
            </w:r>
          </w:p>
        </w:tc>
        <w:tc>
          <w:tcPr>
            <w:tcW w:w="1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0"/>
        </w:trPr>
        <w:tc>
          <w:tcPr>
            <w:tcW w:w="6780" w:type="dxa"/>
            <w:vAlign w:val="bottom"/>
          </w:tcPr>
          <w:p>
            <w:pPr>
              <w:ind w:left="900"/>
              <w:spacing w:after="0" w:line="200" w:lineRule="exact"/>
              <w:rPr>
                <w:sz w:val="20"/>
                <w:szCs w:val="20"/>
                <w:color w:val="auto"/>
              </w:rPr>
            </w:pPr>
            <w:r>
              <w:rPr>
                <w:rFonts w:ascii="Arial" w:cs="Arial" w:eastAsia="Arial" w:hAnsi="Arial"/>
                <w:sz w:val="18"/>
                <w:szCs w:val="18"/>
                <w:color w:val="auto"/>
              </w:rPr>
              <w:t>Total commercial</w:t>
            </w:r>
          </w:p>
        </w:tc>
        <w:tc>
          <w:tcPr>
            <w:tcW w:w="160" w:type="dxa"/>
            <w:vAlign w:val="bottom"/>
          </w:tcPr>
          <w:p>
            <w:pPr>
              <w:spacing w:after="0"/>
              <w:rPr>
                <w:sz w:val="17"/>
                <w:szCs w:val="17"/>
                <w:color w:val="auto"/>
              </w:rPr>
            </w:pPr>
          </w:p>
        </w:tc>
        <w:tc>
          <w:tcPr>
            <w:tcW w:w="1100" w:type="dxa"/>
            <w:vAlign w:val="bottom"/>
          </w:tcPr>
          <w:p>
            <w:pPr>
              <w:jc w:val="right"/>
              <w:ind w:right="71"/>
              <w:spacing w:after="0" w:line="200" w:lineRule="exact"/>
              <w:rPr>
                <w:sz w:val="20"/>
                <w:szCs w:val="20"/>
                <w:color w:val="auto"/>
              </w:rPr>
            </w:pPr>
            <w:r>
              <w:rPr>
                <w:rFonts w:ascii="Arial" w:cs="Arial" w:eastAsia="Arial" w:hAnsi="Arial"/>
                <w:sz w:val="18"/>
                <w:szCs w:val="18"/>
                <w:color w:val="auto"/>
              </w:rPr>
              <w:t>55</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tcPr>
          <w:p>
            <w:pPr>
              <w:jc w:val="right"/>
              <w:ind w:right="71"/>
              <w:spacing w:after="0" w:line="200" w:lineRule="exact"/>
              <w:rPr>
                <w:sz w:val="20"/>
                <w:szCs w:val="20"/>
                <w:color w:val="auto"/>
              </w:rPr>
            </w:pPr>
            <w:r>
              <w:rPr>
                <w:rFonts w:ascii="Arial" w:cs="Arial" w:eastAsia="Arial" w:hAnsi="Arial"/>
                <w:sz w:val="18"/>
                <w:szCs w:val="18"/>
                <w:color w:val="auto"/>
              </w:rPr>
              <w:t>58</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jc w:val="right"/>
              <w:ind w:right="71"/>
              <w:spacing w:after="0" w:line="200" w:lineRule="exact"/>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14"/>
        </w:trPr>
        <w:tc>
          <w:tcPr>
            <w:tcW w:w="6780" w:type="dxa"/>
            <w:vAlign w:val="bottom"/>
          </w:tcPr>
          <w:p>
            <w:pPr>
              <w:ind w:left="740"/>
              <w:spacing w:after="0"/>
              <w:rPr>
                <w:sz w:val="20"/>
                <w:szCs w:val="20"/>
                <w:color w:val="auto"/>
              </w:rPr>
            </w:pPr>
            <w:r>
              <w:rPr>
                <w:rFonts w:ascii="Arial" w:cs="Arial" w:eastAsia="Arial" w:hAnsi="Arial"/>
                <w:sz w:val="18"/>
                <w:szCs w:val="18"/>
                <w:color w:val="auto"/>
              </w:rPr>
              <w:t>Residential mortgage</w:t>
            </w:r>
          </w:p>
        </w:tc>
        <w:tc>
          <w:tcPr>
            <w:tcW w:w="160" w:type="dxa"/>
            <w:vAlign w:val="bottom"/>
          </w:tcPr>
          <w:p>
            <w:pPr>
              <w:spacing w:after="0"/>
              <w:rPr>
                <w:sz w:val="18"/>
                <w:szCs w:val="18"/>
                <w:color w:val="auto"/>
              </w:rPr>
            </w:pPr>
          </w:p>
        </w:tc>
        <w:tc>
          <w:tcPr>
            <w:tcW w:w="1100" w:type="dxa"/>
            <w:vAlign w:val="bottom"/>
          </w:tcPr>
          <w:p>
            <w:pPr>
              <w:jc w:val="right"/>
              <w:ind w:right="71"/>
              <w:spacing w:after="0"/>
              <w:rPr>
                <w:sz w:val="20"/>
                <w:szCs w:val="20"/>
                <w:color w:val="auto"/>
              </w:rPr>
            </w:pPr>
            <w:r>
              <w:rPr>
                <w:rFonts w:ascii="Arial" w:cs="Arial" w:eastAsia="Arial" w:hAnsi="Arial"/>
                <w:sz w:val="18"/>
                <w:szCs w:val="18"/>
                <w:color w:val="auto"/>
              </w:rPr>
              <w:t>31</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jc w:val="right"/>
              <w:ind w:right="71"/>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right"/>
              <w:ind w:right="71"/>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4"/>
        </w:trPr>
        <w:tc>
          <w:tcPr>
            <w:tcW w:w="6780" w:type="dxa"/>
            <w:vAlign w:val="bottom"/>
          </w:tcPr>
          <w:p>
            <w:pPr>
              <w:ind w:left="740"/>
              <w:spacing w:after="0"/>
              <w:rPr>
                <w:sz w:val="20"/>
                <w:szCs w:val="20"/>
                <w:color w:val="auto"/>
              </w:rPr>
            </w:pPr>
            <w:r>
              <w:rPr>
                <w:rFonts w:ascii="Arial" w:cs="Arial" w:eastAsia="Arial" w:hAnsi="Arial"/>
                <w:sz w:val="18"/>
                <w:szCs w:val="18"/>
                <w:color w:val="auto"/>
              </w:rPr>
              <w:t>Residential construction</w:t>
            </w:r>
          </w:p>
        </w:tc>
        <w:tc>
          <w:tcPr>
            <w:tcW w:w="160" w:type="dxa"/>
            <w:vAlign w:val="bottom"/>
          </w:tcPr>
          <w:p>
            <w:pPr>
              <w:spacing w:after="0"/>
              <w:rPr>
                <w:sz w:val="18"/>
                <w:szCs w:val="18"/>
                <w:color w:val="auto"/>
              </w:rPr>
            </w:pPr>
          </w:p>
        </w:tc>
        <w:tc>
          <w:tcPr>
            <w:tcW w:w="1100" w:type="dxa"/>
            <w:vAlign w:val="bottom"/>
          </w:tcPr>
          <w:p>
            <w:pPr>
              <w:jc w:val="right"/>
              <w:ind w:right="71"/>
              <w:spacing w:after="0"/>
              <w:rPr>
                <w:sz w:val="20"/>
                <w:szCs w:val="20"/>
                <w:color w:val="auto"/>
              </w:rPr>
            </w:pPr>
            <w:r>
              <w:rPr>
                <w:rFonts w:ascii="Arial" w:cs="Arial" w:eastAsia="Arial" w:hAnsi="Arial"/>
                <w:sz w:val="18"/>
                <w:szCs w:val="18"/>
                <w:color w:val="auto"/>
              </w:rPr>
              <w:t>8</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jc w:val="right"/>
              <w:ind w:right="71"/>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right"/>
              <w:ind w:right="71"/>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35"/>
        </w:trPr>
        <w:tc>
          <w:tcPr>
            <w:tcW w:w="6780" w:type="dxa"/>
            <w:vAlign w:val="bottom"/>
          </w:tcPr>
          <w:p>
            <w:pPr>
              <w:ind w:left="740"/>
              <w:spacing w:after="0"/>
              <w:rPr>
                <w:sz w:val="20"/>
                <w:szCs w:val="20"/>
                <w:color w:val="auto"/>
              </w:rPr>
            </w:pPr>
            <w:r>
              <w:rPr>
                <w:rFonts w:ascii="Arial" w:cs="Arial" w:eastAsia="Arial" w:hAnsi="Arial"/>
                <w:sz w:val="18"/>
                <w:szCs w:val="18"/>
                <w:color w:val="auto"/>
              </w:rPr>
              <w:t>Consumer installment</w:t>
            </w:r>
          </w:p>
        </w:tc>
        <w:tc>
          <w:tcPr>
            <w:tcW w:w="1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6</w:t>
            </w: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4"/>
        </w:trPr>
        <w:tc>
          <w:tcPr>
            <w:tcW w:w="6780" w:type="dxa"/>
            <w:vAlign w:val="bottom"/>
          </w:tcPr>
          <w:p>
            <w:pPr>
              <w:ind w:left="900"/>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6780" w:type="dxa"/>
            <w:vAlign w:val="bottom"/>
            <w:vMerge w:val="restart"/>
          </w:tcPr>
          <w:p>
            <w:pPr>
              <w:ind w:left="580"/>
              <w:spacing w:after="0"/>
              <w:rPr>
                <w:sz w:val="20"/>
                <w:szCs w:val="20"/>
                <w:color w:val="auto"/>
              </w:rPr>
            </w:pPr>
            <w:r>
              <w:rPr>
                <w:rFonts w:ascii="Arial" w:cs="Arial" w:eastAsia="Arial" w:hAnsi="Arial"/>
                <w:sz w:val="18"/>
                <w:szCs w:val="18"/>
                <w:b w:val="1"/>
                <w:bCs w:val="1"/>
                <w:color w:val="auto"/>
              </w:rPr>
              <w:t>By Geographic Location</w:t>
            </w: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08"/>
        </w:trPr>
        <w:tc>
          <w:tcPr>
            <w:tcW w:w="678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6780" w:type="dxa"/>
            <w:vAlign w:val="bottom"/>
          </w:tcPr>
          <w:p>
            <w:pPr>
              <w:ind w:left="580"/>
              <w:spacing w:after="0"/>
              <w:rPr>
                <w:sz w:val="20"/>
                <w:szCs w:val="20"/>
                <w:color w:val="auto"/>
              </w:rPr>
            </w:pPr>
            <w:r>
              <w:rPr>
                <w:rFonts w:ascii="Arial" w:cs="Arial" w:eastAsia="Arial" w:hAnsi="Arial"/>
                <w:sz w:val="18"/>
                <w:szCs w:val="18"/>
                <w:color w:val="auto"/>
              </w:rPr>
              <w:t>North Georgia</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ind w:right="71"/>
              <w:spacing w:after="0"/>
              <w:rPr>
                <w:sz w:val="20"/>
                <w:szCs w:val="20"/>
                <w:color w:val="auto"/>
              </w:rPr>
            </w:pPr>
            <w:r>
              <w:rPr>
                <w:rFonts w:ascii="Arial" w:cs="Arial" w:eastAsia="Arial" w:hAnsi="Arial"/>
                <w:sz w:val="18"/>
                <w:szCs w:val="18"/>
                <w:color w:val="auto"/>
              </w:rPr>
              <w:t>1,265,109</w:t>
            </w:r>
          </w:p>
        </w:tc>
        <w:tc>
          <w:tcPr>
            <w:tcW w:w="320" w:type="dxa"/>
            <w:vAlign w:val="bottom"/>
            <w:gridSpan w:val="2"/>
          </w:tcPr>
          <w:p>
            <w:pPr>
              <w:jc w:val="right"/>
              <w:ind w:right="51"/>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71"/>
              <w:spacing w:after="0"/>
              <w:rPr>
                <w:sz w:val="20"/>
                <w:szCs w:val="20"/>
                <w:color w:val="auto"/>
              </w:rPr>
            </w:pPr>
            <w:r>
              <w:rPr>
                <w:rFonts w:ascii="Arial" w:cs="Arial" w:eastAsia="Arial" w:hAnsi="Arial"/>
                <w:sz w:val="18"/>
                <w:szCs w:val="18"/>
                <w:color w:val="auto"/>
              </w:rPr>
              <w:t>1,363,723</w:t>
            </w:r>
          </w:p>
        </w:tc>
        <w:tc>
          <w:tcPr>
            <w:tcW w:w="28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71"/>
              <w:spacing w:after="0"/>
              <w:rPr>
                <w:sz w:val="20"/>
                <w:szCs w:val="20"/>
                <w:color w:val="auto"/>
              </w:rPr>
            </w:pPr>
            <w:r>
              <w:rPr>
                <w:rFonts w:ascii="Arial" w:cs="Arial" w:eastAsia="Arial" w:hAnsi="Arial"/>
                <w:sz w:val="18"/>
                <w:szCs w:val="18"/>
                <w:color w:val="auto"/>
              </w:rPr>
              <w:t>1,387,204</w:t>
            </w:r>
          </w:p>
        </w:tc>
        <w:tc>
          <w:tcPr>
            <w:tcW w:w="0" w:type="dxa"/>
            <w:vAlign w:val="bottom"/>
          </w:tcPr>
          <w:p>
            <w:pPr>
              <w:spacing w:after="0"/>
              <w:rPr>
                <w:sz w:val="1"/>
                <w:szCs w:val="1"/>
                <w:color w:val="auto"/>
              </w:rPr>
            </w:pPr>
          </w:p>
        </w:tc>
      </w:tr>
      <w:tr>
        <w:trPr>
          <w:trHeight w:val="214"/>
        </w:trPr>
        <w:tc>
          <w:tcPr>
            <w:tcW w:w="6780" w:type="dxa"/>
            <w:vAlign w:val="bottom"/>
          </w:tcPr>
          <w:p>
            <w:pPr>
              <w:ind w:left="580"/>
              <w:spacing w:after="0"/>
              <w:rPr>
                <w:sz w:val="20"/>
                <w:szCs w:val="20"/>
                <w:color w:val="auto"/>
              </w:rPr>
            </w:pPr>
            <w:r>
              <w:rPr>
                <w:rFonts w:ascii="Arial" w:cs="Arial" w:eastAsia="Arial" w:hAnsi="Arial"/>
                <w:sz w:val="18"/>
                <w:szCs w:val="18"/>
                <w:color w:val="auto"/>
              </w:rPr>
              <w:t>Atlanta MSA</w:t>
            </w:r>
          </w:p>
        </w:tc>
        <w:tc>
          <w:tcPr>
            <w:tcW w:w="160" w:type="dxa"/>
            <w:vAlign w:val="bottom"/>
          </w:tcPr>
          <w:p>
            <w:pPr>
              <w:spacing w:after="0"/>
              <w:rPr>
                <w:sz w:val="18"/>
                <w:szCs w:val="18"/>
                <w:color w:val="auto"/>
              </w:rPr>
            </w:pPr>
          </w:p>
        </w:tc>
        <w:tc>
          <w:tcPr>
            <w:tcW w:w="1100" w:type="dxa"/>
            <w:vAlign w:val="bottom"/>
          </w:tcPr>
          <w:p>
            <w:pPr>
              <w:jc w:val="right"/>
              <w:ind w:right="71"/>
              <w:spacing w:after="0"/>
              <w:rPr>
                <w:sz w:val="20"/>
                <w:szCs w:val="20"/>
                <w:color w:val="auto"/>
              </w:rPr>
            </w:pPr>
            <w:r>
              <w:rPr>
                <w:rFonts w:ascii="Arial" w:cs="Arial" w:eastAsia="Arial" w:hAnsi="Arial"/>
                <w:sz w:val="18"/>
                <w:szCs w:val="18"/>
                <w:color w:val="auto"/>
              </w:rPr>
              <w:t>1,227,352</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jc w:val="right"/>
              <w:ind w:right="71"/>
              <w:spacing w:after="0"/>
              <w:rPr>
                <w:sz w:val="20"/>
                <w:szCs w:val="20"/>
                <w:color w:val="auto"/>
              </w:rPr>
            </w:pPr>
            <w:r>
              <w:rPr>
                <w:rFonts w:ascii="Arial" w:cs="Arial" w:eastAsia="Arial" w:hAnsi="Arial"/>
                <w:sz w:val="18"/>
                <w:szCs w:val="18"/>
                <w:color w:val="auto"/>
              </w:rPr>
              <w:t>1,249,470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right"/>
              <w:ind w:right="71"/>
              <w:spacing w:after="0"/>
              <w:rPr>
                <w:sz w:val="20"/>
                <w:szCs w:val="20"/>
                <w:color w:val="auto"/>
              </w:rPr>
            </w:pPr>
            <w:r>
              <w:rPr>
                <w:rFonts w:ascii="Arial" w:cs="Arial" w:eastAsia="Arial" w:hAnsi="Arial"/>
                <w:sz w:val="18"/>
                <w:szCs w:val="18"/>
                <w:color w:val="auto"/>
              </w:rPr>
              <w:t>1,242,318</w:t>
            </w:r>
          </w:p>
        </w:tc>
        <w:tc>
          <w:tcPr>
            <w:tcW w:w="0" w:type="dxa"/>
            <w:vAlign w:val="bottom"/>
          </w:tcPr>
          <w:p>
            <w:pPr>
              <w:spacing w:after="0"/>
              <w:rPr>
                <w:sz w:val="1"/>
                <w:szCs w:val="1"/>
                <w:color w:val="auto"/>
              </w:rPr>
            </w:pPr>
          </w:p>
        </w:tc>
      </w:tr>
      <w:tr>
        <w:trPr>
          <w:trHeight w:val="214"/>
        </w:trPr>
        <w:tc>
          <w:tcPr>
            <w:tcW w:w="6780" w:type="dxa"/>
            <w:vAlign w:val="bottom"/>
          </w:tcPr>
          <w:p>
            <w:pPr>
              <w:ind w:left="580"/>
              <w:spacing w:after="0"/>
              <w:rPr>
                <w:sz w:val="20"/>
                <w:szCs w:val="20"/>
                <w:color w:val="auto"/>
              </w:rPr>
            </w:pPr>
            <w:r>
              <w:rPr>
                <w:rFonts w:ascii="Arial" w:cs="Arial" w:eastAsia="Arial" w:hAnsi="Arial"/>
                <w:sz w:val="18"/>
                <w:szCs w:val="18"/>
                <w:color w:val="auto"/>
              </w:rPr>
              <w:t>North Carolina</w:t>
            </w:r>
          </w:p>
        </w:tc>
        <w:tc>
          <w:tcPr>
            <w:tcW w:w="160" w:type="dxa"/>
            <w:vAlign w:val="bottom"/>
          </w:tcPr>
          <w:p>
            <w:pPr>
              <w:spacing w:after="0"/>
              <w:rPr>
                <w:sz w:val="18"/>
                <w:szCs w:val="18"/>
                <w:color w:val="auto"/>
              </w:rPr>
            </w:pPr>
          </w:p>
        </w:tc>
        <w:tc>
          <w:tcPr>
            <w:tcW w:w="1100" w:type="dxa"/>
            <w:vAlign w:val="bottom"/>
          </w:tcPr>
          <w:p>
            <w:pPr>
              <w:jc w:val="right"/>
              <w:ind w:right="71"/>
              <w:spacing w:after="0"/>
              <w:rPr>
                <w:sz w:val="20"/>
                <w:szCs w:val="20"/>
                <w:color w:val="auto"/>
              </w:rPr>
            </w:pPr>
            <w:r>
              <w:rPr>
                <w:rFonts w:ascii="Arial" w:cs="Arial" w:eastAsia="Arial" w:hAnsi="Arial"/>
                <w:sz w:val="18"/>
                <w:szCs w:val="18"/>
                <w:color w:val="auto"/>
              </w:rPr>
              <w:t>575,425</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jc w:val="right"/>
              <w:ind w:right="71"/>
              <w:spacing w:after="0"/>
              <w:rPr>
                <w:sz w:val="20"/>
                <w:szCs w:val="20"/>
                <w:color w:val="auto"/>
              </w:rPr>
            </w:pPr>
            <w:r>
              <w:rPr>
                <w:rFonts w:ascii="Arial" w:cs="Arial" w:eastAsia="Arial" w:hAnsi="Arial"/>
                <w:sz w:val="18"/>
                <w:szCs w:val="18"/>
                <w:color w:val="auto"/>
              </w:rPr>
              <w:t>579,085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right"/>
              <w:ind w:right="71"/>
              <w:spacing w:after="0"/>
              <w:rPr>
                <w:sz w:val="20"/>
                <w:szCs w:val="20"/>
                <w:color w:val="auto"/>
              </w:rPr>
            </w:pPr>
            <w:r>
              <w:rPr>
                <w:rFonts w:ascii="Arial" w:cs="Arial" w:eastAsia="Arial" w:hAnsi="Arial"/>
                <w:sz w:val="18"/>
                <w:szCs w:val="18"/>
                <w:color w:val="auto"/>
              </w:rPr>
              <w:t>576,141</w:t>
            </w:r>
          </w:p>
        </w:tc>
        <w:tc>
          <w:tcPr>
            <w:tcW w:w="0" w:type="dxa"/>
            <w:vAlign w:val="bottom"/>
          </w:tcPr>
          <w:p>
            <w:pPr>
              <w:spacing w:after="0"/>
              <w:rPr>
                <w:sz w:val="1"/>
                <w:szCs w:val="1"/>
                <w:color w:val="auto"/>
              </w:rPr>
            </w:pPr>
          </w:p>
        </w:tc>
      </w:tr>
      <w:tr>
        <w:trPr>
          <w:trHeight w:val="214"/>
        </w:trPr>
        <w:tc>
          <w:tcPr>
            <w:tcW w:w="6780" w:type="dxa"/>
            <w:vAlign w:val="bottom"/>
          </w:tcPr>
          <w:p>
            <w:pPr>
              <w:ind w:left="580"/>
              <w:spacing w:after="0"/>
              <w:rPr>
                <w:sz w:val="20"/>
                <w:szCs w:val="20"/>
                <w:color w:val="auto"/>
              </w:rPr>
            </w:pPr>
            <w:r>
              <w:rPr>
                <w:rFonts w:ascii="Arial" w:cs="Arial" w:eastAsia="Arial" w:hAnsi="Arial"/>
                <w:sz w:val="18"/>
                <w:szCs w:val="18"/>
                <w:color w:val="auto"/>
              </w:rPr>
              <w:t>Coastal Georgia</w:t>
            </w:r>
          </w:p>
        </w:tc>
        <w:tc>
          <w:tcPr>
            <w:tcW w:w="160" w:type="dxa"/>
            <w:vAlign w:val="bottom"/>
          </w:tcPr>
          <w:p>
            <w:pPr>
              <w:spacing w:after="0"/>
              <w:rPr>
                <w:sz w:val="18"/>
                <w:szCs w:val="18"/>
                <w:color w:val="auto"/>
              </w:rPr>
            </w:pPr>
          </w:p>
        </w:tc>
        <w:tc>
          <w:tcPr>
            <w:tcW w:w="1100" w:type="dxa"/>
            <w:vAlign w:val="bottom"/>
          </w:tcPr>
          <w:p>
            <w:pPr>
              <w:jc w:val="right"/>
              <w:ind w:right="71"/>
              <w:spacing w:after="0"/>
              <w:rPr>
                <w:sz w:val="20"/>
                <w:szCs w:val="20"/>
                <w:color w:val="auto"/>
              </w:rPr>
            </w:pPr>
            <w:r>
              <w:rPr>
                <w:rFonts w:ascii="Arial" w:cs="Arial" w:eastAsia="Arial" w:hAnsi="Arial"/>
                <w:sz w:val="18"/>
                <w:szCs w:val="18"/>
                <w:color w:val="auto"/>
              </w:rPr>
              <w:t>397,182</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jc w:val="right"/>
              <w:ind w:right="71"/>
              <w:spacing w:after="0"/>
              <w:rPr>
                <w:sz w:val="20"/>
                <w:szCs w:val="20"/>
                <w:color w:val="auto"/>
              </w:rPr>
            </w:pPr>
            <w:r>
              <w:rPr>
                <w:rFonts w:ascii="Arial" w:cs="Arial" w:eastAsia="Arial" w:hAnsi="Arial"/>
                <w:sz w:val="18"/>
                <w:szCs w:val="18"/>
                <w:color w:val="auto"/>
              </w:rPr>
              <w:t>400,022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right"/>
              <w:ind w:right="71"/>
              <w:spacing w:after="0"/>
              <w:rPr>
                <w:sz w:val="20"/>
                <w:szCs w:val="20"/>
                <w:color w:val="auto"/>
              </w:rPr>
            </w:pPr>
            <w:r>
              <w:rPr>
                <w:rFonts w:ascii="Arial" w:cs="Arial" w:eastAsia="Arial" w:hAnsi="Arial"/>
                <w:sz w:val="18"/>
                <w:szCs w:val="18"/>
                <w:color w:val="auto"/>
              </w:rPr>
              <w:t>369,280</w:t>
            </w:r>
          </w:p>
        </w:tc>
        <w:tc>
          <w:tcPr>
            <w:tcW w:w="0" w:type="dxa"/>
            <w:vAlign w:val="bottom"/>
          </w:tcPr>
          <w:p>
            <w:pPr>
              <w:spacing w:after="0"/>
              <w:rPr>
                <w:sz w:val="1"/>
                <w:szCs w:val="1"/>
                <w:color w:val="auto"/>
              </w:rPr>
            </w:pPr>
          </w:p>
        </w:tc>
      </w:tr>
      <w:tr>
        <w:trPr>
          <w:trHeight w:val="214"/>
        </w:trPr>
        <w:tc>
          <w:tcPr>
            <w:tcW w:w="6780" w:type="dxa"/>
            <w:vAlign w:val="bottom"/>
          </w:tcPr>
          <w:p>
            <w:pPr>
              <w:ind w:left="580"/>
              <w:spacing w:after="0"/>
              <w:rPr>
                <w:sz w:val="20"/>
                <w:szCs w:val="20"/>
                <w:color w:val="auto"/>
              </w:rPr>
            </w:pPr>
            <w:r>
              <w:rPr>
                <w:rFonts w:ascii="Arial" w:cs="Arial" w:eastAsia="Arial" w:hAnsi="Arial"/>
                <w:sz w:val="18"/>
                <w:szCs w:val="18"/>
                <w:color w:val="auto"/>
              </w:rPr>
              <w:t>Gainesville MSA</w:t>
            </w:r>
          </w:p>
        </w:tc>
        <w:tc>
          <w:tcPr>
            <w:tcW w:w="160" w:type="dxa"/>
            <w:vAlign w:val="bottom"/>
          </w:tcPr>
          <w:p>
            <w:pPr>
              <w:spacing w:after="0"/>
              <w:rPr>
                <w:sz w:val="18"/>
                <w:szCs w:val="18"/>
                <w:color w:val="auto"/>
              </w:rPr>
            </w:pPr>
          </w:p>
        </w:tc>
        <w:tc>
          <w:tcPr>
            <w:tcW w:w="1100" w:type="dxa"/>
            <w:vAlign w:val="bottom"/>
          </w:tcPr>
          <w:p>
            <w:pPr>
              <w:jc w:val="right"/>
              <w:ind w:right="71"/>
              <w:spacing w:after="0"/>
              <w:rPr>
                <w:sz w:val="20"/>
                <w:szCs w:val="20"/>
                <w:color w:val="auto"/>
              </w:rPr>
            </w:pPr>
            <w:r>
              <w:rPr>
                <w:rFonts w:ascii="Arial" w:cs="Arial" w:eastAsia="Arial" w:hAnsi="Arial"/>
                <w:sz w:val="18"/>
                <w:szCs w:val="18"/>
                <w:color w:val="auto"/>
              </w:rPr>
              <w:t>255,510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jc w:val="right"/>
              <w:ind w:right="71"/>
              <w:spacing w:after="0"/>
              <w:rPr>
                <w:sz w:val="20"/>
                <w:szCs w:val="20"/>
                <w:color w:val="auto"/>
              </w:rPr>
            </w:pPr>
            <w:r>
              <w:rPr>
                <w:rFonts w:ascii="Arial" w:cs="Arial" w:eastAsia="Arial" w:hAnsi="Arial"/>
                <w:sz w:val="18"/>
                <w:szCs w:val="18"/>
                <w:color w:val="auto"/>
              </w:rPr>
              <w:t>261,406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right"/>
              <w:ind w:right="71"/>
              <w:spacing w:after="0"/>
              <w:rPr>
                <w:sz w:val="20"/>
                <w:szCs w:val="20"/>
                <w:color w:val="auto"/>
              </w:rPr>
            </w:pPr>
            <w:r>
              <w:rPr>
                <w:rFonts w:ascii="Arial" w:cs="Arial" w:eastAsia="Arial" w:hAnsi="Arial"/>
                <w:sz w:val="18"/>
                <w:szCs w:val="18"/>
                <w:color w:val="auto"/>
              </w:rPr>
              <w:t>258,916</w:t>
            </w:r>
          </w:p>
        </w:tc>
        <w:tc>
          <w:tcPr>
            <w:tcW w:w="0" w:type="dxa"/>
            <w:vAlign w:val="bottom"/>
          </w:tcPr>
          <w:p>
            <w:pPr>
              <w:spacing w:after="0"/>
              <w:rPr>
                <w:sz w:val="1"/>
                <w:szCs w:val="1"/>
                <w:color w:val="auto"/>
              </w:rPr>
            </w:pPr>
          </w:p>
        </w:tc>
      </w:tr>
      <w:tr>
        <w:trPr>
          <w:trHeight w:val="214"/>
        </w:trPr>
        <w:tc>
          <w:tcPr>
            <w:tcW w:w="6780" w:type="dxa"/>
            <w:vAlign w:val="bottom"/>
          </w:tcPr>
          <w:p>
            <w:pPr>
              <w:ind w:left="580"/>
              <w:spacing w:after="0"/>
              <w:rPr>
                <w:sz w:val="20"/>
                <w:szCs w:val="20"/>
                <w:color w:val="auto"/>
              </w:rPr>
            </w:pPr>
            <w:r>
              <w:rPr>
                <w:rFonts w:ascii="Arial" w:cs="Arial" w:eastAsia="Arial" w:hAnsi="Arial"/>
                <w:sz w:val="18"/>
                <w:szCs w:val="18"/>
                <w:color w:val="auto"/>
              </w:rPr>
              <w:t>East Tennessee</w:t>
            </w:r>
          </w:p>
        </w:tc>
        <w:tc>
          <w:tcPr>
            <w:tcW w:w="160" w:type="dxa"/>
            <w:vAlign w:val="bottom"/>
          </w:tcPr>
          <w:p>
            <w:pPr>
              <w:spacing w:after="0"/>
              <w:rPr>
                <w:sz w:val="18"/>
                <w:szCs w:val="18"/>
                <w:color w:val="auto"/>
              </w:rPr>
            </w:pPr>
          </w:p>
        </w:tc>
        <w:tc>
          <w:tcPr>
            <w:tcW w:w="1100" w:type="dxa"/>
            <w:vAlign w:val="bottom"/>
          </w:tcPr>
          <w:p>
            <w:pPr>
              <w:jc w:val="right"/>
              <w:ind w:right="71"/>
              <w:spacing w:after="0"/>
              <w:rPr>
                <w:sz w:val="20"/>
                <w:szCs w:val="20"/>
                <w:color w:val="auto"/>
              </w:rPr>
            </w:pPr>
            <w:r>
              <w:rPr>
                <w:rFonts w:ascii="Arial" w:cs="Arial" w:eastAsia="Arial" w:hAnsi="Arial"/>
                <w:sz w:val="18"/>
                <w:szCs w:val="18"/>
                <w:color w:val="auto"/>
              </w:rPr>
              <w:t>282,860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jc w:val="right"/>
              <w:ind w:right="71"/>
              <w:spacing w:after="0"/>
              <w:rPr>
                <w:sz w:val="20"/>
                <w:szCs w:val="20"/>
                <w:color w:val="auto"/>
              </w:rPr>
            </w:pPr>
            <w:r>
              <w:rPr>
                <w:rFonts w:ascii="Arial" w:cs="Arial" w:eastAsia="Arial" w:hAnsi="Arial"/>
                <w:sz w:val="18"/>
                <w:szCs w:val="18"/>
                <w:color w:val="auto"/>
              </w:rPr>
              <w:t>282,863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right"/>
              <w:ind w:right="71"/>
              <w:spacing w:after="0"/>
              <w:rPr>
                <w:sz w:val="20"/>
                <w:szCs w:val="20"/>
                <w:color w:val="auto"/>
              </w:rPr>
            </w:pPr>
            <w:r>
              <w:rPr>
                <w:rFonts w:ascii="Arial" w:cs="Arial" w:eastAsia="Arial" w:hAnsi="Arial"/>
                <w:sz w:val="18"/>
                <w:szCs w:val="18"/>
                <w:color w:val="auto"/>
              </w:rPr>
              <w:t>275,554</w:t>
            </w:r>
          </w:p>
        </w:tc>
        <w:tc>
          <w:tcPr>
            <w:tcW w:w="0" w:type="dxa"/>
            <w:vAlign w:val="bottom"/>
          </w:tcPr>
          <w:p>
            <w:pPr>
              <w:spacing w:after="0"/>
              <w:rPr>
                <w:sz w:val="1"/>
                <w:szCs w:val="1"/>
                <w:color w:val="auto"/>
              </w:rPr>
            </w:pPr>
          </w:p>
        </w:tc>
      </w:tr>
      <w:tr>
        <w:trPr>
          <w:trHeight w:val="214"/>
        </w:trPr>
        <w:tc>
          <w:tcPr>
            <w:tcW w:w="6780" w:type="dxa"/>
            <w:vAlign w:val="bottom"/>
          </w:tcPr>
          <w:p>
            <w:pPr>
              <w:ind w:left="580"/>
              <w:spacing w:after="0"/>
              <w:rPr>
                <w:sz w:val="20"/>
                <w:szCs w:val="20"/>
                <w:color w:val="auto"/>
              </w:rPr>
            </w:pPr>
            <w:r>
              <w:rPr>
                <w:rFonts w:ascii="Arial" w:cs="Arial" w:eastAsia="Arial" w:hAnsi="Arial"/>
                <w:sz w:val="18"/>
                <w:szCs w:val="18"/>
                <w:color w:val="auto"/>
              </w:rPr>
              <w:t>South Carolina</w:t>
            </w:r>
          </w:p>
        </w:tc>
        <w:tc>
          <w:tcPr>
            <w:tcW w:w="160" w:type="dxa"/>
            <w:vAlign w:val="bottom"/>
          </w:tcPr>
          <w:p>
            <w:pPr>
              <w:spacing w:after="0"/>
              <w:rPr>
                <w:sz w:val="18"/>
                <w:szCs w:val="18"/>
                <w:color w:val="auto"/>
              </w:rPr>
            </w:pPr>
          </w:p>
        </w:tc>
        <w:tc>
          <w:tcPr>
            <w:tcW w:w="1100" w:type="dxa"/>
            <w:vAlign w:val="bottom"/>
          </w:tcPr>
          <w:p>
            <w:pPr>
              <w:jc w:val="right"/>
              <w:ind w:right="71"/>
              <w:spacing w:after="0"/>
              <w:rPr>
                <w:sz w:val="20"/>
                <w:szCs w:val="20"/>
                <w:color w:val="auto"/>
              </w:rPr>
            </w:pPr>
            <w:r>
              <w:rPr>
                <w:rFonts w:ascii="Arial" w:cs="Arial" w:eastAsia="Arial" w:hAnsi="Arial"/>
                <w:sz w:val="18"/>
                <w:szCs w:val="18"/>
                <w:color w:val="auto"/>
              </w:rPr>
              <w:t>33,720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5"/>
        </w:trPr>
        <w:tc>
          <w:tcPr>
            <w:tcW w:w="6780" w:type="dxa"/>
            <w:vAlign w:val="bottom"/>
          </w:tcPr>
          <w:p>
            <w:pPr>
              <w:ind w:left="580"/>
              <w:spacing w:after="0"/>
              <w:rPr>
                <w:sz w:val="20"/>
                <w:szCs w:val="20"/>
                <w:color w:val="auto"/>
              </w:rPr>
            </w:pPr>
            <w:r>
              <w:rPr>
                <w:rFonts w:ascii="Arial" w:cs="Arial" w:eastAsia="Arial" w:hAnsi="Arial"/>
                <w:sz w:val="18"/>
                <w:szCs w:val="18"/>
                <w:color w:val="auto"/>
              </w:rPr>
              <w:t>Other (indirect auto)</w:t>
            </w:r>
          </w:p>
        </w:tc>
        <w:tc>
          <w:tcPr>
            <w:tcW w:w="1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152,210</w:t>
            </w: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38,439</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9,822</w:t>
            </w:r>
          </w:p>
        </w:tc>
        <w:tc>
          <w:tcPr>
            <w:tcW w:w="0" w:type="dxa"/>
            <w:vAlign w:val="bottom"/>
          </w:tcPr>
          <w:p>
            <w:pPr>
              <w:spacing w:after="0"/>
              <w:rPr>
                <w:sz w:val="1"/>
                <w:szCs w:val="1"/>
                <w:color w:val="auto"/>
              </w:rPr>
            </w:pPr>
          </w:p>
        </w:tc>
      </w:tr>
      <w:tr>
        <w:trPr>
          <w:trHeight w:val="214"/>
        </w:trPr>
        <w:tc>
          <w:tcPr>
            <w:tcW w:w="6780" w:type="dxa"/>
            <w:vAlign w:val="bottom"/>
          </w:tcPr>
          <w:p>
            <w:pPr>
              <w:ind w:left="660"/>
              <w:spacing w:after="0"/>
              <w:rPr>
                <w:sz w:val="20"/>
                <w:szCs w:val="20"/>
                <w:color w:val="auto"/>
              </w:rPr>
            </w:pPr>
            <w:r>
              <w:rPr>
                <w:rFonts w:ascii="Arial" w:cs="Arial" w:eastAsia="Arial" w:hAnsi="Arial"/>
                <w:sz w:val="18"/>
                <w:szCs w:val="18"/>
                <w:color w:val="auto"/>
              </w:rPr>
              <w:t>Total loans</w:t>
            </w: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4,189,368</w:t>
            </w:r>
          </w:p>
        </w:tc>
        <w:tc>
          <w:tcPr>
            <w:tcW w:w="80" w:type="dxa"/>
            <w:vAlign w:val="bottom"/>
          </w:tcPr>
          <w:p>
            <w:pPr>
              <w:spacing w:after="0"/>
              <w:rPr>
                <w:sz w:val="18"/>
                <w:szCs w:val="18"/>
                <w:color w:val="auto"/>
              </w:rPr>
            </w:pPr>
          </w:p>
        </w:tc>
        <w:tc>
          <w:tcPr>
            <w:tcW w:w="24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4,175,008</w:t>
            </w:r>
          </w:p>
        </w:tc>
        <w:tc>
          <w:tcPr>
            <w:tcW w:w="120" w:type="dxa"/>
            <w:vAlign w:val="bottom"/>
          </w:tcPr>
          <w:p>
            <w:pPr>
              <w:spacing w:after="0"/>
              <w:rPr>
                <w:sz w:val="18"/>
                <w:szCs w:val="18"/>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4,119,235</w:t>
            </w:r>
          </w:p>
        </w:tc>
        <w:tc>
          <w:tcPr>
            <w:tcW w:w="0" w:type="dxa"/>
            <w:vAlign w:val="bottom"/>
          </w:tcPr>
          <w:p>
            <w:pPr>
              <w:spacing w:after="0"/>
              <w:rPr>
                <w:sz w:val="1"/>
                <w:szCs w:val="1"/>
                <w:color w:val="auto"/>
              </w:rPr>
            </w:pPr>
          </w:p>
        </w:tc>
      </w:tr>
      <w:tr>
        <w:trPr>
          <w:trHeight w:val="20"/>
        </w:trPr>
        <w:tc>
          <w:tcPr>
            <w:tcW w:w="67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Substantially all of United’s loans are to customers located in the immediate market areas of its community banks in Georgia, North Carolina, Tennessee and South Carolina, including customers who have a seasonal residence in United’s market areas. More than 80% of the loans are secured by real estate. At June 30, 2013, total loans, excluding loans acquired from SCB that are covered by loss sharing agreements with the FDIC, were $4.19 billion, an increase of $70 million, or 2%, from June 30, 2012. Despite the weak economy and lack of loan demand, United has continued to pursue lending opportunities. The increase from a year ago in residential mortgage reflects a successful home equity line promotion that has gained traction in United’s footprint and a new low closing cost mortgage product that began being offered early in the first quarter of 2013. The increase in consumer installment loans reflects purchases of approximately $156 million in indirect auto loans over the last four quarters.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13970</wp:posOffset>
            </wp:positionV>
            <wp:extent cx="724789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7890" cy="8255"/>
                    </a:xfrm>
                    <a:prstGeom prst="rect">
                      <a:avLst/>
                    </a:prstGeom>
                    <a:noFill/>
                  </pic:spPr>
                </pic:pic>
              </a:graphicData>
            </a:graphic>
          </wp:anchor>
        </w:drawing>
      </w:r>
    </w:p>
    <w:p>
      <w:pPr>
        <w:sectPr>
          <w:pgSz w:w="11900" w:h="16838" w:orient="portrait"/>
          <w:cols w:equalWidth="0" w:num="1">
            <w:col w:w="11420"/>
          </w:cols>
          <w:pgMar w:left="240" w:top="885" w:right="239" w:bottom="1440" w:gutter="0" w:footer="0" w:header="0"/>
        </w:sectPr>
      </w:pPr>
    </w:p>
    <w:bookmarkStart w:id="55" w:name="page56"/>
    <w:bookmarkEnd w:id="55"/>
    <w:p>
      <w:pPr>
        <w:spacing w:after="0"/>
        <w:rPr>
          <w:sz w:val="20"/>
          <w:szCs w:val="20"/>
          <w:color w:val="auto"/>
        </w:rPr>
      </w:pPr>
      <w:r>
        <w:rPr>
          <w:rFonts w:ascii="Arial" w:cs="Arial" w:eastAsia="Arial" w:hAnsi="Arial"/>
          <w:sz w:val="18"/>
          <w:szCs w:val="18"/>
          <w:b w:val="1"/>
          <w:bCs w:val="1"/>
          <w:i w:val="1"/>
          <w:iCs w:val="1"/>
          <w:color w:val="auto"/>
        </w:rPr>
        <w:t>Asset Quality and Risk Elements</w:t>
      </w:r>
    </w:p>
    <w:p>
      <w:pPr>
        <w:spacing w:after="0" w:line="24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United manages asset quality and controls credit risk through review and oversight of the loan portfolio as well as adherence to policies designed to promote sound underwriting and loan monitoring practices. United’s credit administration function is responsible for monitoring asset quality and Board-approved portfolio limits, establishing credit policies and procedures and enforcing the consistent application of these policies and procedures among all of the community banks. Additional information on the credit administration function is included in Item 1 under the heading </w:t>
      </w:r>
      <w:r>
        <w:rPr>
          <w:rFonts w:ascii="Arial" w:cs="Arial" w:eastAsia="Arial" w:hAnsi="Arial"/>
          <w:sz w:val="18"/>
          <w:szCs w:val="18"/>
          <w:i w:val="1"/>
          <w:iCs w:val="1"/>
          <w:color w:val="auto"/>
        </w:rPr>
        <w:t>Loan Review and Non-performing</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Assets </w:t>
      </w:r>
      <w:r>
        <w:rPr>
          <w:rFonts w:ascii="Arial" w:cs="Arial" w:eastAsia="Arial" w:hAnsi="Arial"/>
          <w:sz w:val="18"/>
          <w:szCs w:val="18"/>
          <w:color w:val="auto"/>
        </w:rPr>
        <w:t>in United’s Annual Report on Form 10-K for the year ended December 31, 2012.</w:t>
      </w:r>
    </w:p>
    <w:p>
      <w:pPr>
        <w:spacing w:after="0" w:line="218"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United classifies performing loans as “substandard” when there are well-defined weaknesses that jeopardize the repayment by the borrower and there is a distinct possibility that United could sustain some loss if the deficiency is not corrected.</w:t>
      </w:r>
    </w:p>
    <w:p>
      <w:pPr>
        <w:spacing w:after="0" w:line="202" w:lineRule="exact"/>
        <w:rPr>
          <w:sz w:val="20"/>
          <w:szCs w:val="20"/>
          <w:color w:val="auto"/>
        </w:rPr>
      </w:pPr>
    </w:p>
    <w:p>
      <w:pPr>
        <w:jc w:val="both"/>
        <w:spacing w:after="0" w:line="282" w:lineRule="auto"/>
        <w:rPr>
          <w:sz w:val="20"/>
          <w:szCs w:val="20"/>
          <w:color w:val="auto"/>
        </w:rPr>
      </w:pPr>
      <w:r>
        <w:rPr>
          <w:rFonts w:ascii="Arial" w:cs="Arial" w:eastAsia="Arial" w:hAnsi="Arial"/>
          <w:sz w:val="17"/>
          <w:szCs w:val="17"/>
          <w:color w:val="auto"/>
        </w:rPr>
        <w:t>United’s home equity lines, which are a component of the residential mortgage portfolio, generally require the payment of interest only for a set period after origination. After this initial period, the outstanding balance begins amortizing and requires the payment of both principal and interest. At June 30, 2013, December 31, 2012 and June 30, 2012, the funded portion of home equity lines totaled $402 million, $385 million, and $294 million, respectively.</w:t>
      </w:r>
    </w:p>
    <w:p>
      <w:pPr>
        <w:spacing w:after="0" w:line="195"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Approximately 3% of the home equity loans at June 30, 2013 were amortizing. Of the $401 million in balances outstanding at June 30, 2013, $251 million, or 63%, were first liens. The balance at June 30, 2013 represents 62% of the total committed lines.</w:t>
      </w:r>
    </w:p>
    <w:p>
      <w:pPr>
        <w:spacing w:after="0" w:line="202"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United monitors the performance of its home equity loans and lines secured by second liens similar to other consumer loans and utilizes assumptions specific to these loans in determining the necessary allowance. United also receives notification when the first lien holder is in the process of foreclosure and upon that notification, United obtains valuations to determine if any additional charge-offs or reserves are warranted.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presents performing substandard loans for the last five quarters.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8 - Performing Substandard Loans</w:t>
      </w:r>
    </w:p>
    <w:p>
      <w:pPr>
        <w:spacing w:after="0" w:line="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(dollars in thousands)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4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ind w:right="291"/>
              <w:spacing w:after="0"/>
              <w:rPr>
                <w:sz w:val="20"/>
                <w:szCs w:val="20"/>
                <w:color w:val="auto"/>
              </w:rPr>
            </w:pPr>
            <w:r>
              <w:rPr>
                <w:rFonts w:ascii="Arial" w:cs="Arial" w:eastAsia="Arial" w:hAnsi="Arial"/>
                <w:sz w:val="18"/>
                <w:szCs w:val="18"/>
                <w:b w:val="1"/>
                <w:bCs w:val="1"/>
                <w:color w:val="auto"/>
                <w:w w:val="97"/>
              </w:rPr>
              <w:t>June 30,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ind w:right="211"/>
              <w:spacing w:after="0"/>
              <w:rPr>
                <w:sz w:val="20"/>
                <w:szCs w:val="20"/>
                <w:color w:val="auto"/>
              </w:rPr>
            </w:pPr>
            <w:r>
              <w:rPr>
                <w:rFonts w:ascii="Arial" w:cs="Arial" w:eastAsia="Arial" w:hAnsi="Arial"/>
                <w:sz w:val="18"/>
                <w:szCs w:val="18"/>
                <w:b w:val="1"/>
                <w:bCs w:val="1"/>
                <w:color w:val="auto"/>
                <w:w w:val="98"/>
              </w:rPr>
              <w:t>March 31,</w:t>
            </w:r>
          </w:p>
        </w:tc>
        <w:tc>
          <w:tcPr>
            <w:tcW w:w="120" w:type="dxa"/>
            <w:vAlign w:val="bottom"/>
          </w:tcPr>
          <w:p>
            <w:pPr>
              <w:spacing w:after="0"/>
              <w:rPr>
                <w:sz w:val="18"/>
                <w:szCs w:val="18"/>
                <w:color w:val="auto"/>
              </w:rPr>
            </w:pPr>
          </w:p>
        </w:tc>
        <w:tc>
          <w:tcPr>
            <w:tcW w:w="1260" w:type="dxa"/>
            <w:vAlign w:val="bottom"/>
            <w:gridSpan w:val="2"/>
          </w:tcPr>
          <w:p>
            <w:pPr>
              <w:jc w:val="right"/>
              <w:ind w:right="71"/>
              <w:spacing w:after="0"/>
              <w:rPr>
                <w:sz w:val="20"/>
                <w:szCs w:val="20"/>
                <w:color w:val="auto"/>
              </w:rPr>
            </w:pPr>
            <w:r>
              <w:rPr>
                <w:rFonts w:ascii="Arial" w:cs="Arial" w:eastAsia="Arial" w:hAnsi="Arial"/>
                <w:sz w:val="18"/>
                <w:szCs w:val="18"/>
                <w:b w:val="1"/>
                <w:bCs w:val="1"/>
                <w:color w:val="auto"/>
                <w:w w:val="92"/>
              </w:rPr>
              <w:t>December 31,</w:t>
            </w:r>
          </w:p>
        </w:tc>
        <w:tc>
          <w:tcPr>
            <w:tcW w:w="100" w:type="dxa"/>
            <w:vAlign w:val="bottom"/>
          </w:tcPr>
          <w:p>
            <w:pPr>
              <w:spacing w:after="0"/>
              <w:rPr>
                <w:sz w:val="18"/>
                <w:szCs w:val="18"/>
                <w:color w:val="auto"/>
              </w:rPr>
            </w:pPr>
          </w:p>
        </w:tc>
        <w:tc>
          <w:tcPr>
            <w:tcW w:w="1240" w:type="dxa"/>
            <w:vAlign w:val="bottom"/>
            <w:gridSpan w:val="2"/>
          </w:tcPr>
          <w:p>
            <w:pPr>
              <w:ind w:left="20"/>
              <w:spacing w:after="0"/>
              <w:rPr>
                <w:sz w:val="20"/>
                <w:szCs w:val="20"/>
                <w:color w:val="auto"/>
              </w:rPr>
            </w:pPr>
            <w:r>
              <w:rPr>
                <w:rFonts w:ascii="Arial" w:cs="Arial" w:eastAsia="Arial" w:hAnsi="Arial"/>
                <w:sz w:val="18"/>
                <w:szCs w:val="18"/>
                <w:b w:val="1"/>
                <w:bCs w:val="1"/>
                <w:color w:val="auto"/>
                <w:w w:val="97"/>
              </w:rPr>
              <w:t>September 30,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ind w:right="271"/>
              <w:spacing w:after="0"/>
              <w:rPr>
                <w:sz w:val="20"/>
                <w:szCs w:val="20"/>
                <w:color w:val="auto"/>
              </w:rPr>
            </w:pPr>
            <w:r>
              <w:rPr>
                <w:rFonts w:ascii="Arial" w:cs="Arial" w:eastAsia="Arial" w:hAnsi="Arial"/>
                <w:sz w:val="18"/>
                <w:szCs w:val="18"/>
                <w:b w:val="1"/>
                <w:bCs w:val="1"/>
                <w:color w:val="auto"/>
                <w:w w:val="94"/>
              </w:rPr>
              <w:t>June 30,</w:t>
            </w:r>
          </w:p>
        </w:tc>
        <w:tc>
          <w:tcPr>
            <w:tcW w:w="0" w:type="dxa"/>
            <w:vAlign w:val="bottom"/>
          </w:tcPr>
          <w:p>
            <w:pPr>
              <w:spacing w:after="0"/>
              <w:rPr>
                <w:sz w:val="1"/>
                <w:szCs w:val="1"/>
                <w:color w:val="auto"/>
              </w:rPr>
            </w:pPr>
          </w:p>
        </w:tc>
      </w:tr>
      <w:tr>
        <w:trPr>
          <w:trHeight w:val="239"/>
        </w:trPr>
        <w:tc>
          <w:tcPr>
            <w:tcW w:w="4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11"/>
              <w:spacing w:after="0"/>
              <w:rPr>
                <w:sz w:val="20"/>
                <w:szCs w:val="20"/>
                <w:color w:val="auto"/>
              </w:rPr>
            </w:pPr>
            <w:r>
              <w:rPr>
                <w:rFonts w:ascii="Arial" w:cs="Arial" w:eastAsia="Arial" w:hAnsi="Arial"/>
                <w:sz w:val="18"/>
                <w:szCs w:val="18"/>
                <w:b w:val="1"/>
                <w:bCs w:val="1"/>
                <w:color w:val="auto"/>
              </w:rPr>
              <w:t>2013</w:t>
            </w: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31"/>
              <w:spacing w:after="0"/>
              <w:rPr>
                <w:sz w:val="20"/>
                <w:szCs w:val="20"/>
                <w:color w:val="auto"/>
              </w:rPr>
            </w:pPr>
            <w:r>
              <w:rPr>
                <w:rFonts w:ascii="Arial" w:cs="Arial" w:eastAsia="Arial" w:hAnsi="Arial"/>
                <w:sz w:val="18"/>
                <w:szCs w:val="18"/>
                <w:b w:val="1"/>
                <w:bCs w:val="1"/>
                <w:color w:val="auto"/>
              </w:rPr>
              <w:t>2013</w:t>
            </w: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411"/>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91"/>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11"/>
              <w:spacing w:after="0"/>
              <w:rPr>
                <w:sz w:val="20"/>
                <w:szCs w:val="20"/>
                <w:color w:val="auto"/>
              </w:rPr>
            </w:pPr>
            <w:r>
              <w:rPr>
                <w:rFonts w:ascii="Arial" w:cs="Arial" w:eastAsia="Arial" w:hAnsi="Arial"/>
                <w:sz w:val="18"/>
                <w:szCs w:val="18"/>
                <w:b w:val="1"/>
                <w:bCs w:val="1"/>
                <w:color w:val="auto"/>
              </w:rPr>
              <w:t>2012</w:t>
            </w:r>
          </w:p>
        </w:tc>
        <w:tc>
          <w:tcPr>
            <w:tcW w:w="0" w:type="dxa"/>
            <w:vAlign w:val="bottom"/>
          </w:tcPr>
          <w:p>
            <w:pPr>
              <w:spacing w:after="0"/>
              <w:rPr>
                <w:sz w:val="1"/>
                <w:szCs w:val="1"/>
                <w:color w:val="auto"/>
              </w:rPr>
            </w:pPr>
          </w:p>
        </w:tc>
      </w:tr>
      <w:tr>
        <w:trPr>
          <w:trHeight w:val="200"/>
        </w:trPr>
        <w:tc>
          <w:tcPr>
            <w:tcW w:w="4700" w:type="dxa"/>
            <w:vAlign w:val="bottom"/>
          </w:tcPr>
          <w:p>
            <w:pPr>
              <w:spacing w:after="0" w:line="200" w:lineRule="exact"/>
              <w:rPr>
                <w:sz w:val="20"/>
                <w:szCs w:val="20"/>
                <w:color w:val="auto"/>
              </w:rPr>
            </w:pPr>
            <w:r>
              <w:rPr>
                <w:rFonts w:ascii="Arial" w:cs="Arial" w:eastAsia="Arial" w:hAnsi="Arial"/>
                <w:sz w:val="18"/>
                <w:szCs w:val="18"/>
                <w:b w:val="1"/>
                <w:bCs w:val="1"/>
                <w:color w:val="auto"/>
              </w:rPr>
              <w:t>By Category</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4700" w:type="dxa"/>
            <w:vAlign w:val="bottom"/>
          </w:tcPr>
          <w:p>
            <w:pPr>
              <w:spacing w:after="0"/>
              <w:rPr>
                <w:sz w:val="20"/>
                <w:szCs w:val="20"/>
                <w:color w:val="auto"/>
              </w:rPr>
            </w:pPr>
            <w:r>
              <w:rPr>
                <w:rFonts w:ascii="Arial" w:cs="Arial" w:eastAsia="Arial" w:hAnsi="Arial"/>
                <w:sz w:val="18"/>
                <w:szCs w:val="18"/>
                <w:color w:val="auto"/>
              </w:rPr>
              <w:t>Commercial (secured by real estate)</w:t>
            </w:r>
          </w:p>
        </w:tc>
        <w:tc>
          <w:tcPr>
            <w:tcW w:w="160" w:type="dxa"/>
            <w:vAlign w:val="bottom"/>
            <w:gridSpan w:val="2"/>
          </w:tcPr>
          <w:p>
            <w:pPr>
              <w:jc w:val="right"/>
              <w:ind w:right="30"/>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78,750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128,120</w:t>
            </w:r>
          </w:p>
        </w:tc>
        <w:tc>
          <w:tcPr>
            <w:tcW w:w="360" w:type="dxa"/>
            <w:vAlign w:val="bottom"/>
            <w:gridSpan w:val="2"/>
          </w:tcPr>
          <w:p>
            <w:pPr>
              <w:jc w:val="right"/>
              <w:ind w:right="51"/>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117,543</w:t>
            </w:r>
          </w:p>
        </w:tc>
        <w:tc>
          <w:tcPr>
            <w:tcW w:w="3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126,332</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148,418</w:t>
            </w:r>
          </w:p>
        </w:tc>
        <w:tc>
          <w:tcPr>
            <w:tcW w:w="0" w:type="dxa"/>
            <w:vAlign w:val="bottom"/>
          </w:tcPr>
          <w:p>
            <w:pPr>
              <w:spacing w:after="0"/>
              <w:rPr>
                <w:sz w:val="1"/>
                <w:szCs w:val="1"/>
                <w:color w:val="auto"/>
              </w:rPr>
            </w:pPr>
          </w:p>
        </w:tc>
      </w:tr>
      <w:tr>
        <w:trPr>
          <w:trHeight w:val="214"/>
        </w:trPr>
        <w:tc>
          <w:tcPr>
            <w:tcW w:w="4700" w:type="dxa"/>
            <w:vAlign w:val="bottom"/>
          </w:tcPr>
          <w:p>
            <w:pPr>
              <w:spacing w:after="0"/>
              <w:rPr>
                <w:sz w:val="20"/>
                <w:szCs w:val="20"/>
                <w:color w:val="auto"/>
              </w:rPr>
            </w:pPr>
            <w:r>
              <w:rPr>
                <w:rFonts w:ascii="Arial" w:cs="Arial" w:eastAsia="Arial" w:hAnsi="Arial"/>
                <w:sz w:val="18"/>
                <w:szCs w:val="18"/>
                <w:color w:val="auto"/>
              </w:rPr>
              <w:t>Commercial &amp; industrial</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11,458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20,320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18,477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18,740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15,916</w:t>
            </w:r>
          </w:p>
        </w:tc>
        <w:tc>
          <w:tcPr>
            <w:tcW w:w="0" w:type="dxa"/>
            <w:vAlign w:val="bottom"/>
          </w:tcPr>
          <w:p>
            <w:pPr>
              <w:spacing w:after="0"/>
              <w:rPr>
                <w:sz w:val="1"/>
                <w:szCs w:val="1"/>
                <w:color w:val="auto"/>
              </w:rPr>
            </w:pPr>
          </w:p>
        </w:tc>
      </w:tr>
      <w:tr>
        <w:trPr>
          <w:trHeight w:val="235"/>
        </w:trPr>
        <w:tc>
          <w:tcPr>
            <w:tcW w:w="4700" w:type="dxa"/>
            <w:vAlign w:val="bottom"/>
          </w:tcPr>
          <w:p>
            <w:pPr>
              <w:spacing w:after="0"/>
              <w:rPr>
                <w:sz w:val="20"/>
                <w:szCs w:val="20"/>
                <w:color w:val="auto"/>
              </w:rPr>
            </w:pPr>
            <w:r>
              <w:rPr>
                <w:rFonts w:ascii="Arial" w:cs="Arial" w:eastAsia="Arial" w:hAnsi="Arial"/>
                <w:sz w:val="18"/>
                <w:szCs w:val="18"/>
                <w:color w:val="auto"/>
              </w:rPr>
              <w:t>Commercial construction</w:t>
            </w:r>
          </w:p>
        </w:tc>
        <w:tc>
          <w:tcPr>
            <w:tcW w:w="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15,766</w:t>
            </w: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18,462</w:t>
            </w: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19,285</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27,180</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37,876</w:t>
            </w:r>
          </w:p>
        </w:tc>
        <w:tc>
          <w:tcPr>
            <w:tcW w:w="0" w:type="dxa"/>
            <w:vAlign w:val="bottom"/>
          </w:tcPr>
          <w:p>
            <w:pPr>
              <w:spacing w:after="0"/>
              <w:rPr>
                <w:sz w:val="1"/>
                <w:szCs w:val="1"/>
                <w:color w:val="auto"/>
              </w:rPr>
            </w:pPr>
          </w:p>
        </w:tc>
      </w:tr>
      <w:tr>
        <w:trPr>
          <w:trHeight w:val="200"/>
        </w:trPr>
        <w:tc>
          <w:tcPr>
            <w:tcW w:w="4700" w:type="dxa"/>
            <w:vAlign w:val="bottom"/>
          </w:tcPr>
          <w:p>
            <w:pPr>
              <w:ind w:left="440"/>
              <w:spacing w:after="0" w:line="200" w:lineRule="exact"/>
              <w:rPr>
                <w:sz w:val="20"/>
                <w:szCs w:val="20"/>
                <w:color w:val="auto"/>
              </w:rPr>
            </w:pPr>
            <w:r>
              <w:rPr>
                <w:rFonts w:ascii="Arial" w:cs="Arial" w:eastAsia="Arial" w:hAnsi="Arial"/>
                <w:sz w:val="18"/>
                <w:szCs w:val="18"/>
                <w:color w:val="auto"/>
              </w:rPr>
              <w:t>Total commercial</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jc w:val="right"/>
              <w:ind w:right="31"/>
              <w:spacing w:after="0" w:line="200" w:lineRule="exact"/>
              <w:rPr>
                <w:sz w:val="20"/>
                <w:szCs w:val="20"/>
                <w:color w:val="auto"/>
              </w:rPr>
            </w:pPr>
            <w:r>
              <w:rPr>
                <w:rFonts w:ascii="Arial" w:cs="Arial" w:eastAsia="Arial" w:hAnsi="Arial"/>
                <w:sz w:val="18"/>
                <w:szCs w:val="18"/>
                <w:color w:val="auto"/>
              </w:rPr>
              <w:t>105,974</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jc w:val="right"/>
              <w:ind w:right="31"/>
              <w:spacing w:after="0" w:line="200" w:lineRule="exact"/>
              <w:rPr>
                <w:sz w:val="20"/>
                <w:szCs w:val="20"/>
                <w:color w:val="auto"/>
              </w:rPr>
            </w:pPr>
            <w:r>
              <w:rPr>
                <w:rFonts w:ascii="Arial" w:cs="Arial" w:eastAsia="Arial" w:hAnsi="Arial"/>
                <w:sz w:val="18"/>
                <w:szCs w:val="18"/>
                <w:color w:val="auto"/>
              </w:rPr>
              <w:t>166,902</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jc w:val="right"/>
              <w:ind w:right="11"/>
              <w:spacing w:after="0" w:line="200" w:lineRule="exact"/>
              <w:rPr>
                <w:sz w:val="20"/>
                <w:szCs w:val="20"/>
                <w:color w:val="auto"/>
              </w:rPr>
            </w:pPr>
            <w:r>
              <w:rPr>
                <w:rFonts w:ascii="Arial" w:cs="Arial" w:eastAsia="Arial" w:hAnsi="Arial"/>
                <w:sz w:val="18"/>
                <w:szCs w:val="18"/>
                <w:color w:val="auto"/>
              </w:rPr>
              <w:t>155,305</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ind w:right="11"/>
              <w:spacing w:after="0" w:line="200" w:lineRule="exact"/>
              <w:rPr>
                <w:sz w:val="20"/>
                <w:szCs w:val="20"/>
                <w:color w:val="auto"/>
              </w:rPr>
            </w:pPr>
            <w:r>
              <w:rPr>
                <w:rFonts w:ascii="Arial" w:cs="Arial" w:eastAsia="Arial" w:hAnsi="Arial"/>
                <w:sz w:val="18"/>
                <w:szCs w:val="18"/>
                <w:color w:val="auto"/>
              </w:rPr>
              <w:t>172,252</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jc w:val="right"/>
              <w:ind w:right="11"/>
              <w:spacing w:after="0" w:line="200" w:lineRule="exact"/>
              <w:rPr>
                <w:sz w:val="20"/>
                <w:szCs w:val="20"/>
                <w:color w:val="auto"/>
              </w:rPr>
            </w:pPr>
            <w:r>
              <w:rPr>
                <w:rFonts w:ascii="Arial" w:cs="Arial" w:eastAsia="Arial" w:hAnsi="Arial"/>
                <w:sz w:val="18"/>
                <w:szCs w:val="18"/>
                <w:color w:val="auto"/>
              </w:rPr>
              <w:t>202,210</w:t>
            </w:r>
          </w:p>
        </w:tc>
        <w:tc>
          <w:tcPr>
            <w:tcW w:w="0" w:type="dxa"/>
            <w:vAlign w:val="bottom"/>
          </w:tcPr>
          <w:p>
            <w:pPr>
              <w:spacing w:after="0"/>
              <w:rPr>
                <w:sz w:val="1"/>
                <w:szCs w:val="1"/>
                <w:color w:val="auto"/>
              </w:rPr>
            </w:pPr>
          </w:p>
        </w:tc>
      </w:tr>
      <w:tr>
        <w:trPr>
          <w:trHeight w:val="214"/>
        </w:trPr>
        <w:tc>
          <w:tcPr>
            <w:tcW w:w="4700" w:type="dxa"/>
            <w:vAlign w:val="bottom"/>
          </w:tcPr>
          <w:p>
            <w:pPr>
              <w:spacing w:after="0"/>
              <w:rPr>
                <w:sz w:val="20"/>
                <w:szCs w:val="20"/>
                <w:color w:val="auto"/>
              </w:rPr>
            </w:pPr>
            <w:r>
              <w:rPr>
                <w:rFonts w:ascii="Arial" w:cs="Arial" w:eastAsia="Arial" w:hAnsi="Arial"/>
                <w:sz w:val="18"/>
                <w:szCs w:val="18"/>
                <w:color w:val="auto"/>
              </w:rPr>
              <w:t>Residential mortgage</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51,222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64,103</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65,179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72,198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73,277</w:t>
            </w:r>
          </w:p>
        </w:tc>
        <w:tc>
          <w:tcPr>
            <w:tcW w:w="0" w:type="dxa"/>
            <w:vAlign w:val="bottom"/>
          </w:tcPr>
          <w:p>
            <w:pPr>
              <w:spacing w:after="0"/>
              <w:rPr>
                <w:sz w:val="1"/>
                <w:szCs w:val="1"/>
                <w:color w:val="auto"/>
              </w:rPr>
            </w:pPr>
          </w:p>
        </w:tc>
      </w:tr>
      <w:tr>
        <w:trPr>
          <w:trHeight w:val="214"/>
        </w:trPr>
        <w:tc>
          <w:tcPr>
            <w:tcW w:w="4700" w:type="dxa"/>
            <w:vAlign w:val="bottom"/>
          </w:tcPr>
          <w:p>
            <w:pPr>
              <w:spacing w:after="0"/>
              <w:rPr>
                <w:sz w:val="20"/>
                <w:szCs w:val="20"/>
                <w:color w:val="auto"/>
              </w:rPr>
            </w:pPr>
            <w:r>
              <w:rPr>
                <w:rFonts w:ascii="Arial" w:cs="Arial" w:eastAsia="Arial" w:hAnsi="Arial"/>
                <w:sz w:val="18"/>
                <w:szCs w:val="18"/>
                <w:color w:val="auto"/>
              </w:rPr>
              <w:t>Residential construction</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16,631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37,882</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37,804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35,170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45,450</w:t>
            </w:r>
          </w:p>
        </w:tc>
        <w:tc>
          <w:tcPr>
            <w:tcW w:w="0" w:type="dxa"/>
            <w:vAlign w:val="bottom"/>
          </w:tcPr>
          <w:p>
            <w:pPr>
              <w:spacing w:after="0"/>
              <w:rPr>
                <w:sz w:val="1"/>
                <w:szCs w:val="1"/>
                <w:color w:val="auto"/>
              </w:rPr>
            </w:pPr>
          </w:p>
        </w:tc>
      </w:tr>
      <w:tr>
        <w:trPr>
          <w:trHeight w:val="235"/>
        </w:trPr>
        <w:tc>
          <w:tcPr>
            <w:tcW w:w="4700" w:type="dxa"/>
            <w:vAlign w:val="bottom"/>
          </w:tcPr>
          <w:p>
            <w:pPr>
              <w:spacing w:after="0"/>
              <w:rPr>
                <w:sz w:val="20"/>
                <w:szCs w:val="20"/>
                <w:color w:val="auto"/>
              </w:rPr>
            </w:pPr>
            <w:r>
              <w:rPr>
                <w:rFonts w:ascii="Arial" w:cs="Arial" w:eastAsia="Arial" w:hAnsi="Arial"/>
                <w:sz w:val="18"/>
                <w:szCs w:val="18"/>
                <w:color w:val="auto"/>
              </w:rPr>
              <w:t>Consumer installment</w:t>
            </w:r>
          </w:p>
        </w:tc>
        <w:tc>
          <w:tcPr>
            <w:tcW w:w="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2,505</w:t>
            </w: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2,794</w:t>
            </w: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3,653</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2,886</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2,706</w:t>
            </w:r>
          </w:p>
        </w:tc>
        <w:tc>
          <w:tcPr>
            <w:tcW w:w="0" w:type="dxa"/>
            <w:vAlign w:val="bottom"/>
          </w:tcPr>
          <w:p>
            <w:pPr>
              <w:spacing w:after="0"/>
              <w:rPr>
                <w:sz w:val="1"/>
                <w:szCs w:val="1"/>
                <w:color w:val="auto"/>
              </w:rPr>
            </w:pPr>
          </w:p>
        </w:tc>
      </w:tr>
      <w:tr>
        <w:trPr>
          <w:trHeight w:val="214"/>
        </w:trPr>
        <w:tc>
          <w:tcPr>
            <w:tcW w:w="4700" w:type="dxa"/>
            <w:vAlign w:val="bottom"/>
          </w:tcPr>
          <w:p>
            <w:pPr>
              <w:ind w:left="440"/>
              <w:spacing w:after="0"/>
              <w:rPr>
                <w:sz w:val="20"/>
                <w:szCs w:val="20"/>
                <w:color w:val="auto"/>
              </w:rPr>
            </w:pPr>
            <w:r>
              <w:rPr>
                <w:rFonts w:ascii="Arial" w:cs="Arial" w:eastAsia="Arial" w:hAnsi="Arial"/>
                <w:sz w:val="18"/>
                <w:szCs w:val="18"/>
                <w:color w:val="auto"/>
              </w:rPr>
              <w:t>Total</w:t>
            </w:r>
          </w:p>
        </w:tc>
        <w:tc>
          <w:tcPr>
            <w:tcW w:w="20" w:type="dxa"/>
            <w:vAlign w:val="bottom"/>
          </w:tcPr>
          <w:p>
            <w:pPr>
              <w:spacing w:after="0"/>
              <w:rPr>
                <w:sz w:val="18"/>
                <w:szCs w:val="18"/>
                <w:color w:val="auto"/>
              </w:rPr>
            </w:pPr>
          </w:p>
        </w:tc>
        <w:tc>
          <w:tcPr>
            <w:tcW w:w="140" w:type="dxa"/>
            <w:vAlign w:val="bottom"/>
            <w:tcBorders>
              <w:bottom w:val="single" w:sz="8" w:color="auto"/>
            </w:tcBorders>
          </w:tcPr>
          <w:p>
            <w:pPr>
              <w:jc w:val="right"/>
              <w:ind w:right="30"/>
              <w:spacing w:after="0"/>
              <w:rPr>
                <w:sz w:val="20"/>
                <w:szCs w:val="20"/>
                <w:color w:val="auto"/>
              </w:rPr>
            </w:pPr>
            <w:r>
              <w:rPr>
                <w:rFonts w:ascii="Arial" w:cs="Arial" w:eastAsia="Arial" w:hAnsi="Arial"/>
                <w:sz w:val="10"/>
                <w:szCs w:val="10"/>
                <w:color w:val="auto"/>
                <w:w w:val="71"/>
              </w:rPr>
              <w:t>$</w:t>
            </w:r>
          </w:p>
        </w:tc>
        <w:tc>
          <w:tcPr>
            <w:tcW w:w="11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176,332</w:t>
            </w:r>
          </w:p>
        </w:tc>
        <w:tc>
          <w:tcPr>
            <w:tcW w:w="1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271,681</w:t>
            </w:r>
          </w:p>
        </w:tc>
        <w:tc>
          <w:tcPr>
            <w:tcW w:w="120" w:type="dxa"/>
            <w:vAlign w:val="bottom"/>
          </w:tcPr>
          <w:p>
            <w:pPr>
              <w:spacing w:after="0"/>
              <w:rPr>
                <w:sz w:val="18"/>
                <w:szCs w:val="18"/>
                <w:color w:val="auto"/>
              </w:rPr>
            </w:pPr>
          </w:p>
        </w:tc>
        <w:tc>
          <w:tcPr>
            <w:tcW w:w="24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261,941</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282,506</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323,643</w:t>
            </w:r>
          </w:p>
        </w:tc>
        <w:tc>
          <w:tcPr>
            <w:tcW w:w="0" w:type="dxa"/>
            <w:vAlign w:val="bottom"/>
          </w:tcPr>
          <w:p>
            <w:pPr>
              <w:spacing w:after="0"/>
              <w:rPr>
                <w:sz w:val="1"/>
                <w:szCs w:val="1"/>
                <w:color w:val="auto"/>
              </w:rPr>
            </w:pPr>
          </w:p>
        </w:tc>
      </w:tr>
      <w:tr>
        <w:trPr>
          <w:trHeight w:val="20"/>
        </w:trPr>
        <w:tc>
          <w:tcPr>
            <w:tcW w:w="4700" w:type="dxa"/>
            <w:vAlign w:val="bottom"/>
            <w:vMerge w:val="restart"/>
          </w:tcPr>
          <w:p>
            <w:pPr>
              <w:spacing w:after="0"/>
              <w:rPr>
                <w:sz w:val="20"/>
                <w:szCs w:val="20"/>
                <w:color w:val="auto"/>
              </w:rPr>
            </w:pPr>
            <w:r>
              <w:rPr>
                <w:rFonts w:ascii="Arial" w:cs="Arial" w:eastAsia="Arial" w:hAnsi="Arial"/>
                <w:sz w:val="18"/>
                <w:szCs w:val="18"/>
                <w:b w:val="1"/>
                <w:bCs w:val="1"/>
                <w:color w:val="auto"/>
              </w:rPr>
              <w:t>By Market</w:t>
            </w: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08"/>
        </w:trPr>
        <w:tc>
          <w:tcPr>
            <w:tcW w:w="470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4700" w:type="dxa"/>
            <w:vAlign w:val="bottom"/>
          </w:tcPr>
          <w:p>
            <w:pPr>
              <w:spacing w:after="0"/>
              <w:rPr>
                <w:sz w:val="20"/>
                <w:szCs w:val="20"/>
                <w:color w:val="auto"/>
              </w:rPr>
            </w:pPr>
            <w:r>
              <w:rPr>
                <w:rFonts w:ascii="Arial" w:cs="Arial" w:eastAsia="Arial" w:hAnsi="Arial"/>
                <w:sz w:val="18"/>
                <w:szCs w:val="18"/>
                <w:color w:val="auto"/>
              </w:rPr>
              <w:t>North Georgia</w:t>
            </w:r>
          </w:p>
        </w:tc>
        <w:tc>
          <w:tcPr>
            <w:tcW w:w="160" w:type="dxa"/>
            <w:vAlign w:val="bottom"/>
            <w:gridSpan w:val="2"/>
          </w:tcPr>
          <w:p>
            <w:pPr>
              <w:jc w:val="right"/>
              <w:ind w:right="30"/>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68,272</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107,798</w:t>
            </w:r>
          </w:p>
        </w:tc>
        <w:tc>
          <w:tcPr>
            <w:tcW w:w="360" w:type="dxa"/>
            <w:vAlign w:val="bottom"/>
            <w:gridSpan w:val="2"/>
          </w:tcPr>
          <w:p>
            <w:pPr>
              <w:jc w:val="right"/>
              <w:ind w:right="51"/>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105,851</w:t>
            </w:r>
          </w:p>
        </w:tc>
        <w:tc>
          <w:tcPr>
            <w:tcW w:w="3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116,871</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121,358</w:t>
            </w:r>
          </w:p>
        </w:tc>
        <w:tc>
          <w:tcPr>
            <w:tcW w:w="0" w:type="dxa"/>
            <w:vAlign w:val="bottom"/>
          </w:tcPr>
          <w:p>
            <w:pPr>
              <w:spacing w:after="0"/>
              <w:rPr>
                <w:sz w:val="1"/>
                <w:szCs w:val="1"/>
                <w:color w:val="auto"/>
              </w:rPr>
            </w:pPr>
          </w:p>
        </w:tc>
      </w:tr>
      <w:tr>
        <w:trPr>
          <w:trHeight w:val="214"/>
        </w:trPr>
        <w:tc>
          <w:tcPr>
            <w:tcW w:w="4700" w:type="dxa"/>
            <w:vAlign w:val="bottom"/>
          </w:tcPr>
          <w:p>
            <w:pPr>
              <w:spacing w:after="0"/>
              <w:rPr>
                <w:sz w:val="20"/>
                <w:szCs w:val="20"/>
                <w:color w:val="auto"/>
              </w:rPr>
            </w:pPr>
            <w:r>
              <w:rPr>
                <w:rFonts w:ascii="Arial" w:cs="Arial" w:eastAsia="Arial" w:hAnsi="Arial"/>
                <w:sz w:val="18"/>
                <w:szCs w:val="18"/>
                <w:color w:val="auto"/>
              </w:rPr>
              <w:t>Atlanta MSA</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48,574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74,064</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77,630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79,242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105,647</w:t>
            </w:r>
          </w:p>
        </w:tc>
        <w:tc>
          <w:tcPr>
            <w:tcW w:w="0" w:type="dxa"/>
            <w:vAlign w:val="bottom"/>
          </w:tcPr>
          <w:p>
            <w:pPr>
              <w:spacing w:after="0"/>
              <w:rPr>
                <w:sz w:val="1"/>
                <w:szCs w:val="1"/>
                <w:color w:val="auto"/>
              </w:rPr>
            </w:pPr>
          </w:p>
        </w:tc>
      </w:tr>
      <w:tr>
        <w:trPr>
          <w:trHeight w:val="214"/>
        </w:trPr>
        <w:tc>
          <w:tcPr>
            <w:tcW w:w="4700" w:type="dxa"/>
            <w:vAlign w:val="bottom"/>
          </w:tcPr>
          <w:p>
            <w:pPr>
              <w:spacing w:after="0"/>
              <w:rPr>
                <w:sz w:val="20"/>
                <w:szCs w:val="20"/>
                <w:color w:val="auto"/>
              </w:rPr>
            </w:pPr>
            <w:r>
              <w:rPr>
                <w:rFonts w:ascii="Arial" w:cs="Arial" w:eastAsia="Arial" w:hAnsi="Arial"/>
                <w:sz w:val="18"/>
                <w:szCs w:val="18"/>
                <w:color w:val="auto"/>
              </w:rPr>
              <w:t>North Carolina</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23,440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30,391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28,657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34,998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38,049</w:t>
            </w:r>
          </w:p>
        </w:tc>
        <w:tc>
          <w:tcPr>
            <w:tcW w:w="0" w:type="dxa"/>
            <w:vAlign w:val="bottom"/>
          </w:tcPr>
          <w:p>
            <w:pPr>
              <w:spacing w:after="0"/>
              <w:rPr>
                <w:sz w:val="1"/>
                <w:szCs w:val="1"/>
                <w:color w:val="auto"/>
              </w:rPr>
            </w:pPr>
          </w:p>
        </w:tc>
      </w:tr>
      <w:tr>
        <w:trPr>
          <w:trHeight w:val="214"/>
        </w:trPr>
        <w:tc>
          <w:tcPr>
            <w:tcW w:w="4700" w:type="dxa"/>
            <w:vAlign w:val="bottom"/>
          </w:tcPr>
          <w:p>
            <w:pPr>
              <w:spacing w:after="0"/>
              <w:rPr>
                <w:sz w:val="20"/>
                <w:szCs w:val="20"/>
                <w:color w:val="auto"/>
              </w:rPr>
            </w:pPr>
            <w:r>
              <w:rPr>
                <w:rFonts w:ascii="Arial" w:cs="Arial" w:eastAsia="Arial" w:hAnsi="Arial"/>
                <w:sz w:val="18"/>
                <w:szCs w:val="18"/>
                <w:color w:val="auto"/>
              </w:rPr>
              <w:t>Coastal Georgia</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8,391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17,496</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17,421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12,998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20,164</w:t>
            </w:r>
          </w:p>
        </w:tc>
        <w:tc>
          <w:tcPr>
            <w:tcW w:w="0" w:type="dxa"/>
            <w:vAlign w:val="bottom"/>
          </w:tcPr>
          <w:p>
            <w:pPr>
              <w:spacing w:after="0"/>
              <w:rPr>
                <w:sz w:val="1"/>
                <w:szCs w:val="1"/>
                <w:color w:val="auto"/>
              </w:rPr>
            </w:pPr>
          </w:p>
        </w:tc>
      </w:tr>
      <w:tr>
        <w:trPr>
          <w:trHeight w:val="214"/>
        </w:trPr>
        <w:tc>
          <w:tcPr>
            <w:tcW w:w="4700" w:type="dxa"/>
            <w:vAlign w:val="bottom"/>
          </w:tcPr>
          <w:p>
            <w:pPr>
              <w:spacing w:after="0"/>
              <w:rPr>
                <w:sz w:val="20"/>
                <w:szCs w:val="20"/>
                <w:color w:val="auto"/>
              </w:rPr>
            </w:pPr>
            <w:r>
              <w:rPr>
                <w:rFonts w:ascii="Arial" w:cs="Arial" w:eastAsia="Arial" w:hAnsi="Arial"/>
                <w:sz w:val="18"/>
                <w:szCs w:val="18"/>
                <w:color w:val="auto"/>
              </w:rPr>
              <w:t>Gainesville MSA</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19,734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28,514</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19,251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21,219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20,524</w:t>
            </w:r>
          </w:p>
        </w:tc>
        <w:tc>
          <w:tcPr>
            <w:tcW w:w="0" w:type="dxa"/>
            <w:vAlign w:val="bottom"/>
          </w:tcPr>
          <w:p>
            <w:pPr>
              <w:spacing w:after="0"/>
              <w:rPr>
                <w:sz w:val="1"/>
                <w:szCs w:val="1"/>
                <w:color w:val="auto"/>
              </w:rPr>
            </w:pPr>
          </w:p>
        </w:tc>
      </w:tr>
      <w:tr>
        <w:trPr>
          <w:trHeight w:val="235"/>
        </w:trPr>
        <w:tc>
          <w:tcPr>
            <w:tcW w:w="4700" w:type="dxa"/>
            <w:vAlign w:val="bottom"/>
          </w:tcPr>
          <w:p>
            <w:pPr>
              <w:spacing w:after="0"/>
              <w:rPr>
                <w:sz w:val="20"/>
                <w:szCs w:val="20"/>
                <w:color w:val="auto"/>
              </w:rPr>
            </w:pPr>
            <w:r>
              <w:rPr>
                <w:rFonts w:ascii="Arial" w:cs="Arial" w:eastAsia="Arial" w:hAnsi="Arial"/>
                <w:sz w:val="18"/>
                <w:szCs w:val="18"/>
                <w:color w:val="auto"/>
              </w:rPr>
              <w:t>East Tennessee</w:t>
            </w:r>
          </w:p>
        </w:tc>
        <w:tc>
          <w:tcPr>
            <w:tcW w:w="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7,921</w:t>
            </w: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13,418</w:t>
            </w: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13,131</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17,178</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17,901</w:t>
            </w:r>
          </w:p>
        </w:tc>
        <w:tc>
          <w:tcPr>
            <w:tcW w:w="0" w:type="dxa"/>
            <w:vAlign w:val="bottom"/>
          </w:tcPr>
          <w:p>
            <w:pPr>
              <w:spacing w:after="0"/>
              <w:rPr>
                <w:sz w:val="1"/>
                <w:szCs w:val="1"/>
                <w:color w:val="auto"/>
              </w:rPr>
            </w:pPr>
          </w:p>
        </w:tc>
      </w:tr>
      <w:tr>
        <w:trPr>
          <w:trHeight w:val="214"/>
        </w:trPr>
        <w:tc>
          <w:tcPr>
            <w:tcW w:w="4700" w:type="dxa"/>
            <w:vAlign w:val="bottom"/>
          </w:tcPr>
          <w:p>
            <w:pPr>
              <w:ind w:left="100"/>
              <w:spacing w:after="0"/>
              <w:rPr>
                <w:sz w:val="20"/>
                <w:szCs w:val="20"/>
                <w:color w:val="auto"/>
              </w:rPr>
            </w:pPr>
            <w:r>
              <w:rPr>
                <w:rFonts w:ascii="Arial" w:cs="Arial" w:eastAsia="Arial" w:hAnsi="Arial"/>
                <w:sz w:val="18"/>
                <w:szCs w:val="18"/>
                <w:color w:val="auto"/>
              </w:rPr>
              <w:t>Total loans</w:t>
            </w: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jc w:val="right"/>
              <w:ind w:right="30"/>
              <w:spacing w:after="0"/>
              <w:rPr>
                <w:sz w:val="20"/>
                <w:szCs w:val="20"/>
                <w:color w:val="auto"/>
              </w:rPr>
            </w:pPr>
            <w:r>
              <w:rPr>
                <w:rFonts w:ascii="Arial" w:cs="Arial" w:eastAsia="Arial" w:hAnsi="Arial"/>
                <w:sz w:val="10"/>
                <w:szCs w:val="10"/>
                <w:color w:val="auto"/>
                <w:w w:val="71"/>
              </w:rPr>
              <w:t>$</w:t>
            </w:r>
          </w:p>
        </w:tc>
        <w:tc>
          <w:tcPr>
            <w:tcW w:w="11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176,332</w:t>
            </w:r>
          </w:p>
        </w:tc>
        <w:tc>
          <w:tcPr>
            <w:tcW w:w="1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271,681</w:t>
            </w:r>
          </w:p>
        </w:tc>
        <w:tc>
          <w:tcPr>
            <w:tcW w:w="120" w:type="dxa"/>
            <w:vAlign w:val="bottom"/>
          </w:tcPr>
          <w:p>
            <w:pPr>
              <w:spacing w:after="0"/>
              <w:rPr>
                <w:sz w:val="18"/>
                <w:szCs w:val="18"/>
                <w:color w:val="auto"/>
              </w:rPr>
            </w:pPr>
          </w:p>
        </w:tc>
        <w:tc>
          <w:tcPr>
            <w:tcW w:w="24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261,941</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282,506</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323,643</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7" w:lineRule="exact"/>
        <w:rPr>
          <w:sz w:val="20"/>
          <w:szCs w:val="20"/>
          <w:color w:val="auto"/>
        </w:rPr>
      </w:pPr>
    </w:p>
    <w:p>
      <w:pPr>
        <w:jc w:val="both"/>
        <w:spacing w:after="0" w:line="282" w:lineRule="auto"/>
        <w:rPr>
          <w:sz w:val="20"/>
          <w:szCs w:val="20"/>
          <w:color w:val="auto"/>
        </w:rPr>
      </w:pPr>
      <w:r>
        <w:rPr>
          <w:rFonts w:ascii="Arial" w:cs="Arial" w:eastAsia="Arial" w:hAnsi="Arial"/>
          <w:sz w:val="17"/>
          <w:szCs w:val="17"/>
          <w:color w:val="auto"/>
        </w:rPr>
        <w:t>At June 30, 2013, performing substandard loans totaled $176 million and decreased $95.3 million from the prior quarter-end, and decreased $147 million from a year ago. The decrease from the first quarter of 2013 and from June 30, 2012 reflects the classified loan sales and a general declining trend. Performing substandard loans had been on a downward trend as credit conditions have continued to improve and problem credits are resolved.</w:t>
      </w:r>
    </w:p>
    <w:p>
      <w:pPr>
        <w:spacing w:after="0" w:line="19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Reviews of substandard performing and non-performing loans, troubled debt restructures, past due loans and larger credits, are conducted on a quarterly basis with management and are designed to identify risk migration and potential charges to the allowance for loan losses. These reviews are presented by the responsible lending officers and specific action plans are discussed along with the financial strength of borrowers, the value of the applicable collateral, past loan loss experience, anticipated loan losses, changes in risk profile, the effect of prevailing economic conditions on the borrower along with other factors specific to the borrower and its industry. In addition to United’s internal loan review, United also uses external loan review to ensure the independence of the loan review process.</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13970</wp:posOffset>
            </wp:positionV>
            <wp:extent cx="724789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7890" cy="8255"/>
                    </a:xfrm>
                    <a:prstGeom prst="rect">
                      <a:avLst/>
                    </a:prstGeom>
                    <a:noFill/>
                  </pic:spPr>
                </pic:pic>
              </a:graphicData>
            </a:graphic>
          </wp:anchor>
        </w:drawing>
      </w:r>
    </w:p>
    <w:p>
      <w:pPr>
        <w:sectPr>
          <w:pgSz w:w="11900" w:h="16838" w:orient="portrait"/>
          <w:cols w:equalWidth="0" w:num="1">
            <w:col w:w="11420"/>
          </w:cols>
          <w:pgMar w:left="240" w:top="915" w:right="239" w:bottom="1440" w:gutter="0" w:footer="0" w:header="0"/>
        </w:sectPr>
      </w:pPr>
    </w:p>
    <w:bookmarkStart w:id="56" w:name="page57"/>
    <w:bookmarkEnd w:id="56"/>
    <w:p>
      <w:pPr>
        <w:spacing w:after="0"/>
        <w:rPr>
          <w:sz w:val="20"/>
          <w:szCs w:val="20"/>
          <w:color w:val="auto"/>
        </w:rPr>
      </w:pPr>
      <w:r>
        <w:rPr>
          <w:rFonts w:ascii="Arial" w:cs="Arial" w:eastAsia="Arial" w:hAnsi="Arial"/>
          <w:sz w:val="17"/>
          <w:szCs w:val="17"/>
          <w:color w:val="auto"/>
        </w:rPr>
        <w:t>The following table presents a summary of the changes in the allowance for loan losses for the three and six months ended June 30, 2013 and 2012.</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9 - Allowance for Loan Losses</w:t>
      </w:r>
    </w:p>
    <w:p>
      <w:pPr>
        <w:spacing w:after="0" w:line="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thousands)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59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580" w:type="dxa"/>
            <w:vAlign w:val="bottom"/>
            <w:tcBorders>
              <w:bottom w:val="single" w:sz="8" w:color="auto"/>
            </w:tcBorders>
            <w:gridSpan w:val="4"/>
          </w:tcPr>
          <w:p>
            <w:pPr>
              <w:jc w:val="right"/>
              <w:ind w:right="191"/>
              <w:spacing w:after="0"/>
              <w:rPr>
                <w:sz w:val="20"/>
                <w:szCs w:val="20"/>
                <w:color w:val="auto"/>
              </w:rPr>
            </w:pPr>
            <w:r>
              <w:rPr>
                <w:rFonts w:ascii="Arial" w:cs="Arial" w:eastAsia="Arial" w:hAnsi="Arial"/>
                <w:sz w:val="18"/>
                <w:szCs w:val="18"/>
                <w:b w:val="1"/>
                <w:bCs w:val="1"/>
                <w:color w:val="auto"/>
                <w:w w:val="89"/>
              </w:rPr>
              <w:t>Three Months Ended June 30,</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520" w:type="dxa"/>
            <w:vAlign w:val="bottom"/>
            <w:tcBorders>
              <w:bottom w:val="single" w:sz="8" w:color="auto"/>
            </w:tcBorders>
            <w:gridSpan w:val="4"/>
          </w:tcPr>
          <w:p>
            <w:pPr>
              <w:jc w:val="right"/>
              <w:ind w:right="291"/>
              <w:spacing w:after="0"/>
              <w:rPr>
                <w:sz w:val="20"/>
                <w:szCs w:val="20"/>
                <w:color w:val="auto"/>
              </w:rPr>
            </w:pPr>
            <w:r>
              <w:rPr>
                <w:rFonts w:ascii="Arial" w:cs="Arial" w:eastAsia="Arial" w:hAnsi="Arial"/>
                <w:sz w:val="18"/>
                <w:szCs w:val="18"/>
                <w:b w:val="1"/>
                <w:bCs w:val="1"/>
                <w:color w:val="auto"/>
                <w:w w:val="90"/>
              </w:rPr>
              <w:t>Six Months Ended June 30,</w:t>
            </w:r>
          </w:p>
        </w:tc>
        <w:tc>
          <w:tcPr>
            <w:tcW w:w="0" w:type="dxa"/>
            <w:vAlign w:val="bottom"/>
          </w:tcPr>
          <w:p>
            <w:pPr>
              <w:spacing w:after="0"/>
              <w:rPr>
                <w:sz w:val="1"/>
                <w:szCs w:val="1"/>
                <w:color w:val="auto"/>
              </w:rPr>
            </w:pPr>
          </w:p>
        </w:tc>
      </w:tr>
      <w:tr>
        <w:trPr>
          <w:trHeight w:val="221"/>
        </w:trPr>
        <w:tc>
          <w:tcPr>
            <w:tcW w:w="59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51"/>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71"/>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1"/>
              <w:spacing w:after="0"/>
              <w:rPr>
                <w:sz w:val="20"/>
                <w:szCs w:val="20"/>
                <w:color w:val="auto"/>
              </w:rPr>
            </w:pPr>
            <w:r>
              <w:rPr>
                <w:rFonts w:ascii="Arial" w:cs="Arial" w:eastAsia="Arial" w:hAnsi="Arial"/>
                <w:sz w:val="18"/>
                <w:szCs w:val="18"/>
                <w:b w:val="1"/>
                <w:bCs w:val="1"/>
                <w:color w:val="auto"/>
              </w:rPr>
              <w:t>2013</w:t>
            </w: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51"/>
              <w:spacing w:after="0"/>
              <w:rPr>
                <w:sz w:val="20"/>
                <w:szCs w:val="20"/>
                <w:color w:val="auto"/>
              </w:rPr>
            </w:pPr>
            <w:r>
              <w:rPr>
                <w:rFonts w:ascii="Arial" w:cs="Arial" w:eastAsia="Arial" w:hAnsi="Arial"/>
                <w:sz w:val="18"/>
                <w:szCs w:val="18"/>
                <w:b w:val="1"/>
                <w:bCs w:val="1"/>
                <w:color w:val="auto"/>
              </w:rPr>
              <w:t>2012</w:t>
            </w:r>
          </w:p>
        </w:tc>
        <w:tc>
          <w:tcPr>
            <w:tcW w:w="0" w:type="dxa"/>
            <w:vAlign w:val="bottom"/>
          </w:tcPr>
          <w:p>
            <w:pPr>
              <w:spacing w:after="0"/>
              <w:rPr>
                <w:sz w:val="1"/>
                <w:szCs w:val="1"/>
                <w:color w:val="auto"/>
              </w:rPr>
            </w:pPr>
          </w:p>
        </w:tc>
      </w:tr>
      <w:tr>
        <w:trPr>
          <w:trHeight w:val="200"/>
        </w:trPr>
        <w:tc>
          <w:tcPr>
            <w:tcW w:w="5960" w:type="dxa"/>
            <w:vAlign w:val="bottom"/>
          </w:tcPr>
          <w:p>
            <w:pPr>
              <w:spacing w:after="0" w:line="200" w:lineRule="exact"/>
              <w:rPr>
                <w:sz w:val="20"/>
                <w:szCs w:val="20"/>
                <w:color w:val="auto"/>
              </w:rPr>
            </w:pPr>
            <w:r>
              <w:rPr>
                <w:rFonts w:ascii="Arial" w:cs="Arial" w:eastAsia="Arial" w:hAnsi="Arial"/>
                <w:sz w:val="18"/>
                <w:szCs w:val="18"/>
                <w:color w:val="auto"/>
              </w:rPr>
              <w:t>Balance beginning of period</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Pr>
          <w:p>
            <w:pPr>
              <w:jc w:val="right"/>
              <w:ind w:right="71"/>
              <w:spacing w:after="0" w:line="200" w:lineRule="exact"/>
              <w:rPr>
                <w:sz w:val="20"/>
                <w:szCs w:val="20"/>
                <w:color w:val="auto"/>
              </w:rPr>
            </w:pPr>
            <w:r>
              <w:rPr>
                <w:rFonts w:ascii="Arial" w:cs="Arial" w:eastAsia="Arial" w:hAnsi="Arial"/>
                <w:sz w:val="18"/>
                <w:szCs w:val="18"/>
                <w:color w:val="auto"/>
              </w:rPr>
              <w:t>105,753</w:t>
            </w:r>
          </w:p>
        </w:tc>
        <w:tc>
          <w:tcPr>
            <w:tcW w:w="100" w:type="dxa"/>
            <w:vAlign w:val="bottom"/>
          </w:tcPr>
          <w:p>
            <w:pPr>
              <w:spacing w:after="0"/>
              <w:rPr>
                <w:sz w:val="17"/>
                <w:szCs w:val="17"/>
                <w:color w:val="auto"/>
              </w:rPr>
            </w:pPr>
          </w:p>
        </w:tc>
        <w:tc>
          <w:tcPr>
            <w:tcW w:w="240" w:type="dxa"/>
            <w:vAlign w:val="bottom"/>
          </w:tcPr>
          <w:p>
            <w:pPr>
              <w:jc w:val="right"/>
              <w:ind w:right="51"/>
              <w:spacing w:after="0" w:line="200" w:lineRule="exact"/>
              <w:rPr>
                <w:sz w:val="20"/>
                <w:szCs w:val="20"/>
                <w:color w:val="auto"/>
              </w:rPr>
            </w:pPr>
            <w:r>
              <w:rPr>
                <w:rFonts w:ascii="Arial" w:cs="Arial" w:eastAsia="Arial" w:hAnsi="Arial"/>
                <w:sz w:val="18"/>
                <w:szCs w:val="18"/>
                <w:color w:val="auto"/>
                <w:w w:val="79"/>
              </w:rPr>
              <w:t>$</w:t>
            </w:r>
          </w:p>
        </w:tc>
        <w:tc>
          <w:tcPr>
            <w:tcW w:w="1060" w:type="dxa"/>
            <w:vAlign w:val="bottom"/>
          </w:tcPr>
          <w:p>
            <w:pPr>
              <w:jc w:val="right"/>
              <w:ind w:right="71"/>
              <w:spacing w:after="0" w:line="200" w:lineRule="exact"/>
              <w:rPr>
                <w:sz w:val="20"/>
                <w:szCs w:val="20"/>
                <w:color w:val="auto"/>
              </w:rPr>
            </w:pPr>
            <w:r>
              <w:rPr>
                <w:rFonts w:ascii="Arial" w:cs="Arial" w:eastAsia="Arial" w:hAnsi="Arial"/>
                <w:sz w:val="18"/>
                <w:szCs w:val="18"/>
                <w:color w:val="auto"/>
              </w:rPr>
              <w:t>113,601</w:t>
            </w:r>
          </w:p>
        </w:tc>
        <w:tc>
          <w:tcPr>
            <w:tcW w:w="100" w:type="dxa"/>
            <w:vAlign w:val="bottom"/>
          </w:tcPr>
          <w:p>
            <w:pPr>
              <w:spacing w:after="0"/>
              <w:rPr>
                <w:sz w:val="17"/>
                <w:szCs w:val="17"/>
                <w:color w:val="auto"/>
              </w:rPr>
            </w:pPr>
          </w:p>
        </w:tc>
        <w:tc>
          <w:tcPr>
            <w:tcW w:w="160" w:type="dxa"/>
            <w:vAlign w:val="bottom"/>
          </w:tcPr>
          <w:p>
            <w:pPr>
              <w:jc w:val="right"/>
              <w:spacing w:after="0" w:line="200" w:lineRule="exact"/>
              <w:rPr>
                <w:sz w:val="20"/>
                <w:szCs w:val="20"/>
                <w:color w:val="auto"/>
              </w:rPr>
            </w:pPr>
            <w:r>
              <w:rPr>
                <w:rFonts w:ascii="Arial" w:cs="Arial" w:eastAsia="Arial" w:hAnsi="Arial"/>
                <w:sz w:val="18"/>
                <w:szCs w:val="18"/>
                <w:color w:val="auto"/>
                <w:w w:val="79"/>
              </w:rPr>
              <w:t>$</w:t>
            </w:r>
          </w:p>
        </w:tc>
        <w:tc>
          <w:tcPr>
            <w:tcW w:w="1120" w:type="dxa"/>
            <w:vAlign w:val="bottom"/>
          </w:tcPr>
          <w:p>
            <w:pPr>
              <w:jc w:val="right"/>
              <w:ind w:right="71"/>
              <w:spacing w:after="0" w:line="200" w:lineRule="exact"/>
              <w:rPr>
                <w:sz w:val="20"/>
                <w:szCs w:val="20"/>
                <w:color w:val="auto"/>
              </w:rPr>
            </w:pPr>
            <w:r>
              <w:rPr>
                <w:rFonts w:ascii="Arial" w:cs="Arial" w:eastAsia="Arial" w:hAnsi="Arial"/>
                <w:sz w:val="18"/>
                <w:szCs w:val="18"/>
                <w:color w:val="auto"/>
              </w:rPr>
              <w:t>107,137</w:t>
            </w:r>
          </w:p>
        </w:tc>
        <w:tc>
          <w:tcPr>
            <w:tcW w:w="120" w:type="dxa"/>
            <w:vAlign w:val="bottom"/>
          </w:tcPr>
          <w:p>
            <w:pPr>
              <w:spacing w:after="0"/>
              <w:rPr>
                <w:sz w:val="17"/>
                <w:szCs w:val="17"/>
                <w:color w:val="auto"/>
              </w:rPr>
            </w:pP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ind w:right="71"/>
              <w:spacing w:after="0" w:line="200" w:lineRule="exact"/>
              <w:rPr>
                <w:sz w:val="20"/>
                <w:szCs w:val="20"/>
                <w:color w:val="auto"/>
              </w:rPr>
            </w:pPr>
            <w:r>
              <w:rPr>
                <w:rFonts w:ascii="Arial" w:cs="Arial" w:eastAsia="Arial" w:hAnsi="Arial"/>
                <w:sz w:val="18"/>
                <w:szCs w:val="18"/>
                <w:color w:val="auto"/>
              </w:rPr>
              <w:t>114,468</w:t>
            </w:r>
          </w:p>
        </w:tc>
        <w:tc>
          <w:tcPr>
            <w:tcW w:w="0" w:type="dxa"/>
            <w:vAlign w:val="bottom"/>
          </w:tcPr>
          <w:p>
            <w:pPr>
              <w:spacing w:after="0"/>
              <w:rPr>
                <w:sz w:val="1"/>
                <w:szCs w:val="1"/>
                <w:color w:val="auto"/>
              </w:rPr>
            </w:pPr>
          </w:p>
        </w:tc>
      </w:tr>
      <w:tr>
        <w:trPr>
          <w:trHeight w:val="214"/>
        </w:trPr>
        <w:tc>
          <w:tcPr>
            <w:tcW w:w="5960" w:type="dxa"/>
            <w:vAlign w:val="bottom"/>
          </w:tcPr>
          <w:p>
            <w:pPr>
              <w:spacing w:after="0"/>
              <w:rPr>
                <w:sz w:val="20"/>
                <w:szCs w:val="20"/>
                <w:color w:val="auto"/>
              </w:rPr>
            </w:pPr>
            <w:r>
              <w:rPr>
                <w:rFonts w:ascii="Arial" w:cs="Arial" w:eastAsia="Arial" w:hAnsi="Arial"/>
                <w:sz w:val="18"/>
                <w:szCs w:val="18"/>
                <w:color w:val="auto"/>
              </w:rPr>
              <w:t>Provision for loan losses</w:t>
            </w:r>
          </w:p>
        </w:tc>
        <w:tc>
          <w:tcPr>
            <w:tcW w:w="100" w:type="dxa"/>
            <w:vAlign w:val="bottom"/>
          </w:tcPr>
          <w:p>
            <w:pPr>
              <w:spacing w:after="0"/>
              <w:rPr>
                <w:sz w:val="18"/>
                <w:szCs w:val="18"/>
                <w:color w:val="auto"/>
              </w:rPr>
            </w:pPr>
          </w:p>
        </w:tc>
        <w:tc>
          <w:tcPr>
            <w:tcW w:w="1180" w:type="dxa"/>
            <w:vAlign w:val="bottom"/>
          </w:tcPr>
          <w:p>
            <w:pPr>
              <w:jc w:val="right"/>
              <w:ind w:right="71"/>
              <w:spacing w:after="0"/>
              <w:rPr>
                <w:sz w:val="20"/>
                <w:szCs w:val="20"/>
                <w:color w:val="auto"/>
              </w:rPr>
            </w:pPr>
            <w:r>
              <w:rPr>
                <w:rFonts w:ascii="Arial" w:cs="Arial" w:eastAsia="Arial" w:hAnsi="Arial"/>
                <w:sz w:val="18"/>
                <w:szCs w:val="18"/>
                <w:color w:val="auto"/>
              </w:rPr>
              <w:t>48,500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jc w:val="right"/>
              <w:ind w:right="71"/>
              <w:spacing w:after="0"/>
              <w:rPr>
                <w:sz w:val="20"/>
                <w:szCs w:val="20"/>
                <w:color w:val="auto"/>
              </w:rPr>
            </w:pPr>
            <w:r>
              <w:rPr>
                <w:rFonts w:ascii="Arial" w:cs="Arial" w:eastAsia="Arial" w:hAnsi="Arial"/>
                <w:sz w:val="18"/>
                <w:szCs w:val="18"/>
                <w:color w:val="auto"/>
              </w:rPr>
              <w:t>18,000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right"/>
              <w:ind w:right="71"/>
              <w:spacing w:after="0"/>
              <w:rPr>
                <w:sz w:val="20"/>
                <w:szCs w:val="20"/>
                <w:color w:val="auto"/>
              </w:rPr>
            </w:pPr>
            <w:r>
              <w:rPr>
                <w:rFonts w:ascii="Arial" w:cs="Arial" w:eastAsia="Arial" w:hAnsi="Arial"/>
                <w:sz w:val="18"/>
                <w:szCs w:val="18"/>
                <w:color w:val="auto"/>
              </w:rPr>
              <w:t>59,500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jc w:val="right"/>
              <w:ind w:right="71"/>
              <w:spacing w:after="0"/>
              <w:rPr>
                <w:sz w:val="20"/>
                <w:szCs w:val="20"/>
                <w:color w:val="auto"/>
              </w:rPr>
            </w:pPr>
            <w:r>
              <w:rPr>
                <w:rFonts w:ascii="Arial" w:cs="Arial" w:eastAsia="Arial" w:hAnsi="Arial"/>
                <w:sz w:val="18"/>
                <w:szCs w:val="18"/>
                <w:color w:val="auto"/>
              </w:rPr>
              <w:t>33,000</w:t>
            </w:r>
          </w:p>
        </w:tc>
        <w:tc>
          <w:tcPr>
            <w:tcW w:w="0" w:type="dxa"/>
            <w:vAlign w:val="bottom"/>
          </w:tcPr>
          <w:p>
            <w:pPr>
              <w:spacing w:after="0"/>
              <w:rPr>
                <w:sz w:val="1"/>
                <w:szCs w:val="1"/>
                <w:color w:val="auto"/>
              </w:rPr>
            </w:pPr>
          </w:p>
        </w:tc>
      </w:tr>
      <w:tr>
        <w:trPr>
          <w:trHeight w:val="214"/>
        </w:trPr>
        <w:tc>
          <w:tcPr>
            <w:tcW w:w="5960" w:type="dxa"/>
            <w:vAlign w:val="bottom"/>
          </w:tcPr>
          <w:p>
            <w:pPr>
              <w:spacing w:after="0"/>
              <w:rPr>
                <w:sz w:val="20"/>
                <w:szCs w:val="20"/>
                <w:color w:val="auto"/>
              </w:rPr>
            </w:pPr>
            <w:r>
              <w:rPr>
                <w:rFonts w:ascii="Arial" w:cs="Arial" w:eastAsia="Arial" w:hAnsi="Arial"/>
                <w:sz w:val="18"/>
                <w:szCs w:val="18"/>
                <w:color w:val="auto"/>
              </w:rPr>
              <w:t>Charge-offs:</w:t>
            </w: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960" w:type="dxa"/>
            <w:vAlign w:val="bottom"/>
          </w:tcPr>
          <w:p>
            <w:pPr>
              <w:ind w:left="180"/>
              <w:spacing w:after="0"/>
              <w:rPr>
                <w:sz w:val="20"/>
                <w:szCs w:val="20"/>
                <w:color w:val="auto"/>
              </w:rPr>
            </w:pPr>
            <w:r>
              <w:rPr>
                <w:rFonts w:ascii="Arial" w:cs="Arial" w:eastAsia="Arial" w:hAnsi="Arial"/>
                <w:sz w:val="18"/>
                <w:szCs w:val="18"/>
                <w:color w:val="auto"/>
              </w:rPr>
              <w:t>Commercial (secured by real estate)</w:t>
            </w:r>
          </w:p>
        </w:tc>
        <w:tc>
          <w:tcPr>
            <w:tcW w:w="100" w:type="dxa"/>
            <w:vAlign w:val="bottom"/>
          </w:tcPr>
          <w:p>
            <w:pPr>
              <w:spacing w:after="0"/>
              <w:rPr>
                <w:sz w:val="18"/>
                <w:szCs w:val="18"/>
                <w:color w:val="auto"/>
              </w:rPr>
            </w:pPr>
          </w:p>
        </w:tc>
        <w:tc>
          <w:tcPr>
            <w:tcW w:w="1180" w:type="dxa"/>
            <w:vAlign w:val="bottom"/>
          </w:tcPr>
          <w:p>
            <w:pPr>
              <w:jc w:val="right"/>
              <w:ind w:right="71"/>
              <w:spacing w:after="0"/>
              <w:rPr>
                <w:sz w:val="20"/>
                <w:szCs w:val="20"/>
                <w:color w:val="auto"/>
              </w:rPr>
            </w:pPr>
            <w:r>
              <w:rPr>
                <w:rFonts w:ascii="Arial" w:cs="Arial" w:eastAsia="Arial" w:hAnsi="Arial"/>
                <w:sz w:val="18"/>
                <w:szCs w:val="18"/>
                <w:color w:val="auto"/>
              </w:rPr>
              <w:t>26,740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jc w:val="right"/>
              <w:ind w:right="71"/>
              <w:spacing w:after="0"/>
              <w:rPr>
                <w:sz w:val="20"/>
                <w:szCs w:val="20"/>
                <w:color w:val="auto"/>
              </w:rPr>
            </w:pPr>
            <w:r>
              <w:rPr>
                <w:rFonts w:ascii="Arial" w:cs="Arial" w:eastAsia="Arial" w:hAnsi="Arial"/>
                <w:sz w:val="18"/>
                <w:szCs w:val="18"/>
                <w:color w:val="auto"/>
              </w:rPr>
              <w:t>4,418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right"/>
              <w:ind w:right="71"/>
              <w:spacing w:after="0"/>
              <w:rPr>
                <w:sz w:val="20"/>
                <w:szCs w:val="20"/>
                <w:color w:val="auto"/>
              </w:rPr>
            </w:pPr>
            <w:r>
              <w:rPr>
                <w:rFonts w:ascii="Arial" w:cs="Arial" w:eastAsia="Arial" w:hAnsi="Arial"/>
                <w:sz w:val="18"/>
                <w:szCs w:val="18"/>
                <w:color w:val="auto"/>
              </w:rPr>
              <w:t>32,194</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jc w:val="right"/>
              <w:ind w:right="71"/>
              <w:spacing w:after="0"/>
              <w:rPr>
                <w:sz w:val="20"/>
                <w:szCs w:val="20"/>
                <w:color w:val="auto"/>
              </w:rPr>
            </w:pPr>
            <w:r>
              <w:rPr>
                <w:rFonts w:ascii="Arial" w:cs="Arial" w:eastAsia="Arial" w:hAnsi="Arial"/>
                <w:sz w:val="18"/>
                <w:szCs w:val="18"/>
                <w:color w:val="auto"/>
              </w:rPr>
              <w:t>8,346</w:t>
            </w:r>
          </w:p>
        </w:tc>
        <w:tc>
          <w:tcPr>
            <w:tcW w:w="0" w:type="dxa"/>
            <w:vAlign w:val="bottom"/>
          </w:tcPr>
          <w:p>
            <w:pPr>
              <w:spacing w:after="0"/>
              <w:rPr>
                <w:sz w:val="1"/>
                <w:szCs w:val="1"/>
                <w:color w:val="auto"/>
              </w:rPr>
            </w:pPr>
          </w:p>
        </w:tc>
      </w:tr>
      <w:tr>
        <w:trPr>
          <w:trHeight w:val="214"/>
        </w:trPr>
        <w:tc>
          <w:tcPr>
            <w:tcW w:w="5960" w:type="dxa"/>
            <w:vAlign w:val="bottom"/>
          </w:tcPr>
          <w:p>
            <w:pPr>
              <w:ind w:left="180"/>
              <w:spacing w:after="0"/>
              <w:rPr>
                <w:sz w:val="20"/>
                <w:szCs w:val="20"/>
                <w:color w:val="auto"/>
              </w:rPr>
            </w:pPr>
            <w:r>
              <w:rPr>
                <w:rFonts w:ascii="Arial" w:cs="Arial" w:eastAsia="Arial" w:hAnsi="Arial"/>
                <w:sz w:val="18"/>
                <w:szCs w:val="18"/>
                <w:color w:val="auto"/>
              </w:rPr>
              <w:t>Commercial &amp; industrial</w:t>
            </w:r>
          </w:p>
        </w:tc>
        <w:tc>
          <w:tcPr>
            <w:tcW w:w="100" w:type="dxa"/>
            <w:vAlign w:val="bottom"/>
          </w:tcPr>
          <w:p>
            <w:pPr>
              <w:spacing w:after="0"/>
              <w:rPr>
                <w:sz w:val="18"/>
                <w:szCs w:val="18"/>
                <w:color w:val="auto"/>
              </w:rPr>
            </w:pPr>
          </w:p>
        </w:tc>
        <w:tc>
          <w:tcPr>
            <w:tcW w:w="1180" w:type="dxa"/>
            <w:vAlign w:val="bottom"/>
          </w:tcPr>
          <w:p>
            <w:pPr>
              <w:jc w:val="right"/>
              <w:ind w:right="71"/>
              <w:spacing w:after="0"/>
              <w:rPr>
                <w:sz w:val="20"/>
                <w:szCs w:val="20"/>
                <w:color w:val="auto"/>
              </w:rPr>
            </w:pPr>
            <w:r>
              <w:rPr>
                <w:rFonts w:ascii="Arial" w:cs="Arial" w:eastAsia="Arial" w:hAnsi="Arial"/>
                <w:sz w:val="18"/>
                <w:szCs w:val="18"/>
                <w:color w:val="auto"/>
              </w:rPr>
              <w:t>15,932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jc w:val="right"/>
              <w:ind w:right="71"/>
              <w:spacing w:after="0"/>
              <w:rPr>
                <w:sz w:val="20"/>
                <w:szCs w:val="20"/>
                <w:color w:val="auto"/>
              </w:rPr>
            </w:pPr>
            <w:r>
              <w:rPr>
                <w:rFonts w:ascii="Arial" w:cs="Arial" w:eastAsia="Arial" w:hAnsi="Arial"/>
                <w:sz w:val="18"/>
                <w:szCs w:val="18"/>
                <w:color w:val="auto"/>
              </w:rPr>
              <w:t>888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right"/>
              <w:ind w:right="71"/>
              <w:spacing w:after="0"/>
              <w:rPr>
                <w:sz w:val="20"/>
                <w:szCs w:val="20"/>
                <w:color w:val="auto"/>
              </w:rPr>
            </w:pPr>
            <w:r>
              <w:rPr>
                <w:rFonts w:ascii="Arial" w:cs="Arial" w:eastAsia="Arial" w:hAnsi="Arial"/>
                <w:sz w:val="18"/>
                <w:szCs w:val="18"/>
                <w:color w:val="auto"/>
              </w:rPr>
              <w:t>17,755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jc w:val="right"/>
              <w:ind w:right="71"/>
              <w:spacing w:after="0"/>
              <w:rPr>
                <w:sz w:val="20"/>
                <w:szCs w:val="20"/>
                <w:color w:val="auto"/>
              </w:rPr>
            </w:pPr>
            <w:r>
              <w:rPr>
                <w:rFonts w:ascii="Arial" w:cs="Arial" w:eastAsia="Arial" w:hAnsi="Arial"/>
                <w:sz w:val="18"/>
                <w:szCs w:val="18"/>
                <w:color w:val="auto"/>
              </w:rPr>
              <w:t>1,644</w:t>
            </w:r>
          </w:p>
        </w:tc>
        <w:tc>
          <w:tcPr>
            <w:tcW w:w="0" w:type="dxa"/>
            <w:vAlign w:val="bottom"/>
          </w:tcPr>
          <w:p>
            <w:pPr>
              <w:spacing w:after="0"/>
              <w:rPr>
                <w:sz w:val="1"/>
                <w:szCs w:val="1"/>
                <w:color w:val="auto"/>
              </w:rPr>
            </w:pPr>
          </w:p>
        </w:tc>
      </w:tr>
      <w:tr>
        <w:trPr>
          <w:trHeight w:val="214"/>
        </w:trPr>
        <w:tc>
          <w:tcPr>
            <w:tcW w:w="5960" w:type="dxa"/>
            <w:vAlign w:val="bottom"/>
          </w:tcPr>
          <w:p>
            <w:pPr>
              <w:ind w:left="180"/>
              <w:spacing w:after="0"/>
              <w:rPr>
                <w:sz w:val="20"/>
                <w:szCs w:val="20"/>
                <w:color w:val="auto"/>
              </w:rPr>
            </w:pPr>
            <w:r>
              <w:rPr>
                <w:rFonts w:ascii="Arial" w:cs="Arial" w:eastAsia="Arial" w:hAnsi="Arial"/>
                <w:sz w:val="18"/>
                <w:szCs w:val="18"/>
                <w:color w:val="auto"/>
              </w:rPr>
              <w:t>Commercial construction</w:t>
            </w:r>
          </w:p>
        </w:tc>
        <w:tc>
          <w:tcPr>
            <w:tcW w:w="100" w:type="dxa"/>
            <w:vAlign w:val="bottom"/>
          </w:tcPr>
          <w:p>
            <w:pPr>
              <w:spacing w:after="0"/>
              <w:rPr>
                <w:sz w:val="18"/>
                <w:szCs w:val="18"/>
                <w:color w:val="auto"/>
              </w:rPr>
            </w:pPr>
          </w:p>
        </w:tc>
        <w:tc>
          <w:tcPr>
            <w:tcW w:w="1180" w:type="dxa"/>
            <w:vAlign w:val="bottom"/>
          </w:tcPr>
          <w:p>
            <w:pPr>
              <w:jc w:val="right"/>
              <w:ind w:right="71"/>
              <w:spacing w:after="0"/>
              <w:rPr>
                <w:sz w:val="20"/>
                <w:szCs w:val="20"/>
                <w:color w:val="auto"/>
              </w:rPr>
            </w:pPr>
            <w:r>
              <w:rPr>
                <w:rFonts w:ascii="Arial" w:cs="Arial" w:eastAsia="Arial" w:hAnsi="Arial"/>
                <w:sz w:val="18"/>
                <w:szCs w:val="18"/>
                <w:color w:val="auto"/>
              </w:rPr>
              <w:t>6,305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jc w:val="right"/>
              <w:ind w:right="71"/>
              <w:spacing w:after="0"/>
              <w:rPr>
                <w:sz w:val="20"/>
                <w:szCs w:val="20"/>
                <w:color w:val="auto"/>
              </w:rPr>
            </w:pPr>
            <w:r>
              <w:rPr>
                <w:rFonts w:ascii="Arial" w:cs="Arial" w:eastAsia="Arial" w:hAnsi="Arial"/>
                <w:sz w:val="18"/>
                <w:szCs w:val="18"/>
                <w:color w:val="auto"/>
              </w:rPr>
              <w:t>88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right"/>
              <w:ind w:right="71"/>
              <w:spacing w:after="0"/>
              <w:rPr>
                <w:sz w:val="20"/>
                <w:szCs w:val="20"/>
                <w:color w:val="auto"/>
              </w:rPr>
            </w:pPr>
            <w:r>
              <w:rPr>
                <w:rFonts w:ascii="Arial" w:cs="Arial" w:eastAsia="Arial" w:hAnsi="Arial"/>
                <w:sz w:val="18"/>
                <w:szCs w:val="18"/>
                <w:color w:val="auto"/>
              </w:rPr>
              <w:t>6,350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jc w:val="right"/>
              <w:ind w:right="71"/>
              <w:spacing w:after="0"/>
              <w:rPr>
                <w:sz w:val="20"/>
                <w:szCs w:val="20"/>
                <w:color w:val="auto"/>
              </w:rPr>
            </w:pPr>
            <w:r>
              <w:rPr>
                <w:rFonts w:ascii="Arial" w:cs="Arial" w:eastAsia="Arial" w:hAnsi="Arial"/>
                <w:sz w:val="18"/>
                <w:szCs w:val="18"/>
                <w:color w:val="auto"/>
              </w:rPr>
              <w:t>452</w:t>
            </w:r>
          </w:p>
        </w:tc>
        <w:tc>
          <w:tcPr>
            <w:tcW w:w="0" w:type="dxa"/>
            <w:vAlign w:val="bottom"/>
          </w:tcPr>
          <w:p>
            <w:pPr>
              <w:spacing w:after="0"/>
              <w:rPr>
                <w:sz w:val="1"/>
                <w:szCs w:val="1"/>
                <w:color w:val="auto"/>
              </w:rPr>
            </w:pPr>
          </w:p>
        </w:tc>
      </w:tr>
      <w:tr>
        <w:trPr>
          <w:trHeight w:val="214"/>
        </w:trPr>
        <w:tc>
          <w:tcPr>
            <w:tcW w:w="5960" w:type="dxa"/>
            <w:vAlign w:val="bottom"/>
          </w:tcPr>
          <w:p>
            <w:pPr>
              <w:ind w:left="180"/>
              <w:spacing w:after="0"/>
              <w:rPr>
                <w:sz w:val="20"/>
                <w:szCs w:val="20"/>
                <w:color w:val="auto"/>
              </w:rPr>
            </w:pPr>
            <w:r>
              <w:rPr>
                <w:rFonts w:ascii="Arial" w:cs="Arial" w:eastAsia="Arial" w:hAnsi="Arial"/>
                <w:sz w:val="18"/>
                <w:szCs w:val="18"/>
                <w:color w:val="auto"/>
              </w:rPr>
              <w:t>Residential mortgage</w:t>
            </w:r>
          </w:p>
        </w:tc>
        <w:tc>
          <w:tcPr>
            <w:tcW w:w="100" w:type="dxa"/>
            <w:vAlign w:val="bottom"/>
          </w:tcPr>
          <w:p>
            <w:pPr>
              <w:spacing w:after="0"/>
              <w:rPr>
                <w:sz w:val="18"/>
                <w:szCs w:val="18"/>
                <w:color w:val="auto"/>
              </w:rPr>
            </w:pPr>
          </w:p>
        </w:tc>
        <w:tc>
          <w:tcPr>
            <w:tcW w:w="1180" w:type="dxa"/>
            <w:vAlign w:val="bottom"/>
          </w:tcPr>
          <w:p>
            <w:pPr>
              <w:jc w:val="right"/>
              <w:ind w:right="71"/>
              <w:spacing w:after="0"/>
              <w:rPr>
                <w:sz w:val="20"/>
                <w:szCs w:val="20"/>
                <w:color w:val="auto"/>
              </w:rPr>
            </w:pPr>
            <w:r>
              <w:rPr>
                <w:rFonts w:ascii="Arial" w:cs="Arial" w:eastAsia="Arial" w:hAnsi="Arial"/>
                <w:sz w:val="18"/>
                <w:szCs w:val="18"/>
                <w:color w:val="auto"/>
              </w:rPr>
              <w:t>6,718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jc w:val="right"/>
              <w:ind w:right="71"/>
              <w:spacing w:after="0"/>
              <w:rPr>
                <w:sz w:val="20"/>
                <w:szCs w:val="20"/>
                <w:color w:val="auto"/>
              </w:rPr>
            </w:pPr>
            <w:r>
              <w:rPr>
                <w:rFonts w:ascii="Arial" w:cs="Arial" w:eastAsia="Arial" w:hAnsi="Arial"/>
                <w:sz w:val="18"/>
                <w:szCs w:val="18"/>
                <w:color w:val="auto"/>
              </w:rPr>
              <w:t>4,014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right"/>
              <w:ind w:right="71"/>
              <w:spacing w:after="0"/>
              <w:rPr>
                <w:sz w:val="20"/>
                <w:szCs w:val="20"/>
                <w:color w:val="auto"/>
              </w:rPr>
            </w:pPr>
            <w:r>
              <w:rPr>
                <w:rFonts w:ascii="Arial" w:cs="Arial" w:eastAsia="Arial" w:hAnsi="Arial"/>
                <w:sz w:val="18"/>
                <w:szCs w:val="18"/>
                <w:color w:val="auto"/>
              </w:rPr>
              <w:t>9,074</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jc w:val="right"/>
              <w:ind w:right="71"/>
              <w:spacing w:after="0"/>
              <w:rPr>
                <w:sz w:val="20"/>
                <w:szCs w:val="20"/>
                <w:color w:val="auto"/>
              </w:rPr>
            </w:pPr>
            <w:r>
              <w:rPr>
                <w:rFonts w:ascii="Arial" w:cs="Arial" w:eastAsia="Arial" w:hAnsi="Arial"/>
                <w:sz w:val="18"/>
                <w:szCs w:val="18"/>
                <w:color w:val="auto"/>
              </w:rPr>
              <w:t>9,781</w:t>
            </w:r>
          </w:p>
        </w:tc>
        <w:tc>
          <w:tcPr>
            <w:tcW w:w="0" w:type="dxa"/>
            <w:vAlign w:val="bottom"/>
          </w:tcPr>
          <w:p>
            <w:pPr>
              <w:spacing w:after="0"/>
              <w:rPr>
                <w:sz w:val="1"/>
                <w:szCs w:val="1"/>
                <w:color w:val="auto"/>
              </w:rPr>
            </w:pPr>
          </w:p>
        </w:tc>
      </w:tr>
      <w:tr>
        <w:trPr>
          <w:trHeight w:val="214"/>
        </w:trPr>
        <w:tc>
          <w:tcPr>
            <w:tcW w:w="5960" w:type="dxa"/>
            <w:vAlign w:val="bottom"/>
          </w:tcPr>
          <w:p>
            <w:pPr>
              <w:ind w:left="180"/>
              <w:spacing w:after="0"/>
              <w:rPr>
                <w:sz w:val="20"/>
                <w:szCs w:val="20"/>
                <w:color w:val="auto"/>
              </w:rPr>
            </w:pPr>
            <w:r>
              <w:rPr>
                <w:rFonts w:ascii="Arial" w:cs="Arial" w:eastAsia="Arial" w:hAnsi="Arial"/>
                <w:sz w:val="18"/>
                <w:szCs w:val="18"/>
                <w:color w:val="auto"/>
              </w:rPr>
              <w:t>Residential construction</w:t>
            </w:r>
          </w:p>
        </w:tc>
        <w:tc>
          <w:tcPr>
            <w:tcW w:w="100" w:type="dxa"/>
            <w:vAlign w:val="bottom"/>
          </w:tcPr>
          <w:p>
            <w:pPr>
              <w:spacing w:after="0"/>
              <w:rPr>
                <w:sz w:val="18"/>
                <w:szCs w:val="18"/>
                <w:color w:val="auto"/>
              </w:rPr>
            </w:pPr>
          </w:p>
        </w:tc>
        <w:tc>
          <w:tcPr>
            <w:tcW w:w="1180" w:type="dxa"/>
            <w:vAlign w:val="bottom"/>
          </w:tcPr>
          <w:p>
            <w:pPr>
              <w:jc w:val="right"/>
              <w:ind w:right="71"/>
              <w:spacing w:after="0"/>
              <w:rPr>
                <w:sz w:val="20"/>
                <w:szCs w:val="20"/>
                <w:color w:val="auto"/>
              </w:rPr>
            </w:pPr>
            <w:r>
              <w:rPr>
                <w:rFonts w:ascii="Arial" w:cs="Arial" w:eastAsia="Arial" w:hAnsi="Arial"/>
                <w:sz w:val="18"/>
                <w:szCs w:val="18"/>
                <w:color w:val="auto"/>
              </w:rPr>
              <w:t>18,530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jc w:val="right"/>
              <w:ind w:right="71"/>
              <w:spacing w:after="0"/>
              <w:rPr>
                <w:sz w:val="20"/>
                <w:szCs w:val="20"/>
                <w:color w:val="auto"/>
              </w:rPr>
            </w:pPr>
            <w:r>
              <w:rPr>
                <w:rFonts w:ascii="Arial" w:cs="Arial" w:eastAsia="Arial" w:hAnsi="Arial"/>
                <w:sz w:val="18"/>
                <w:szCs w:val="18"/>
                <w:color w:val="auto"/>
              </w:rPr>
              <w:t>9,846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right"/>
              <w:ind w:right="71"/>
              <w:spacing w:after="0"/>
              <w:rPr>
                <w:sz w:val="20"/>
                <w:szCs w:val="20"/>
                <w:color w:val="auto"/>
              </w:rPr>
            </w:pPr>
            <w:r>
              <w:rPr>
                <w:rFonts w:ascii="Arial" w:cs="Arial" w:eastAsia="Arial" w:hAnsi="Arial"/>
                <w:sz w:val="18"/>
                <w:szCs w:val="18"/>
                <w:color w:val="auto"/>
              </w:rPr>
              <w:t>21,512</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jc w:val="right"/>
              <w:ind w:right="71"/>
              <w:spacing w:after="0"/>
              <w:rPr>
                <w:sz w:val="20"/>
                <w:szCs w:val="20"/>
                <w:color w:val="auto"/>
              </w:rPr>
            </w:pPr>
            <w:r>
              <w:rPr>
                <w:rFonts w:ascii="Arial" w:cs="Arial" w:eastAsia="Arial" w:hAnsi="Arial"/>
                <w:sz w:val="18"/>
                <w:szCs w:val="18"/>
                <w:color w:val="auto"/>
              </w:rPr>
              <w:t>15,475</w:t>
            </w:r>
          </w:p>
        </w:tc>
        <w:tc>
          <w:tcPr>
            <w:tcW w:w="0" w:type="dxa"/>
            <w:vAlign w:val="bottom"/>
          </w:tcPr>
          <w:p>
            <w:pPr>
              <w:spacing w:after="0"/>
              <w:rPr>
                <w:sz w:val="1"/>
                <w:szCs w:val="1"/>
                <w:color w:val="auto"/>
              </w:rPr>
            </w:pPr>
          </w:p>
        </w:tc>
      </w:tr>
      <w:tr>
        <w:trPr>
          <w:trHeight w:val="235"/>
        </w:trPr>
        <w:tc>
          <w:tcPr>
            <w:tcW w:w="5960" w:type="dxa"/>
            <w:vAlign w:val="bottom"/>
          </w:tcPr>
          <w:p>
            <w:pPr>
              <w:ind w:left="180"/>
              <w:spacing w:after="0"/>
              <w:rPr>
                <w:sz w:val="20"/>
                <w:szCs w:val="20"/>
                <w:color w:val="auto"/>
              </w:rPr>
            </w:pPr>
            <w:r>
              <w:rPr>
                <w:rFonts w:ascii="Arial" w:cs="Arial" w:eastAsia="Arial" w:hAnsi="Arial"/>
                <w:sz w:val="18"/>
                <w:szCs w:val="18"/>
                <w:color w:val="auto"/>
              </w:rPr>
              <w:t>Consumer installment</w:t>
            </w:r>
          </w:p>
        </w:tc>
        <w:tc>
          <w:tcPr>
            <w:tcW w:w="1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565</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408</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1,272</w:t>
            </w: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1,161</w:t>
            </w:r>
          </w:p>
        </w:tc>
        <w:tc>
          <w:tcPr>
            <w:tcW w:w="0" w:type="dxa"/>
            <w:vAlign w:val="bottom"/>
          </w:tcPr>
          <w:p>
            <w:pPr>
              <w:spacing w:after="0"/>
              <w:rPr>
                <w:sz w:val="1"/>
                <w:szCs w:val="1"/>
                <w:color w:val="auto"/>
              </w:rPr>
            </w:pPr>
          </w:p>
        </w:tc>
      </w:tr>
      <w:tr>
        <w:trPr>
          <w:trHeight w:val="221"/>
        </w:trPr>
        <w:tc>
          <w:tcPr>
            <w:tcW w:w="5960" w:type="dxa"/>
            <w:vAlign w:val="bottom"/>
          </w:tcPr>
          <w:p>
            <w:pPr>
              <w:ind w:left="360"/>
              <w:spacing w:after="0"/>
              <w:rPr>
                <w:sz w:val="20"/>
                <w:szCs w:val="20"/>
                <w:color w:val="auto"/>
              </w:rPr>
            </w:pPr>
            <w:r>
              <w:rPr>
                <w:rFonts w:ascii="Arial" w:cs="Arial" w:eastAsia="Arial" w:hAnsi="Arial"/>
                <w:sz w:val="18"/>
                <w:szCs w:val="18"/>
                <w:color w:val="auto"/>
              </w:rPr>
              <w:t>Total loans charged-off</w:t>
            </w:r>
          </w:p>
        </w:tc>
        <w:tc>
          <w:tcPr>
            <w:tcW w:w="1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74,790</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19,662</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88,157</w:t>
            </w: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36,859</w:t>
            </w:r>
          </w:p>
        </w:tc>
        <w:tc>
          <w:tcPr>
            <w:tcW w:w="0" w:type="dxa"/>
            <w:vAlign w:val="bottom"/>
          </w:tcPr>
          <w:p>
            <w:pPr>
              <w:spacing w:after="0"/>
              <w:rPr>
                <w:sz w:val="1"/>
                <w:szCs w:val="1"/>
                <w:color w:val="auto"/>
              </w:rPr>
            </w:pPr>
          </w:p>
        </w:tc>
      </w:tr>
      <w:tr>
        <w:trPr>
          <w:trHeight w:val="200"/>
        </w:trPr>
        <w:tc>
          <w:tcPr>
            <w:tcW w:w="5960" w:type="dxa"/>
            <w:vAlign w:val="bottom"/>
          </w:tcPr>
          <w:p>
            <w:pPr>
              <w:spacing w:after="0" w:line="200" w:lineRule="exact"/>
              <w:rPr>
                <w:sz w:val="20"/>
                <w:szCs w:val="20"/>
                <w:color w:val="auto"/>
              </w:rPr>
            </w:pPr>
            <w:r>
              <w:rPr>
                <w:rFonts w:ascii="Arial" w:cs="Arial" w:eastAsia="Arial" w:hAnsi="Arial"/>
                <w:sz w:val="18"/>
                <w:szCs w:val="18"/>
                <w:color w:val="auto"/>
              </w:rPr>
              <w:t>Recoveries:</w:t>
            </w: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5960" w:type="dxa"/>
            <w:vAlign w:val="bottom"/>
          </w:tcPr>
          <w:p>
            <w:pPr>
              <w:ind w:left="180"/>
              <w:spacing w:after="0"/>
              <w:rPr>
                <w:sz w:val="20"/>
                <w:szCs w:val="20"/>
                <w:color w:val="auto"/>
              </w:rPr>
            </w:pPr>
            <w:r>
              <w:rPr>
                <w:rFonts w:ascii="Arial" w:cs="Arial" w:eastAsia="Arial" w:hAnsi="Arial"/>
                <w:sz w:val="18"/>
                <w:szCs w:val="18"/>
                <w:color w:val="auto"/>
              </w:rPr>
              <w:t>Commercial (secured by real estate)</w:t>
            </w:r>
          </w:p>
        </w:tc>
        <w:tc>
          <w:tcPr>
            <w:tcW w:w="100" w:type="dxa"/>
            <w:vAlign w:val="bottom"/>
          </w:tcPr>
          <w:p>
            <w:pPr>
              <w:spacing w:after="0"/>
              <w:rPr>
                <w:sz w:val="18"/>
                <w:szCs w:val="18"/>
                <w:color w:val="auto"/>
              </w:rPr>
            </w:pPr>
          </w:p>
        </w:tc>
        <w:tc>
          <w:tcPr>
            <w:tcW w:w="1180" w:type="dxa"/>
            <w:vAlign w:val="bottom"/>
          </w:tcPr>
          <w:p>
            <w:pPr>
              <w:jc w:val="right"/>
              <w:ind w:right="71"/>
              <w:spacing w:after="0"/>
              <w:rPr>
                <w:sz w:val="20"/>
                <w:szCs w:val="20"/>
                <w:color w:val="auto"/>
              </w:rPr>
            </w:pPr>
            <w:r>
              <w:rPr>
                <w:rFonts w:ascii="Arial" w:cs="Arial" w:eastAsia="Arial" w:hAnsi="Arial"/>
                <w:sz w:val="18"/>
                <w:szCs w:val="18"/>
                <w:color w:val="auto"/>
              </w:rPr>
              <w:t>1,274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jc w:val="right"/>
              <w:ind w:right="71"/>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right"/>
              <w:ind w:right="71"/>
              <w:spacing w:after="0"/>
              <w:rPr>
                <w:sz w:val="20"/>
                <w:szCs w:val="20"/>
                <w:color w:val="auto"/>
              </w:rPr>
            </w:pPr>
            <w:r>
              <w:rPr>
                <w:rFonts w:ascii="Arial" w:cs="Arial" w:eastAsia="Arial" w:hAnsi="Arial"/>
                <w:sz w:val="18"/>
                <w:szCs w:val="18"/>
                <w:color w:val="auto"/>
              </w:rPr>
              <w:t>1,485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jc w:val="right"/>
              <w:ind w:right="71"/>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14"/>
        </w:trPr>
        <w:tc>
          <w:tcPr>
            <w:tcW w:w="5960" w:type="dxa"/>
            <w:vAlign w:val="bottom"/>
          </w:tcPr>
          <w:p>
            <w:pPr>
              <w:ind w:left="180"/>
              <w:spacing w:after="0"/>
              <w:rPr>
                <w:sz w:val="20"/>
                <w:szCs w:val="20"/>
                <w:color w:val="auto"/>
              </w:rPr>
            </w:pPr>
            <w:r>
              <w:rPr>
                <w:rFonts w:ascii="Arial" w:cs="Arial" w:eastAsia="Arial" w:hAnsi="Arial"/>
                <w:sz w:val="18"/>
                <w:szCs w:val="18"/>
                <w:color w:val="auto"/>
              </w:rPr>
              <w:t>Commercial &amp; industrial</w:t>
            </w:r>
          </w:p>
        </w:tc>
        <w:tc>
          <w:tcPr>
            <w:tcW w:w="100" w:type="dxa"/>
            <w:vAlign w:val="bottom"/>
          </w:tcPr>
          <w:p>
            <w:pPr>
              <w:spacing w:after="0"/>
              <w:rPr>
                <w:sz w:val="18"/>
                <w:szCs w:val="18"/>
                <w:color w:val="auto"/>
              </w:rPr>
            </w:pPr>
          </w:p>
        </w:tc>
        <w:tc>
          <w:tcPr>
            <w:tcW w:w="1180" w:type="dxa"/>
            <w:vAlign w:val="bottom"/>
          </w:tcPr>
          <w:p>
            <w:pPr>
              <w:jc w:val="right"/>
              <w:ind w:right="71"/>
              <w:spacing w:after="0"/>
              <w:rPr>
                <w:sz w:val="20"/>
                <w:szCs w:val="20"/>
                <w:color w:val="auto"/>
              </w:rPr>
            </w:pPr>
            <w:r>
              <w:rPr>
                <w:rFonts w:ascii="Arial" w:cs="Arial" w:eastAsia="Arial" w:hAnsi="Arial"/>
                <w:sz w:val="18"/>
                <w:szCs w:val="18"/>
                <w:color w:val="auto"/>
              </w:rPr>
              <w:t>356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jc w:val="right"/>
              <w:ind w:right="71"/>
              <w:spacing w:after="0"/>
              <w:rPr>
                <w:sz w:val="20"/>
                <w:szCs w:val="20"/>
                <w:color w:val="auto"/>
              </w:rPr>
            </w:pPr>
            <w:r>
              <w:rPr>
                <w:rFonts w:ascii="Arial" w:cs="Arial" w:eastAsia="Arial" w:hAnsi="Arial"/>
                <w:sz w:val="18"/>
                <w:szCs w:val="18"/>
                <w:color w:val="auto"/>
              </w:rPr>
              <w:t>113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right"/>
              <w:ind w:right="71"/>
              <w:spacing w:after="0"/>
              <w:rPr>
                <w:sz w:val="20"/>
                <w:szCs w:val="20"/>
                <w:color w:val="auto"/>
              </w:rPr>
            </w:pPr>
            <w:r>
              <w:rPr>
                <w:rFonts w:ascii="Arial" w:cs="Arial" w:eastAsia="Arial" w:hAnsi="Arial"/>
                <w:sz w:val="18"/>
                <w:szCs w:val="18"/>
                <w:color w:val="auto"/>
              </w:rPr>
              <w:t>678</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jc w:val="right"/>
              <w:ind w:right="71"/>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14"/>
        </w:trPr>
        <w:tc>
          <w:tcPr>
            <w:tcW w:w="5960" w:type="dxa"/>
            <w:vAlign w:val="bottom"/>
          </w:tcPr>
          <w:p>
            <w:pPr>
              <w:ind w:left="180"/>
              <w:spacing w:after="0"/>
              <w:rPr>
                <w:sz w:val="20"/>
                <w:szCs w:val="20"/>
                <w:color w:val="auto"/>
              </w:rPr>
            </w:pPr>
            <w:r>
              <w:rPr>
                <w:rFonts w:ascii="Arial" w:cs="Arial" w:eastAsia="Arial" w:hAnsi="Arial"/>
                <w:sz w:val="18"/>
                <w:szCs w:val="18"/>
                <w:color w:val="auto"/>
              </w:rPr>
              <w:t>Commercial construction</w:t>
            </w:r>
          </w:p>
        </w:tc>
        <w:tc>
          <w:tcPr>
            <w:tcW w:w="100" w:type="dxa"/>
            <w:vAlign w:val="bottom"/>
          </w:tcPr>
          <w:p>
            <w:pPr>
              <w:spacing w:after="0"/>
              <w:rPr>
                <w:sz w:val="18"/>
                <w:szCs w:val="18"/>
                <w:color w:val="auto"/>
              </w:rPr>
            </w:pPr>
          </w:p>
        </w:tc>
        <w:tc>
          <w:tcPr>
            <w:tcW w:w="1180" w:type="dxa"/>
            <w:vAlign w:val="bottom"/>
          </w:tcPr>
          <w:p>
            <w:pPr>
              <w:jc w:val="right"/>
              <w:ind w:right="71"/>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right"/>
              <w:ind w:right="71"/>
              <w:spacing w:after="0"/>
              <w:rPr>
                <w:sz w:val="20"/>
                <w:szCs w:val="20"/>
                <w:color w:val="auto"/>
              </w:rPr>
            </w:pPr>
            <w:r>
              <w:rPr>
                <w:rFonts w:ascii="Arial" w:cs="Arial" w:eastAsia="Arial" w:hAnsi="Arial"/>
                <w:sz w:val="18"/>
                <w:szCs w:val="18"/>
                <w:color w:val="auto"/>
              </w:rPr>
              <w:t>59</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jc w:val="right"/>
              <w:ind w:right="71"/>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4"/>
        </w:trPr>
        <w:tc>
          <w:tcPr>
            <w:tcW w:w="5960" w:type="dxa"/>
            <w:vAlign w:val="bottom"/>
          </w:tcPr>
          <w:p>
            <w:pPr>
              <w:ind w:left="180"/>
              <w:spacing w:after="0"/>
              <w:rPr>
                <w:sz w:val="20"/>
                <w:szCs w:val="20"/>
                <w:color w:val="auto"/>
              </w:rPr>
            </w:pPr>
            <w:r>
              <w:rPr>
                <w:rFonts w:ascii="Arial" w:cs="Arial" w:eastAsia="Arial" w:hAnsi="Arial"/>
                <w:sz w:val="18"/>
                <w:szCs w:val="18"/>
                <w:color w:val="auto"/>
              </w:rPr>
              <w:t>Residential mortgage</w:t>
            </w:r>
          </w:p>
        </w:tc>
        <w:tc>
          <w:tcPr>
            <w:tcW w:w="100" w:type="dxa"/>
            <w:vAlign w:val="bottom"/>
          </w:tcPr>
          <w:p>
            <w:pPr>
              <w:spacing w:after="0"/>
              <w:rPr>
                <w:sz w:val="18"/>
                <w:szCs w:val="18"/>
                <w:color w:val="auto"/>
              </w:rPr>
            </w:pPr>
          </w:p>
        </w:tc>
        <w:tc>
          <w:tcPr>
            <w:tcW w:w="1180" w:type="dxa"/>
            <w:vAlign w:val="bottom"/>
          </w:tcPr>
          <w:p>
            <w:pPr>
              <w:jc w:val="right"/>
              <w:ind w:right="71"/>
              <w:spacing w:after="0"/>
              <w:rPr>
                <w:sz w:val="20"/>
                <w:szCs w:val="20"/>
                <w:color w:val="auto"/>
              </w:rPr>
            </w:pPr>
            <w:r>
              <w:rPr>
                <w:rFonts w:ascii="Arial" w:cs="Arial" w:eastAsia="Arial" w:hAnsi="Arial"/>
                <w:sz w:val="18"/>
                <w:szCs w:val="18"/>
                <w:color w:val="auto"/>
              </w:rPr>
              <w:t>209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jc w:val="right"/>
              <w:ind w:right="71"/>
              <w:spacing w:after="0"/>
              <w:rPr>
                <w:sz w:val="20"/>
                <w:szCs w:val="20"/>
                <w:color w:val="auto"/>
              </w:rPr>
            </w:pPr>
            <w:r>
              <w:rPr>
                <w:rFonts w:ascii="Arial" w:cs="Arial" w:eastAsia="Arial" w:hAnsi="Arial"/>
                <w:sz w:val="18"/>
                <w:szCs w:val="18"/>
                <w:color w:val="auto"/>
              </w:rPr>
              <w:t>152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right"/>
              <w:ind w:right="71"/>
              <w:spacing w:after="0"/>
              <w:rPr>
                <w:sz w:val="20"/>
                <w:szCs w:val="20"/>
                <w:color w:val="auto"/>
              </w:rPr>
            </w:pPr>
            <w:r>
              <w:rPr>
                <w:rFonts w:ascii="Arial" w:cs="Arial" w:eastAsia="Arial" w:hAnsi="Arial"/>
                <w:sz w:val="18"/>
                <w:szCs w:val="18"/>
                <w:color w:val="auto"/>
              </w:rPr>
              <w:t>418</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jc w:val="right"/>
              <w:ind w:right="71"/>
              <w:spacing w:after="0"/>
              <w:rPr>
                <w:sz w:val="20"/>
                <w:szCs w:val="20"/>
                <w:color w:val="auto"/>
              </w:rPr>
            </w:pPr>
            <w:r>
              <w:rPr>
                <w:rFonts w:ascii="Arial" w:cs="Arial" w:eastAsia="Arial" w:hAnsi="Arial"/>
                <w:sz w:val="18"/>
                <w:szCs w:val="18"/>
                <w:color w:val="auto"/>
              </w:rPr>
              <w:t>544</w:t>
            </w:r>
          </w:p>
        </w:tc>
        <w:tc>
          <w:tcPr>
            <w:tcW w:w="0" w:type="dxa"/>
            <w:vAlign w:val="bottom"/>
          </w:tcPr>
          <w:p>
            <w:pPr>
              <w:spacing w:after="0"/>
              <w:rPr>
                <w:sz w:val="1"/>
                <w:szCs w:val="1"/>
                <w:color w:val="auto"/>
              </w:rPr>
            </w:pPr>
          </w:p>
        </w:tc>
      </w:tr>
      <w:tr>
        <w:trPr>
          <w:trHeight w:val="214"/>
        </w:trPr>
        <w:tc>
          <w:tcPr>
            <w:tcW w:w="5960" w:type="dxa"/>
            <w:vAlign w:val="bottom"/>
          </w:tcPr>
          <w:p>
            <w:pPr>
              <w:ind w:left="180"/>
              <w:spacing w:after="0"/>
              <w:rPr>
                <w:sz w:val="20"/>
                <w:szCs w:val="20"/>
                <w:color w:val="auto"/>
              </w:rPr>
            </w:pPr>
            <w:r>
              <w:rPr>
                <w:rFonts w:ascii="Arial" w:cs="Arial" w:eastAsia="Arial" w:hAnsi="Arial"/>
                <w:sz w:val="18"/>
                <w:szCs w:val="18"/>
                <w:color w:val="auto"/>
              </w:rPr>
              <w:t>Residential construction</w:t>
            </w:r>
          </w:p>
        </w:tc>
        <w:tc>
          <w:tcPr>
            <w:tcW w:w="100" w:type="dxa"/>
            <w:vAlign w:val="bottom"/>
          </w:tcPr>
          <w:p>
            <w:pPr>
              <w:spacing w:after="0"/>
              <w:rPr>
                <w:sz w:val="18"/>
                <w:szCs w:val="18"/>
                <w:color w:val="auto"/>
              </w:rPr>
            </w:pPr>
          </w:p>
        </w:tc>
        <w:tc>
          <w:tcPr>
            <w:tcW w:w="1180" w:type="dxa"/>
            <w:vAlign w:val="bottom"/>
          </w:tcPr>
          <w:p>
            <w:pPr>
              <w:jc w:val="right"/>
              <w:ind w:right="71"/>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jc w:val="right"/>
              <w:ind w:right="71"/>
              <w:spacing w:after="0"/>
              <w:rPr>
                <w:sz w:val="20"/>
                <w:szCs w:val="20"/>
                <w:color w:val="auto"/>
              </w:rPr>
            </w:pPr>
            <w:r>
              <w:rPr>
                <w:rFonts w:ascii="Arial" w:cs="Arial" w:eastAsia="Arial" w:hAnsi="Arial"/>
                <w:sz w:val="18"/>
                <w:szCs w:val="18"/>
                <w:color w:val="auto"/>
              </w:rPr>
              <w:t>283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right"/>
              <w:ind w:right="71"/>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jc w:val="right"/>
              <w:ind w:right="71"/>
              <w:spacing w:after="0"/>
              <w:rPr>
                <w:sz w:val="20"/>
                <w:szCs w:val="20"/>
                <w:color w:val="auto"/>
              </w:rPr>
            </w:pPr>
            <w:r>
              <w:rPr>
                <w:rFonts w:ascii="Arial" w:cs="Arial" w:eastAsia="Arial" w:hAnsi="Arial"/>
                <w:sz w:val="18"/>
                <w:szCs w:val="18"/>
                <w:color w:val="auto"/>
              </w:rPr>
              <w:t>598</w:t>
            </w:r>
          </w:p>
        </w:tc>
        <w:tc>
          <w:tcPr>
            <w:tcW w:w="0" w:type="dxa"/>
            <w:vAlign w:val="bottom"/>
          </w:tcPr>
          <w:p>
            <w:pPr>
              <w:spacing w:after="0"/>
              <w:rPr>
                <w:sz w:val="1"/>
                <w:szCs w:val="1"/>
                <w:color w:val="auto"/>
              </w:rPr>
            </w:pPr>
          </w:p>
        </w:tc>
      </w:tr>
      <w:tr>
        <w:trPr>
          <w:trHeight w:val="235"/>
        </w:trPr>
        <w:tc>
          <w:tcPr>
            <w:tcW w:w="5960" w:type="dxa"/>
            <w:vAlign w:val="bottom"/>
          </w:tcPr>
          <w:p>
            <w:pPr>
              <w:ind w:left="180"/>
              <w:spacing w:after="0"/>
              <w:rPr>
                <w:sz w:val="20"/>
                <w:szCs w:val="20"/>
                <w:color w:val="auto"/>
              </w:rPr>
            </w:pPr>
            <w:r>
              <w:rPr>
                <w:rFonts w:ascii="Arial" w:cs="Arial" w:eastAsia="Arial" w:hAnsi="Arial"/>
                <w:sz w:val="18"/>
                <w:szCs w:val="18"/>
                <w:color w:val="auto"/>
              </w:rPr>
              <w:t>Consumer installment</w:t>
            </w:r>
          </w:p>
        </w:tc>
        <w:tc>
          <w:tcPr>
            <w:tcW w:w="1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509</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149</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692</w:t>
            </w: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424</w:t>
            </w:r>
          </w:p>
        </w:tc>
        <w:tc>
          <w:tcPr>
            <w:tcW w:w="0" w:type="dxa"/>
            <w:vAlign w:val="bottom"/>
          </w:tcPr>
          <w:p>
            <w:pPr>
              <w:spacing w:after="0"/>
              <w:rPr>
                <w:sz w:val="1"/>
                <w:szCs w:val="1"/>
                <w:color w:val="auto"/>
              </w:rPr>
            </w:pPr>
          </w:p>
        </w:tc>
      </w:tr>
      <w:tr>
        <w:trPr>
          <w:trHeight w:val="221"/>
        </w:trPr>
        <w:tc>
          <w:tcPr>
            <w:tcW w:w="5960" w:type="dxa"/>
            <w:vAlign w:val="bottom"/>
          </w:tcPr>
          <w:p>
            <w:pPr>
              <w:ind w:left="360"/>
              <w:spacing w:after="0"/>
              <w:rPr>
                <w:sz w:val="20"/>
                <w:szCs w:val="20"/>
                <w:color w:val="auto"/>
              </w:rPr>
            </w:pPr>
            <w:r>
              <w:rPr>
                <w:rFonts w:ascii="Arial" w:cs="Arial" w:eastAsia="Arial" w:hAnsi="Arial"/>
                <w:sz w:val="18"/>
                <w:szCs w:val="18"/>
                <w:color w:val="auto"/>
              </w:rPr>
              <w:t>Total recoveries</w:t>
            </w:r>
          </w:p>
        </w:tc>
        <w:tc>
          <w:tcPr>
            <w:tcW w:w="1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2,382</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766</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3,365</w:t>
            </w: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2,096</w:t>
            </w:r>
          </w:p>
        </w:tc>
        <w:tc>
          <w:tcPr>
            <w:tcW w:w="0" w:type="dxa"/>
            <w:vAlign w:val="bottom"/>
          </w:tcPr>
          <w:p>
            <w:pPr>
              <w:spacing w:after="0"/>
              <w:rPr>
                <w:sz w:val="1"/>
                <w:szCs w:val="1"/>
                <w:color w:val="auto"/>
              </w:rPr>
            </w:pPr>
          </w:p>
        </w:tc>
      </w:tr>
      <w:tr>
        <w:trPr>
          <w:trHeight w:val="221"/>
        </w:trPr>
        <w:tc>
          <w:tcPr>
            <w:tcW w:w="5960" w:type="dxa"/>
            <w:vAlign w:val="bottom"/>
          </w:tcPr>
          <w:p>
            <w:pPr>
              <w:ind w:left="360"/>
              <w:spacing w:after="0"/>
              <w:rPr>
                <w:sz w:val="20"/>
                <w:szCs w:val="20"/>
                <w:color w:val="auto"/>
              </w:rPr>
            </w:pPr>
            <w:r>
              <w:rPr>
                <w:rFonts w:ascii="Arial" w:cs="Arial" w:eastAsia="Arial" w:hAnsi="Arial"/>
                <w:sz w:val="18"/>
                <w:szCs w:val="18"/>
                <w:color w:val="auto"/>
              </w:rPr>
              <w:t>Net charge-offs</w:t>
            </w:r>
          </w:p>
        </w:tc>
        <w:tc>
          <w:tcPr>
            <w:tcW w:w="1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72,408</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18,896</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84,792</w:t>
            </w: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34,763</w:t>
            </w:r>
          </w:p>
        </w:tc>
        <w:tc>
          <w:tcPr>
            <w:tcW w:w="0" w:type="dxa"/>
            <w:vAlign w:val="bottom"/>
          </w:tcPr>
          <w:p>
            <w:pPr>
              <w:spacing w:after="0"/>
              <w:rPr>
                <w:sz w:val="1"/>
                <w:szCs w:val="1"/>
                <w:color w:val="auto"/>
              </w:rPr>
            </w:pPr>
          </w:p>
        </w:tc>
      </w:tr>
      <w:tr>
        <w:trPr>
          <w:trHeight w:val="214"/>
        </w:trPr>
        <w:tc>
          <w:tcPr>
            <w:tcW w:w="5960" w:type="dxa"/>
            <w:vAlign w:val="bottom"/>
          </w:tcPr>
          <w:p>
            <w:pPr>
              <w:ind w:left="360"/>
              <w:spacing w:after="0"/>
              <w:rPr>
                <w:sz w:val="20"/>
                <w:szCs w:val="20"/>
                <w:color w:val="auto"/>
              </w:rPr>
            </w:pPr>
            <w:r>
              <w:rPr>
                <w:rFonts w:ascii="Arial" w:cs="Arial" w:eastAsia="Arial" w:hAnsi="Arial"/>
                <w:sz w:val="18"/>
                <w:szCs w:val="18"/>
                <w:color w:val="auto"/>
              </w:rPr>
              <w:t>Balance end of period</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81,845</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112,705</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81,845</w:t>
            </w:r>
          </w:p>
        </w:tc>
        <w:tc>
          <w:tcPr>
            <w:tcW w:w="120" w:type="dxa"/>
            <w:vAlign w:val="bottom"/>
          </w:tcPr>
          <w:p>
            <w:pPr>
              <w:spacing w:after="0"/>
              <w:rPr>
                <w:sz w:val="18"/>
                <w:szCs w:val="18"/>
                <w:color w:val="auto"/>
              </w:rPr>
            </w:pP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112,705</w:t>
            </w:r>
          </w:p>
        </w:tc>
        <w:tc>
          <w:tcPr>
            <w:tcW w:w="0" w:type="dxa"/>
            <w:vAlign w:val="bottom"/>
          </w:tcPr>
          <w:p>
            <w:pPr>
              <w:spacing w:after="0"/>
              <w:rPr>
                <w:sz w:val="1"/>
                <w:szCs w:val="1"/>
                <w:color w:val="auto"/>
              </w:rPr>
            </w:pPr>
          </w:p>
        </w:tc>
      </w:tr>
      <w:tr>
        <w:trPr>
          <w:trHeight w:val="20"/>
        </w:trPr>
        <w:tc>
          <w:tcPr>
            <w:tcW w:w="5960" w:type="dxa"/>
            <w:vAlign w:val="bottom"/>
            <w:vMerge w:val="restart"/>
          </w:tcPr>
          <w:p>
            <w:pPr>
              <w:spacing w:after="0"/>
              <w:rPr>
                <w:sz w:val="20"/>
                <w:szCs w:val="20"/>
                <w:color w:val="auto"/>
              </w:rPr>
            </w:pPr>
            <w:r>
              <w:rPr>
                <w:rFonts w:ascii="Arial" w:cs="Arial" w:eastAsia="Arial" w:hAnsi="Arial"/>
                <w:sz w:val="18"/>
                <w:szCs w:val="18"/>
                <w:color w:val="auto"/>
              </w:rPr>
              <w:t>Total loans: *</w:t>
            </w: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08"/>
        </w:trPr>
        <w:tc>
          <w:tcPr>
            <w:tcW w:w="59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5960" w:type="dxa"/>
            <w:vAlign w:val="bottom"/>
          </w:tcPr>
          <w:p>
            <w:pPr>
              <w:ind w:left="140"/>
              <w:spacing w:after="0"/>
              <w:rPr>
                <w:sz w:val="20"/>
                <w:szCs w:val="20"/>
                <w:color w:val="auto"/>
              </w:rPr>
            </w:pPr>
            <w:r>
              <w:rPr>
                <w:rFonts w:ascii="Arial" w:cs="Arial" w:eastAsia="Arial" w:hAnsi="Arial"/>
                <w:sz w:val="18"/>
                <w:szCs w:val="18"/>
                <w:color w:val="auto"/>
              </w:rPr>
              <w:t>At period-end</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Pr>
          <w:p>
            <w:pPr>
              <w:jc w:val="right"/>
              <w:ind w:right="71"/>
              <w:spacing w:after="0"/>
              <w:rPr>
                <w:sz w:val="20"/>
                <w:szCs w:val="20"/>
                <w:color w:val="auto"/>
              </w:rPr>
            </w:pPr>
            <w:r>
              <w:rPr>
                <w:rFonts w:ascii="Arial" w:cs="Arial" w:eastAsia="Arial" w:hAnsi="Arial"/>
                <w:sz w:val="18"/>
                <w:szCs w:val="18"/>
                <w:color w:val="auto"/>
              </w:rPr>
              <w:t>4,189,368</w:t>
            </w:r>
          </w:p>
        </w:tc>
        <w:tc>
          <w:tcPr>
            <w:tcW w:w="340" w:type="dxa"/>
            <w:vAlign w:val="bottom"/>
            <w:gridSpan w:val="2"/>
          </w:tcPr>
          <w:p>
            <w:pPr>
              <w:jc w:val="right"/>
              <w:ind w:right="51"/>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71"/>
              <w:spacing w:after="0"/>
              <w:rPr>
                <w:sz w:val="20"/>
                <w:szCs w:val="20"/>
                <w:color w:val="auto"/>
              </w:rPr>
            </w:pPr>
            <w:r>
              <w:rPr>
                <w:rFonts w:ascii="Arial" w:cs="Arial" w:eastAsia="Arial" w:hAnsi="Arial"/>
                <w:sz w:val="18"/>
                <w:szCs w:val="18"/>
                <w:color w:val="auto"/>
              </w:rPr>
              <w:t>4,119,235</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71"/>
              <w:spacing w:after="0"/>
              <w:rPr>
                <w:sz w:val="20"/>
                <w:szCs w:val="20"/>
                <w:color w:val="auto"/>
              </w:rPr>
            </w:pPr>
            <w:r>
              <w:rPr>
                <w:rFonts w:ascii="Arial" w:cs="Arial" w:eastAsia="Arial" w:hAnsi="Arial"/>
                <w:sz w:val="18"/>
                <w:szCs w:val="18"/>
                <w:color w:val="auto"/>
              </w:rPr>
              <w:t>4,189,368</w:t>
            </w:r>
          </w:p>
        </w:tc>
        <w:tc>
          <w:tcPr>
            <w:tcW w:w="360" w:type="dxa"/>
            <w:vAlign w:val="bottom"/>
            <w:gridSpan w:val="2"/>
          </w:tcPr>
          <w:p>
            <w:pPr>
              <w:jc w:val="right"/>
              <w:ind w:right="87"/>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71"/>
              <w:spacing w:after="0"/>
              <w:rPr>
                <w:sz w:val="20"/>
                <w:szCs w:val="20"/>
                <w:color w:val="auto"/>
              </w:rPr>
            </w:pPr>
            <w:r>
              <w:rPr>
                <w:rFonts w:ascii="Arial" w:cs="Arial" w:eastAsia="Arial" w:hAnsi="Arial"/>
                <w:sz w:val="18"/>
                <w:szCs w:val="18"/>
                <w:color w:val="auto"/>
              </w:rPr>
              <w:t>4,119,235</w:t>
            </w:r>
          </w:p>
        </w:tc>
        <w:tc>
          <w:tcPr>
            <w:tcW w:w="0" w:type="dxa"/>
            <w:vAlign w:val="bottom"/>
          </w:tcPr>
          <w:p>
            <w:pPr>
              <w:spacing w:after="0"/>
              <w:rPr>
                <w:sz w:val="1"/>
                <w:szCs w:val="1"/>
                <w:color w:val="auto"/>
              </w:rPr>
            </w:pPr>
          </w:p>
        </w:tc>
      </w:tr>
      <w:tr>
        <w:trPr>
          <w:trHeight w:val="227"/>
        </w:trPr>
        <w:tc>
          <w:tcPr>
            <w:tcW w:w="5960" w:type="dxa"/>
            <w:vAlign w:val="bottom"/>
          </w:tcPr>
          <w:p>
            <w:pPr>
              <w:ind w:left="140"/>
              <w:spacing w:after="0"/>
              <w:rPr>
                <w:sz w:val="20"/>
                <w:szCs w:val="20"/>
                <w:color w:val="auto"/>
              </w:rPr>
            </w:pPr>
            <w:r>
              <w:rPr>
                <w:rFonts w:ascii="Arial" w:cs="Arial" w:eastAsia="Arial" w:hAnsi="Arial"/>
                <w:sz w:val="18"/>
                <w:szCs w:val="18"/>
                <w:color w:val="auto"/>
              </w:rPr>
              <w:t>Average</w:t>
            </w:r>
          </w:p>
        </w:tc>
        <w:tc>
          <w:tcPr>
            <w:tcW w:w="100" w:type="dxa"/>
            <w:vAlign w:val="bottom"/>
          </w:tcPr>
          <w:p>
            <w:pPr>
              <w:spacing w:after="0"/>
              <w:rPr>
                <w:sz w:val="19"/>
                <w:szCs w:val="19"/>
                <w:color w:val="auto"/>
              </w:rPr>
            </w:pPr>
          </w:p>
        </w:tc>
        <w:tc>
          <w:tcPr>
            <w:tcW w:w="1180" w:type="dxa"/>
            <w:vAlign w:val="bottom"/>
          </w:tcPr>
          <w:p>
            <w:pPr>
              <w:jc w:val="right"/>
              <w:ind w:right="71"/>
              <w:spacing w:after="0"/>
              <w:rPr>
                <w:sz w:val="20"/>
                <w:szCs w:val="20"/>
                <w:color w:val="auto"/>
              </w:rPr>
            </w:pPr>
            <w:r>
              <w:rPr>
                <w:rFonts w:ascii="Arial" w:cs="Arial" w:eastAsia="Arial" w:hAnsi="Arial"/>
                <w:sz w:val="18"/>
                <w:szCs w:val="18"/>
                <w:color w:val="auto"/>
              </w:rPr>
              <w:t>4,226,952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ind w:right="71"/>
              <w:spacing w:after="0"/>
              <w:rPr>
                <w:sz w:val="20"/>
                <w:szCs w:val="20"/>
                <w:color w:val="auto"/>
              </w:rPr>
            </w:pPr>
            <w:r>
              <w:rPr>
                <w:rFonts w:ascii="Arial" w:cs="Arial" w:eastAsia="Arial" w:hAnsi="Arial"/>
                <w:sz w:val="18"/>
                <w:szCs w:val="18"/>
                <w:color w:val="auto"/>
              </w:rPr>
              <w:t>4,112,995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ind w:right="71"/>
              <w:spacing w:after="0"/>
              <w:rPr>
                <w:sz w:val="20"/>
                <w:szCs w:val="20"/>
                <w:color w:val="auto"/>
              </w:rPr>
            </w:pPr>
            <w:r>
              <w:rPr>
                <w:rFonts w:ascii="Arial" w:cs="Arial" w:eastAsia="Arial" w:hAnsi="Arial"/>
                <w:sz w:val="18"/>
                <w:szCs w:val="18"/>
                <w:color w:val="auto"/>
              </w:rPr>
              <w:t>4,196,756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jc w:val="right"/>
              <w:ind w:right="71"/>
              <w:spacing w:after="0"/>
              <w:rPr>
                <w:sz w:val="20"/>
                <w:szCs w:val="20"/>
                <w:color w:val="auto"/>
              </w:rPr>
            </w:pPr>
            <w:r>
              <w:rPr>
                <w:rFonts w:ascii="Arial" w:cs="Arial" w:eastAsia="Arial" w:hAnsi="Arial"/>
                <w:sz w:val="18"/>
                <w:szCs w:val="18"/>
                <w:color w:val="auto"/>
              </w:rPr>
              <w:t>4,115,315</w:t>
            </w:r>
          </w:p>
        </w:tc>
        <w:tc>
          <w:tcPr>
            <w:tcW w:w="0" w:type="dxa"/>
            <w:vAlign w:val="bottom"/>
          </w:tcPr>
          <w:p>
            <w:pPr>
              <w:spacing w:after="0"/>
              <w:rPr>
                <w:sz w:val="1"/>
                <w:szCs w:val="1"/>
                <w:color w:val="auto"/>
              </w:rPr>
            </w:pPr>
          </w:p>
        </w:tc>
      </w:tr>
      <w:tr>
        <w:trPr>
          <w:trHeight w:val="429"/>
        </w:trPr>
        <w:tc>
          <w:tcPr>
            <w:tcW w:w="5960" w:type="dxa"/>
            <w:vAlign w:val="bottom"/>
          </w:tcPr>
          <w:p>
            <w:pPr>
              <w:spacing w:after="0"/>
              <w:rPr>
                <w:sz w:val="20"/>
                <w:szCs w:val="20"/>
                <w:color w:val="auto"/>
              </w:rPr>
            </w:pPr>
            <w:r>
              <w:rPr>
                <w:rFonts w:ascii="Arial" w:cs="Arial" w:eastAsia="Arial" w:hAnsi="Arial"/>
                <w:sz w:val="18"/>
                <w:szCs w:val="18"/>
                <w:color w:val="auto"/>
              </w:rPr>
              <w:t>Allowance as a percentage of period-end loans</w:t>
            </w:r>
          </w:p>
        </w:tc>
        <w:tc>
          <w:tcPr>
            <w:tcW w:w="10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1.95%</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2.74%</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1.95%</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2.74%</w:t>
            </w:r>
          </w:p>
        </w:tc>
        <w:tc>
          <w:tcPr>
            <w:tcW w:w="0" w:type="dxa"/>
            <w:vAlign w:val="bottom"/>
          </w:tcPr>
          <w:p>
            <w:pPr>
              <w:spacing w:after="0"/>
              <w:rPr>
                <w:sz w:val="1"/>
                <w:szCs w:val="1"/>
                <w:color w:val="auto"/>
              </w:rPr>
            </w:pPr>
          </w:p>
        </w:tc>
      </w:tr>
      <w:tr>
        <w:trPr>
          <w:trHeight w:val="416"/>
        </w:trPr>
        <w:tc>
          <w:tcPr>
            <w:tcW w:w="5960" w:type="dxa"/>
            <w:vAlign w:val="bottom"/>
          </w:tcPr>
          <w:p>
            <w:pPr>
              <w:spacing w:after="0"/>
              <w:rPr>
                <w:sz w:val="20"/>
                <w:szCs w:val="20"/>
                <w:color w:val="auto"/>
              </w:rPr>
            </w:pPr>
            <w:r>
              <w:rPr>
                <w:rFonts w:ascii="Arial" w:cs="Arial" w:eastAsia="Arial" w:hAnsi="Arial"/>
                <w:sz w:val="18"/>
                <w:szCs w:val="18"/>
                <w:color w:val="auto"/>
              </w:rPr>
              <w:t>As a percentage of average loans (annualized):</w:t>
            </w: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5960" w:type="dxa"/>
            <w:vAlign w:val="bottom"/>
          </w:tcPr>
          <w:p>
            <w:pPr>
              <w:ind w:left="140"/>
              <w:spacing w:after="0"/>
              <w:rPr>
                <w:sz w:val="20"/>
                <w:szCs w:val="20"/>
                <w:color w:val="auto"/>
              </w:rPr>
            </w:pPr>
            <w:r>
              <w:rPr>
                <w:rFonts w:ascii="Arial" w:cs="Arial" w:eastAsia="Arial" w:hAnsi="Arial"/>
                <w:sz w:val="18"/>
                <w:szCs w:val="18"/>
                <w:color w:val="auto"/>
              </w:rPr>
              <w:t>Net charge-offs</w:t>
            </w:r>
          </w:p>
        </w:tc>
        <w:tc>
          <w:tcPr>
            <w:tcW w:w="100" w:type="dxa"/>
            <w:vAlign w:val="bottom"/>
          </w:tcPr>
          <w:p>
            <w:pPr>
              <w:spacing w:after="0"/>
              <w:rPr>
                <w:sz w:val="18"/>
                <w:szCs w:val="18"/>
                <w:color w:val="auto"/>
              </w:rPr>
            </w:pPr>
          </w:p>
        </w:tc>
        <w:tc>
          <w:tcPr>
            <w:tcW w:w="1180" w:type="dxa"/>
            <w:vAlign w:val="bottom"/>
          </w:tcPr>
          <w:p>
            <w:pPr>
              <w:jc w:val="right"/>
              <w:ind w:right="71"/>
              <w:spacing w:after="0"/>
              <w:rPr>
                <w:sz w:val="20"/>
                <w:szCs w:val="20"/>
                <w:color w:val="auto"/>
              </w:rPr>
            </w:pPr>
            <w:r>
              <w:rPr>
                <w:rFonts w:ascii="Arial" w:cs="Arial" w:eastAsia="Arial" w:hAnsi="Arial"/>
                <w:sz w:val="18"/>
                <w:szCs w:val="18"/>
                <w:color w:val="auto"/>
              </w:rPr>
              <w:t>6.87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jc w:val="right"/>
              <w:ind w:right="71"/>
              <w:spacing w:after="0"/>
              <w:rPr>
                <w:sz w:val="20"/>
                <w:szCs w:val="20"/>
                <w:color w:val="auto"/>
              </w:rPr>
            </w:pPr>
            <w:r>
              <w:rPr>
                <w:rFonts w:ascii="Arial" w:cs="Arial" w:eastAsia="Arial" w:hAnsi="Arial"/>
                <w:sz w:val="18"/>
                <w:szCs w:val="18"/>
                <w:color w:val="auto"/>
              </w:rPr>
              <w:t>1.85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right"/>
              <w:ind w:right="71"/>
              <w:spacing w:after="0"/>
              <w:rPr>
                <w:sz w:val="20"/>
                <w:szCs w:val="20"/>
                <w:color w:val="auto"/>
              </w:rPr>
            </w:pPr>
            <w:r>
              <w:rPr>
                <w:rFonts w:ascii="Arial" w:cs="Arial" w:eastAsia="Arial" w:hAnsi="Arial"/>
                <w:sz w:val="18"/>
                <w:szCs w:val="18"/>
                <w:color w:val="auto"/>
              </w:rPr>
              <w:t>4.07</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jc w:val="right"/>
              <w:ind w:right="71"/>
              <w:spacing w:after="0"/>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227"/>
        </w:trPr>
        <w:tc>
          <w:tcPr>
            <w:tcW w:w="5960" w:type="dxa"/>
            <w:vAlign w:val="bottom"/>
          </w:tcPr>
          <w:p>
            <w:pPr>
              <w:ind w:left="140"/>
              <w:spacing w:after="0"/>
              <w:rPr>
                <w:sz w:val="20"/>
                <w:szCs w:val="20"/>
                <w:color w:val="auto"/>
              </w:rPr>
            </w:pPr>
            <w:r>
              <w:rPr>
                <w:rFonts w:ascii="Arial" w:cs="Arial" w:eastAsia="Arial" w:hAnsi="Arial"/>
                <w:sz w:val="18"/>
                <w:szCs w:val="18"/>
                <w:color w:val="auto"/>
              </w:rPr>
              <w:t>Provision for loan losses</w:t>
            </w:r>
          </w:p>
        </w:tc>
        <w:tc>
          <w:tcPr>
            <w:tcW w:w="100" w:type="dxa"/>
            <w:vAlign w:val="bottom"/>
          </w:tcPr>
          <w:p>
            <w:pPr>
              <w:spacing w:after="0"/>
              <w:rPr>
                <w:sz w:val="19"/>
                <w:szCs w:val="19"/>
                <w:color w:val="auto"/>
              </w:rPr>
            </w:pPr>
          </w:p>
        </w:tc>
        <w:tc>
          <w:tcPr>
            <w:tcW w:w="1180" w:type="dxa"/>
            <w:vAlign w:val="bottom"/>
          </w:tcPr>
          <w:p>
            <w:pPr>
              <w:jc w:val="right"/>
              <w:ind w:right="71"/>
              <w:spacing w:after="0"/>
              <w:rPr>
                <w:sz w:val="20"/>
                <w:szCs w:val="20"/>
                <w:color w:val="auto"/>
              </w:rPr>
            </w:pPr>
            <w:r>
              <w:rPr>
                <w:rFonts w:ascii="Arial" w:cs="Arial" w:eastAsia="Arial" w:hAnsi="Arial"/>
                <w:sz w:val="18"/>
                <w:szCs w:val="18"/>
                <w:color w:val="auto"/>
              </w:rPr>
              <w:t>4.60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ind w:right="71"/>
              <w:spacing w:after="0"/>
              <w:rPr>
                <w:sz w:val="20"/>
                <w:szCs w:val="20"/>
                <w:color w:val="auto"/>
              </w:rPr>
            </w:pPr>
            <w:r>
              <w:rPr>
                <w:rFonts w:ascii="Arial" w:cs="Arial" w:eastAsia="Arial" w:hAnsi="Arial"/>
                <w:sz w:val="18"/>
                <w:szCs w:val="18"/>
                <w:color w:val="auto"/>
              </w:rPr>
              <w:t>1.76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ind w:right="71"/>
              <w:spacing w:after="0"/>
              <w:rPr>
                <w:sz w:val="20"/>
                <w:szCs w:val="20"/>
                <w:color w:val="auto"/>
              </w:rPr>
            </w:pPr>
            <w:r>
              <w:rPr>
                <w:rFonts w:ascii="Arial" w:cs="Arial" w:eastAsia="Arial" w:hAnsi="Arial"/>
                <w:sz w:val="18"/>
                <w:szCs w:val="18"/>
                <w:color w:val="auto"/>
              </w:rPr>
              <w:t>2.86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jc w:val="right"/>
              <w:ind w:right="71"/>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429"/>
        </w:trPr>
        <w:tc>
          <w:tcPr>
            <w:tcW w:w="5960" w:type="dxa"/>
            <w:vAlign w:val="bottom"/>
          </w:tcPr>
          <w:p>
            <w:pPr>
              <w:spacing w:after="0"/>
              <w:rPr>
                <w:sz w:val="20"/>
                <w:szCs w:val="20"/>
                <w:color w:val="auto"/>
              </w:rPr>
            </w:pPr>
            <w:r>
              <w:rPr>
                <w:rFonts w:ascii="Arial" w:cs="Arial" w:eastAsia="Arial" w:hAnsi="Arial"/>
                <w:sz w:val="18"/>
                <w:szCs w:val="18"/>
                <w:color w:val="auto"/>
              </w:rPr>
              <w:t>Allowance as a percentage of non-performing loans</w:t>
            </w:r>
          </w:p>
        </w:tc>
        <w:tc>
          <w:tcPr>
            <w:tcW w:w="100" w:type="dxa"/>
            <w:vAlign w:val="bottom"/>
          </w:tcPr>
          <w:p>
            <w:pPr>
              <w:spacing w:after="0"/>
              <w:rPr>
                <w:sz w:val="24"/>
                <w:szCs w:val="24"/>
                <w:color w:val="auto"/>
              </w:rPr>
            </w:pPr>
          </w:p>
        </w:tc>
        <w:tc>
          <w:tcPr>
            <w:tcW w:w="1180" w:type="dxa"/>
            <w:vAlign w:val="bottom"/>
          </w:tcPr>
          <w:p>
            <w:pPr>
              <w:jc w:val="right"/>
              <w:ind w:right="71"/>
              <w:spacing w:after="0"/>
              <w:rPr>
                <w:sz w:val="20"/>
                <w:szCs w:val="20"/>
                <w:color w:val="auto"/>
              </w:rPr>
            </w:pPr>
            <w:r>
              <w:rPr>
                <w:rFonts w:ascii="Arial" w:cs="Arial" w:eastAsia="Arial" w:hAnsi="Arial"/>
                <w:sz w:val="18"/>
                <w:szCs w:val="18"/>
                <w:color w:val="auto"/>
              </w:rPr>
              <w:t>294</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jc w:val="right"/>
              <w:ind w:right="71"/>
              <w:spacing w:after="0"/>
              <w:rPr>
                <w:sz w:val="20"/>
                <w:szCs w:val="20"/>
                <w:color w:val="auto"/>
              </w:rPr>
            </w:pPr>
            <w:r>
              <w:rPr>
                <w:rFonts w:ascii="Arial" w:cs="Arial" w:eastAsia="Arial" w:hAnsi="Arial"/>
                <w:sz w:val="18"/>
                <w:szCs w:val="18"/>
                <w:color w:val="auto"/>
              </w:rPr>
              <w:t>98</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jc w:val="right"/>
              <w:ind w:right="71"/>
              <w:spacing w:after="0"/>
              <w:rPr>
                <w:sz w:val="20"/>
                <w:szCs w:val="20"/>
                <w:color w:val="auto"/>
              </w:rPr>
            </w:pPr>
            <w:r>
              <w:rPr>
                <w:rFonts w:ascii="Arial" w:cs="Arial" w:eastAsia="Arial" w:hAnsi="Arial"/>
                <w:sz w:val="18"/>
                <w:szCs w:val="18"/>
                <w:color w:val="auto"/>
              </w:rPr>
              <w:t>294</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jc w:val="right"/>
              <w:ind w:right="71"/>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429"/>
        </w:trPr>
        <w:tc>
          <w:tcPr>
            <w:tcW w:w="5960" w:type="dxa"/>
            <w:vAlign w:val="bottom"/>
          </w:tcPr>
          <w:p>
            <w:pPr>
              <w:ind w:left="160"/>
              <w:spacing w:after="0"/>
              <w:rPr>
                <w:sz w:val="20"/>
                <w:szCs w:val="20"/>
                <w:color w:val="auto"/>
              </w:rPr>
            </w:pPr>
            <w:r>
              <w:rPr>
                <w:rFonts w:ascii="Arial" w:cs="Arial" w:eastAsia="Arial" w:hAnsi="Arial"/>
                <w:sz w:val="18"/>
                <w:szCs w:val="18"/>
                <w:color w:val="auto"/>
              </w:rPr>
              <w:t>* Excludes loans covered by loss sharing agreements with the FDIC</w:t>
            </w: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28"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The provision for loan losses charged to earnings was based upon management’s judgment of the amount necessary to maintain the allowance at a level appropriate to absorb losses inherent in the loan portfolio at the balance sheet date. The amount each quarter is dependent upon many factors, including growth and changes in the composition of the loan portfolio, net charge-offs, delinquencies, management’s assessment of loan portfolio quality, the value of collateral, and other macro-economic factors and trends. The evaluation of these factors is performed quarterly by management through an analysis of the appropriateness of the allowance for loan losses. The decreases in the provision and the level of the allowance for loan losses compared to the previous periods reflects stabilizing trends in substandard loans, along with the de-risking of the balance sheet through the accelerated classified asset sale, leading to an expectation that charge-off levels will continue to decline. Further, the declining balance of the allowance for loan losses over the last several quarters reflects an overall improving trend in credit quality of the loan portfolio.</w:t>
      </w:r>
    </w:p>
    <w:p>
      <w:pPr>
        <w:spacing w:after="0" w:line="210"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At June 30, 2013, the allowance for loan losses was $81.8 million, or 1.95% of loans, compared with $107 million, or 2.57% of loans, at December 31, 2012 and $113 million, or 2.74% of loans, at June 30, 2012.</w:t>
      </w:r>
    </w:p>
    <w:p>
      <w:pPr>
        <w:spacing w:after="0" w:line="20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Management believes that the allowance for loan losses at June 30, 2013 reflects the losses inherent in the loan portfolio. This assessment involves uncertainty and judgment; therefore, the adequacy of the allowance for loan losses cannot be determined with precision and may be subject to change in future periods. The amount of any changes could be significant if management’s assessment of loan quality or collateral values change substantially with respect to one or more loan relationships or portfolios. In addition, bank regulatory authorities, as part of their periodic examination of the Bank, may require adjustments to the provision for loan losses in future periods if, in their opinion, the results of their review warrant such additions. See the “Critical Accounting Policies” section for additional information on the allowance for loan losses.</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13970</wp:posOffset>
            </wp:positionV>
            <wp:extent cx="724789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7890" cy="8255"/>
                    </a:xfrm>
                    <a:prstGeom prst="rect">
                      <a:avLst/>
                    </a:prstGeom>
                    <a:noFill/>
                  </pic:spPr>
                </pic:pic>
              </a:graphicData>
            </a:graphic>
          </wp:anchor>
        </w:drawing>
      </w:r>
    </w:p>
    <w:p>
      <w:pPr>
        <w:sectPr>
          <w:pgSz w:w="11900" w:h="16838" w:orient="portrait"/>
          <w:cols w:equalWidth="0" w:num="1">
            <w:col w:w="11420"/>
          </w:cols>
          <w:pgMar w:left="240" w:top="915" w:right="239" w:bottom="1440" w:gutter="0" w:footer="0" w:header="0"/>
        </w:sectPr>
      </w:pPr>
    </w:p>
    <w:bookmarkStart w:id="57" w:name="page58"/>
    <w:bookmarkEnd w:id="57"/>
    <w:p>
      <w:pPr>
        <w:spacing w:after="0"/>
        <w:rPr>
          <w:sz w:val="20"/>
          <w:szCs w:val="20"/>
          <w:color w:val="auto"/>
        </w:rPr>
      </w:pPr>
      <w:r>
        <w:rPr>
          <w:rFonts w:ascii="Arial" w:cs="Arial" w:eastAsia="Arial" w:hAnsi="Arial"/>
          <w:sz w:val="18"/>
          <w:szCs w:val="18"/>
          <w:b w:val="1"/>
          <w:bCs w:val="1"/>
          <w:i w:val="1"/>
          <w:iCs w:val="1"/>
          <w:color w:val="auto"/>
        </w:rPr>
        <w:t>Nonperforming Assets</w:t>
      </w:r>
    </w:p>
    <w:p>
      <w:pPr>
        <w:spacing w:after="0" w:line="248"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The table below summarizes nonperforming assets, excluding SCB’s assets covered by the loss-sharing agreements with the FDIC. Those assets have been excluded from nonperforming assets, as the loss-sharing agreements with the FDIC and purchase price adjustments to reflect credit losses effectively eliminate the likelihood of recognizing any losses on the covered assets.</w:t>
      </w:r>
    </w:p>
    <w:p>
      <w:pPr>
        <w:spacing w:after="0" w:line="181" w:lineRule="exact"/>
        <w:rPr>
          <w:sz w:val="20"/>
          <w:szCs w:val="20"/>
          <w:color w:val="auto"/>
        </w:rPr>
      </w:pPr>
    </w:p>
    <w:tbl>
      <w:tblPr>
        <w:tblLayout w:type="fixed"/>
        <w:tblInd w:w="40" w:type="dxa"/>
        <w:tblCellMar>
          <w:top w:w="0" w:type="dxa"/>
          <w:left w:w="0" w:type="dxa"/>
          <w:bottom w:w="0" w:type="dxa"/>
          <w:right w:w="0" w:type="dxa"/>
        </w:tblCellMar>
      </w:tblPr>
      <w:tr>
        <w:trPr>
          <w:trHeight w:val="218"/>
        </w:trPr>
        <w:tc>
          <w:tcPr>
            <w:tcW w:w="7300" w:type="dxa"/>
            <w:vAlign w:val="bottom"/>
          </w:tcPr>
          <w:p>
            <w:pPr>
              <w:spacing w:after="0"/>
              <w:rPr>
                <w:sz w:val="20"/>
                <w:szCs w:val="20"/>
                <w:color w:val="auto"/>
              </w:rPr>
            </w:pPr>
            <w:r>
              <w:rPr>
                <w:rFonts w:ascii="Arial" w:cs="Arial" w:eastAsia="Arial" w:hAnsi="Arial"/>
                <w:sz w:val="18"/>
                <w:szCs w:val="18"/>
                <w:b w:val="1"/>
                <w:bCs w:val="1"/>
                <w:color w:val="auto"/>
              </w:rPr>
              <w:t>Table 10 - Nonperforming Assets</w:t>
            </w: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7300" w:type="dxa"/>
            <w:vAlign w:val="bottom"/>
          </w:tcPr>
          <w:p>
            <w:pPr>
              <w:ind w:left="20"/>
              <w:spacing w:after="0"/>
              <w:rPr>
                <w:sz w:val="20"/>
                <w:szCs w:val="20"/>
                <w:color w:val="auto"/>
              </w:rPr>
            </w:pPr>
            <w:r>
              <w:rPr>
                <w:rFonts w:ascii="Arial" w:cs="Arial" w:eastAsia="Arial" w:hAnsi="Arial"/>
                <w:sz w:val="18"/>
                <w:szCs w:val="18"/>
                <w:i w:val="1"/>
                <w:iCs w:val="1"/>
                <w:color w:val="auto"/>
              </w:rPr>
              <w:t>(in thousands)</w:t>
            </w:r>
          </w:p>
        </w:tc>
        <w:tc>
          <w:tcPr>
            <w:tcW w:w="180" w:type="dxa"/>
            <w:vAlign w:val="bottom"/>
          </w:tcPr>
          <w:p>
            <w:pPr>
              <w:spacing w:after="0"/>
              <w:rPr>
                <w:sz w:val="19"/>
                <w:szCs w:val="19"/>
                <w:color w:val="auto"/>
              </w:rPr>
            </w:pPr>
          </w:p>
        </w:tc>
        <w:tc>
          <w:tcPr>
            <w:tcW w:w="1120" w:type="dxa"/>
            <w:vAlign w:val="bottom"/>
            <w:vMerge w:val="restart"/>
          </w:tcPr>
          <w:p>
            <w:pPr>
              <w:jc w:val="right"/>
              <w:ind w:right="331"/>
              <w:spacing w:after="0"/>
              <w:rPr>
                <w:sz w:val="20"/>
                <w:szCs w:val="20"/>
                <w:color w:val="auto"/>
              </w:rPr>
            </w:pPr>
            <w:r>
              <w:rPr>
                <w:rFonts w:ascii="Arial" w:cs="Arial" w:eastAsia="Arial" w:hAnsi="Arial"/>
                <w:sz w:val="18"/>
                <w:szCs w:val="18"/>
                <w:b w:val="1"/>
                <w:bCs w:val="1"/>
                <w:color w:val="auto"/>
                <w:w w:val="94"/>
              </w:rPr>
              <w:t>June 30,</w:t>
            </w:r>
          </w:p>
        </w:tc>
        <w:tc>
          <w:tcPr>
            <w:tcW w:w="100" w:type="dxa"/>
            <w:vAlign w:val="bottom"/>
          </w:tcPr>
          <w:p>
            <w:pPr>
              <w:spacing w:after="0"/>
              <w:rPr>
                <w:sz w:val="19"/>
                <w:szCs w:val="19"/>
                <w:color w:val="auto"/>
              </w:rPr>
            </w:pPr>
          </w:p>
        </w:tc>
        <w:tc>
          <w:tcPr>
            <w:tcW w:w="1280" w:type="dxa"/>
            <w:vAlign w:val="bottom"/>
            <w:gridSpan w:val="2"/>
            <w:vMerge w:val="restart"/>
          </w:tcPr>
          <w:p>
            <w:pPr>
              <w:jc w:val="right"/>
              <w:ind w:right="111"/>
              <w:spacing w:after="0"/>
              <w:rPr>
                <w:sz w:val="20"/>
                <w:szCs w:val="20"/>
                <w:color w:val="auto"/>
              </w:rPr>
            </w:pPr>
            <w:r>
              <w:rPr>
                <w:rFonts w:ascii="Arial" w:cs="Arial" w:eastAsia="Arial" w:hAnsi="Arial"/>
                <w:sz w:val="18"/>
                <w:szCs w:val="18"/>
                <w:b w:val="1"/>
                <w:bCs w:val="1"/>
                <w:color w:val="auto"/>
                <w:w w:val="90"/>
              </w:rPr>
              <w:t>December 31,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vMerge w:val="restart"/>
          </w:tcPr>
          <w:p>
            <w:pPr>
              <w:jc w:val="right"/>
              <w:ind w:right="311"/>
              <w:spacing w:after="0"/>
              <w:rPr>
                <w:sz w:val="20"/>
                <w:szCs w:val="20"/>
                <w:color w:val="auto"/>
              </w:rPr>
            </w:pPr>
            <w:r>
              <w:rPr>
                <w:rFonts w:ascii="Arial" w:cs="Arial" w:eastAsia="Arial" w:hAnsi="Arial"/>
                <w:sz w:val="18"/>
                <w:szCs w:val="18"/>
                <w:b w:val="1"/>
                <w:bCs w:val="1"/>
                <w:color w:val="auto"/>
                <w:w w:val="97"/>
              </w:rPr>
              <w:t>June 30,</w:t>
            </w:r>
          </w:p>
        </w:tc>
        <w:tc>
          <w:tcPr>
            <w:tcW w:w="0" w:type="dxa"/>
            <w:vAlign w:val="bottom"/>
          </w:tcPr>
          <w:p>
            <w:pPr>
              <w:spacing w:after="0"/>
              <w:rPr>
                <w:sz w:val="1"/>
                <w:szCs w:val="1"/>
                <w:color w:val="auto"/>
              </w:rPr>
            </w:pPr>
          </w:p>
        </w:tc>
      </w:tr>
      <w:tr>
        <w:trPr>
          <w:trHeight w:val="198"/>
        </w:trPr>
        <w:tc>
          <w:tcPr>
            <w:tcW w:w="7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73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71"/>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51"/>
              <w:spacing w:after="0"/>
              <w:rPr>
                <w:sz w:val="20"/>
                <w:szCs w:val="20"/>
                <w:color w:val="auto"/>
              </w:rPr>
            </w:pPr>
            <w:r>
              <w:rPr>
                <w:rFonts w:ascii="Arial" w:cs="Arial" w:eastAsia="Arial" w:hAnsi="Arial"/>
                <w:sz w:val="18"/>
                <w:szCs w:val="18"/>
                <w:b w:val="1"/>
                <w:bCs w:val="1"/>
                <w:color w:val="auto"/>
              </w:rPr>
              <w:t>2012</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51"/>
              <w:spacing w:after="0"/>
              <w:rPr>
                <w:sz w:val="20"/>
                <w:szCs w:val="20"/>
                <w:color w:val="auto"/>
              </w:rPr>
            </w:pPr>
            <w:r>
              <w:rPr>
                <w:rFonts w:ascii="Arial" w:cs="Arial" w:eastAsia="Arial" w:hAnsi="Arial"/>
                <w:sz w:val="18"/>
                <w:szCs w:val="18"/>
                <w:b w:val="1"/>
                <w:bCs w:val="1"/>
                <w:color w:val="auto"/>
              </w:rPr>
              <w:t>2012</w:t>
            </w:r>
          </w:p>
        </w:tc>
        <w:tc>
          <w:tcPr>
            <w:tcW w:w="0" w:type="dxa"/>
            <w:vAlign w:val="bottom"/>
          </w:tcPr>
          <w:p>
            <w:pPr>
              <w:spacing w:after="0"/>
              <w:rPr>
                <w:sz w:val="1"/>
                <w:szCs w:val="1"/>
                <w:color w:val="auto"/>
              </w:rPr>
            </w:pPr>
          </w:p>
        </w:tc>
      </w:tr>
      <w:tr>
        <w:trPr>
          <w:trHeight w:val="200"/>
        </w:trPr>
        <w:tc>
          <w:tcPr>
            <w:tcW w:w="7300" w:type="dxa"/>
            <w:vAlign w:val="bottom"/>
          </w:tcPr>
          <w:p>
            <w:pPr>
              <w:ind w:left="20"/>
              <w:spacing w:after="0" w:line="200" w:lineRule="exact"/>
              <w:rPr>
                <w:sz w:val="20"/>
                <w:szCs w:val="20"/>
                <w:color w:val="auto"/>
              </w:rPr>
            </w:pPr>
            <w:r>
              <w:rPr>
                <w:rFonts w:ascii="Arial" w:cs="Arial" w:eastAsia="Arial" w:hAnsi="Arial"/>
                <w:sz w:val="18"/>
                <w:szCs w:val="18"/>
                <w:color w:val="auto"/>
              </w:rPr>
              <w:t>Nonperforming loans*</w:t>
            </w:r>
          </w:p>
        </w:tc>
        <w:tc>
          <w:tcPr>
            <w:tcW w:w="180" w:type="dxa"/>
            <w:vAlign w:val="bottom"/>
          </w:tcPr>
          <w:p>
            <w:pPr>
              <w:jc w:val="right"/>
              <w:spacing w:after="0" w:line="200" w:lineRule="exact"/>
              <w:rPr>
                <w:sz w:val="20"/>
                <w:szCs w:val="20"/>
                <w:color w:val="auto"/>
              </w:rPr>
            </w:pPr>
            <w:r>
              <w:rPr>
                <w:rFonts w:ascii="Arial" w:cs="Arial" w:eastAsia="Arial" w:hAnsi="Arial"/>
                <w:sz w:val="18"/>
                <w:szCs w:val="18"/>
                <w:color w:val="auto"/>
                <w:w w:val="79"/>
              </w:rPr>
              <w:t>$</w:t>
            </w:r>
          </w:p>
        </w:tc>
        <w:tc>
          <w:tcPr>
            <w:tcW w:w="1120" w:type="dxa"/>
            <w:vAlign w:val="bottom"/>
          </w:tcPr>
          <w:p>
            <w:pPr>
              <w:jc w:val="right"/>
              <w:ind w:right="71"/>
              <w:spacing w:after="0" w:line="200" w:lineRule="exact"/>
              <w:rPr>
                <w:sz w:val="20"/>
                <w:szCs w:val="20"/>
                <w:color w:val="auto"/>
              </w:rPr>
            </w:pPr>
            <w:r>
              <w:rPr>
                <w:rFonts w:ascii="Arial" w:cs="Arial" w:eastAsia="Arial" w:hAnsi="Arial"/>
                <w:sz w:val="18"/>
                <w:szCs w:val="18"/>
                <w:color w:val="auto"/>
              </w:rPr>
              <w:t>27,864</w:t>
            </w:r>
          </w:p>
        </w:tc>
        <w:tc>
          <w:tcPr>
            <w:tcW w:w="100" w:type="dxa"/>
            <w:vAlign w:val="bottom"/>
          </w:tcPr>
          <w:p>
            <w:pPr>
              <w:spacing w:after="0"/>
              <w:rPr>
                <w:sz w:val="17"/>
                <w:szCs w:val="17"/>
                <w:color w:val="auto"/>
              </w:rPr>
            </w:pPr>
          </w:p>
        </w:tc>
        <w:tc>
          <w:tcPr>
            <w:tcW w:w="240" w:type="dxa"/>
            <w:vAlign w:val="bottom"/>
          </w:tcPr>
          <w:p>
            <w:pPr>
              <w:jc w:val="right"/>
              <w:ind w:right="51"/>
              <w:spacing w:after="0" w:line="200" w:lineRule="exact"/>
              <w:rPr>
                <w:sz w:val="20"/>
                <w:szCs w:val="20"/>
                <w:color w:val="auto"/>
              </w:rPr>
            </w:pPr>
            <w:r>
              <w:rPr>
                <w:rFonts w:ascii="Arial" w:cs="Arial" w:eastAsia="Arial" w:hAnsi="Arial"/>
                <w:sz w:val="18"/>
                <w:szCs w:val="18"/>
                <w:color w:val="auto"/>
                <w:w w:val="79"/>
              </w:rPr>
              <w:t>$</w:t>
            </w:r>
          </w:p>
        </w:tc>
        <w:tc>
          <w:tcPr>
            <w:tcW w:w="1040" w:type="dxa"/>
            <w:vAlign w:val="bottom"/>
          </w:tcPr>
          <w:p>
            <w:pPr>
              <w:jc w:val="right"/>
              <w:ind w:right="71"/>
              <w:spacing w:after="0" w:line="200" w:lineRule="exact"/>
              <w:rPr>
                <w:sz w:val="20"/>
                <w:szCs w:val="20"/>
                <w:color w:val="auto"/>
              </w:rPr>
            </w:pPr>
            <w:r>
              <w:rPr>
                <w:rFonts w:ascii="Arial" w:cs="Arial" w:eastAsia="Arial" w:hAnsi="Arial"/>
                <w:sz w:val="18"/>
                <w:szCs w:val="18"/>
                <w:color w:val="auto"/>
              </w:rPr>
              <w:t>109,894</w:t>
            </w:r>
          </w:p>
        </w:tc>
        <w:tc>
          <w:tcPr>
            <w:tcW w:w="120" w:type="dxa"/>
            <w:vAlign w:val="bottom"/>
          </w:tcPr>
          <w:p>
            <w:pPr>
              <w:spacing w:after="0"/>
              <w:rPr>
                <w:sz w:val="17"/>
                <w:szCs w:val="17"/>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120" w:type="dxa"/>
            <w:vAlign w:val="bottom"/>
          </w:tcPr>
          <w:p>
            <w:pPr>
              <w:jc w:val="right"/>
              <w:ind w:right="71"/>
              <w:spacing w:after="0" w:line="200" w:lineRule="exact"/>
              <w:rPr>
                <w:sz w:val="20"/>
                <w:szCs w:val="20"/>
                <w:color w:val="auto"/>
              </w:rPr>
            </w:pPr>
            <w:r>
              <w:rPr>
                <w:rFonts w:ascii="Arial" w:cs="Arial" w:eastAsia="Arial" w:hAnsi="Arial"/>
                <w:sz w:val="18"/>
                <w:szCs w:val="18"/>
                <w:color w:val="auto"/>
              </w:rPr>
              <w:t>115,340</w:t>
            </w:r>
          </w:p>
        </w:tc>
        <w:tc>
          <w:tcPr>
            <w:tcW w:w="0" w:type="dxa"/>
            <w:vAlign w:val="bottom"/>
          </w:tcPr>
          <w:p>
            <w:pPr>
              <w:spacing w:after="0"/>
              <w:rPr>
                <w:sz w:val="1"/>
                <w:szCs w:val="1"/>
                <w:color w:val="auto"/>
              </w:rPr>
            </w:pPr>
          </w:p>
        </w:tc>
      </w:tr>
      <w:tr>
        <w:trPr>
          <w:trHeight w:val="235"/>
        </w:trPr>
        <w:tc>
          <w:tcPr>
            <w:tcW w:w="7300" w:type="dxa"/>
            <w:vAlign w:val="bottom"/>
          </w:tcPr>
          <w:p>
            <w:pPr>
              <w:ind w:left="20"/>
              <w:spacing w:after="0"/>
              <w:rPr>
                <w:sz w:val="20"/>
                <w:szCs w:val="20"/>
                <w:color w:val="auto"/>
              </w:rPr>
            </w:pPr>
            <w:r>
              <w:rPr>
                <w:rFonts w:ascii="Arial" w:cs="Arial" w:eastAsia="Arial" w:hAnsi="Arial"/>
                <w:sz w:val="18"/>
                <w:szCs w:val="18"/>
                <w:color w:val="auto"/>
              </w:rPr>
              <w:t>Foreclosed properties (OREO)</w:t>
            </w:r>
          </w:p>
        </w:tc>
        <w:tc>
          <w:tcPr>
            <w:tcW w:w="1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3,936</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18,264</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30,421</w:t>
            </w:r>
          </w:p>
        </w:tc>
        <w:tc>
          <w:tcPr>
            <w:tcW w:w="0" w:type="dxa"/>
            <w:vAlign w:val="bottom"/>
          </w:tcPr>
          <w:p>
            <w:pPr>
              <w:spacing w:after="0"/>
              <w:rPr>
                <w:sz w:val="1"/>
                <w:szCs w:val="1"/>
                <w:color w:val="auto"/>
              </w:rPr>
            </w:pPr>
          </w:p>
        </w:tc>
      </w:tr>
      <w:tr>
        <w:trPr>
          <w:trHeight w:val="428"/>
        </w:trPr>
        <w:tc>
          <w:tcPr>
            <w:tcW w:w="7300" w:type="dxa"/>
            <w:vAlign w:val="bottom"/>
          </w:tcPr>
          <w:p>
            <w:pPr>
              <w:ind w:left="140"/>
              <w:spacing w:after="0"/>
              <w:rPr>
                <w:sz w:val="20"/>
                <w:szCs w:val="20"/>
                <w:color w:val="auto"/>
              </w:rPr>
            </w:pPr>
            <w:r>
              <w:rPr>
                <w:rFonts w:ascii="Arial" w:cs="Arial" w:eastAsia="Arial" w:hAnsi="Arial"/>
                <w:sz w:val="18"/>
                <w:szCs w:val="18"/>
                <w:color w:val="auto"/>
              </w:rPr>
              <w:t>Total nonperforming assets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71"/>
              <w:spacing w:after="0"/>
              <w:rPr>
                <w:sz w:val="20"/>
                <w:szCs w:val="20"/>
                <w:color w:val="auto"/>
              </w:rPr>
            </w:pPr>
            <w:r>
              <w:rPr>
                <w:rFonts w:ascii="Arial" w:cs="Arial" w:eastAsia="Arial" w:hAnsi="Arial"/>
                <w:sz w:val="18"/>
                <w:szCs w:val="18"/>
                <w:color w:val="auto"/>
              </w:rPr>
              <w:t>31,800</w:t>
            </w:r>
          </w:p>
        </w:tc>
        <w:tc>
          <w:tcPr>
            <w:tcW w:w="340" w:type="dxa"/>
            <w:vAlign w:val="bottom"/>
            <w:gridSpan w:val="2"/>
          </w:tcPr>
          <w:p>
            <w:pPr>
              <w:jc w:val="right"/>
              <w:ind w:right="51"/>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71"/>
              <w:spacing w:after="0"/>
              <w:rPr>
                <w:sz w:val="20"/>
                <w:szCs w:val="20"/>
                <w:color w:val="auto"/>
              </w:rPr>
            </w:pPr>
            <w:r>
              <w:rPr>
                <w:rFonts w:ascii="Arial" w:cs="Arial" w:eastAsia="Arial" w:hAnsi="Arial"/>
                <w:sz w:val="18"/>
                <w:szCs w:val="18"/>
                <w:color w:val="auto"/>
              </w:rPr>
              <w:t>128,158</w:t>
            </w:r>
          </w:p>
        </w:tc>
        <w:tc>
          <w:tcPr>
            <w:tcW w:w="28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71"/>
              <w:spacing w:after="0"/>
              <w:rPr>
                <w:sz w:val="20"/>
                <w:szCs w:val="20"/>
                <w:color w:val="auto"/>
              </w:rPr>
            </w:pPr>
            <w:r>
              <w:rPr>
                <w:rFonts w:ascii="Arial" w:cs="Arial" w:eastAsia="Arial" w:hAnsi="Arial"/>
                <w:sz w:val="18"/>
                <w:szCs w:val="18"/>
                <w:color w:val="auto"/>
              </w:rPr>
              <w:t>145,761</w:t>
            </w:r>
          </w:p>
        </w:tc>
        <w:tc>
          <w:tcPr>
            <w:tcW w:w="0" w:type="dxa"/>
            <w:vAlign w:val="bottom"/>
          </w:tcPr>
          <w:p>
            <w:pPr>
              <w:spacing w:after="0"/>
              <w:rPr>
                <w:sz w:val="1"/>
                <w:szCs w:val="1"/>
                <w:color w:val="auto"/>
              </w:rPr>
            </w:pPr>
          </w:p>
        </w:tc>
      </w:tr>
      <w:tr>
        <w:trPr>
          <w:trHeight w:val="21"/>
        </w:trPr>
        <w:tc>
          <w:tcPr>
            <w:tcW w:w="7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08"/>
        </w:trPr>
        <w:tc>
          <w:tcPr>
            <w:tcW w:w="7300" w:type="dxa"/>
            <w:vAlign w:val="bottom"/>
          </w:tcPr>
          <w:p>
            <w:pPr>
              <w:ind w:left="20"/>
              <w:spacing w:after="0"/>
              <w:rPr>
                <w:sz w:val="20"/>
                <w:szCs w:val="20"/>
                <w:color w:val="auto"/>
              </w:rPr>
            </w:pPr>
            <w:r>
              <w:rPr>
                <w:rFonts w:ascii="Arial" w:cs="Arial" w:eastAsia="Arial" w:hAnsi="Arial"/>
                <w:sz w:val="18"/>
                <w:szCs w:val="18"/>
                <w:color w:val="auto"/>
              </w:rPr>
              <w:t>Nonperforming loans as a percentage of total loans</w:t>
            </w:r>
          </w:p>
        </w:tc>
        <w:tc>
          <w:tcPr>
            <w:tcW w:w="1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2.63%</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2.80%</w:t>
            </w:r>
          </w:p>
        </w:tc>
        <w:tc>
          <w:tcPr>
            <w:tcW w:w="0" w:type="dxa"/>
            <w:vAlign w:val="bottom"/>
          </w:tcPr>
          <w:p>
            <w:pPr>
              <w:spacing w:after="0"/>
              <w:rPr>
                <w:sz w:val="1"/>
                <w:szCs w:val="1"/>
                <w:color w:val="auto"/>
              </w:rPr>
            </w:pPr>
          </w:p>
        </w:tc>
      </w:tr>
      <w:tr>
        <w:trPr>
          <w:trHeight w:val="214"/>
        </w:trPr>
        <w:tc>
          <w:tcPr>
            <w:tcW w:w="7300" w:type="dxa"/>
            <w:vAlign w:val="bottom"/>
          </w:tcPr>
          <w:p>
            <w:pPr>
              <w:ind w:left="20"/>
              <w:spacing w:after="0"/>
              <w:rPr>
                <w:sz w:val="20"/>
                <w:szCs w:val="20"/>
                <w:color w:val="auto"/>
              </w:rPr>
            </w:pPr>
            <w:r>
              <w:rPr>
                <w:rFonts w:ascii="Arial" w:cs="Arial" w:eastAsia="Arial" w:hAnsi="Arial"/>
                <w:sz w:val="18"/>
                <w:szCs w:val="18"/>
                <w:color w:val="auto"/>
              </w:rPr>
              <w:t>Nonperforming assets as a percentage of total loans and OREO</w:t>
            </w:r>
          </w:p>
        </w:tc>
        <w:tc>
          <w:tcPr>
            <w:tcW w:w="180" w:type="dxa"/>
            <w:vAlign w:val="bottom"/>
          </w:tcPr>
          <w:p>
            <w:pPr>
              <w:spacing w:after="0"/>
              <w:rPr>
                <w:sz w:val="18"/>
                <w:szCs w:val="18"/>
                <w:color w:val="auto"/>
              </w:rPr>
            </w:pPr>
          </w:p>
        </w:tc>
        <w:tc>
          <w:tcPr>
            <w:tcW w:w="1120" w:type="dxa"/>
            <w:vAlign w:val="bottom"/>
          </w:tcPr>
          <w:p>
            <w:pPr>
              <w:jc w:val="right"/>
              <w:ind w:right="71"/>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jc w:val="right"/>
              <w:ind w:right="71"/>
              <w:spacing w:after="0"/>
              <w:rPr>
                <w:sz w:val="20"/>
                <w:szCs w:val="20"/>
                <w:color w:val="auto"/>
              </w:rPr>
            </w:pPr>
            <w:r>
              <w:rPr>
                <w:rFonts w:ascii="Arial" w:cs="Arial" w:eastAsia="Arial" w:hAnsi="Arial"/>
                <w:sz w:val="18"/>
                <w:szCs w:val="18"/>
                <w:color w:val="auto"/>
              </w:rPr>
              <w:t>3.06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right"/>
              <w:ind w:right="71"/>
              <w:spacing w:after="0"/>
              <w:rPr>
                <w:sz w:val="20"/>
                <w:szCs w:val="20"/>
                <w:color w:val="auto"/>
              </w:rPr>
            </w:pPr>
            <w:r>
              <w:rPr>
                <w:rFonts w:ascii="Arial" w:cs="Arial" w:eastAsia="Arial" w:hAnsi="Arial"/>
                <w:sz w:val="18"/>
                <w:szCs w:val="18"/>
                <w:color w:val="auto"/>
              </w:rPr>
              <w:t>3.51</w:t>
            </w:r>
          </w:p>
        </w:tc>
        <w:tc>
          <w:tcPr>
            <w:tcW w:w="0" w:type="dxa"/>
            <w:vAlign w:val="bottom"/>
          </w:tcPr>
          <w:p>
            <w:pPr>
              <w:spacing w:after="0"/>
              <w:rPr>
                <w:sz w:val="1"/>
                <w:szCs w:val="1"/>
                <w:color w:val="auto"/>
              </w:rPr>
            </w:pPr>
          </w:p>
        </w:tc>
      </w:tr>
      <w:tr>
        <w:trPr>
          <w:trHeight w:val="227"/>
        </w:trPr>
        <w:tc>
          <w:tcPr>
            <w:tcW w:w="7300" w:type="dxa"/>
            <w:vAlign w:val="bottom"/>
          </w:tcPr>
          <w:p>
            <w:pPr>
              <w:ind w:left="20"/>
              <w:spacing w:after="0"/>
              <w:rPr>
                <w:sz w:val="20"/>
                <w:szCs w:val="20"/>
                <w:color w:val="auto"/>
              </w:rPr>
            </w:pPr>
            <w:r>
              <w:rPr>
                <w:rFonts w:ascii="Arial" w:cs="Arial" w:eastAsia="Arial" w:hAnsi="Arial"/>
                <w:sz w:val="18"/>
                <w:szCs w:val="18"/>
                <w:color w:val="auto"/>
              </w:rPr>
              <w:t>Nonperforming assets as a percentage of total assets</w:t>
            </w:r>
          </w:p>
        </w:tc>
        <w:tc>
          <w:tcPr>
            <w:tcW w:w="180" w:type="dxa"/>
            <w:vAlign w:val="bottom"/>
          </w:tcPr>
          <w:p>
            <w:pPr>
              <w:spacing w:after="0"/>
              <w:rPr>
                <w:sz w:val="19"/>
                <w:szCs w:val="19"/>
                <w:color w:val="auto"/>
              </w:rPr>
            </w:pPr>
          </w:p>
        </w:tc>
        <w:tc>
          <w:tcPr>
            <w:tcW w:w="1120" w:type="dxa"/>
            <w:vAlign w:val="bottom"/>
          </w:tcPr>
          <w:p>
            <w:pPr>
              <w:jc w:val="right"/>
              <w:ind w:right="71"/>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jc w:val="right"/>
              <w:ind w:right="71"/>
              <w:spacing w:after="0"/>
              <w:rPr>
                <w:sz w:val="20"/>
                <w:szCs w:val="20"/>
                <w:color w:val="auto"/>
              </w:rPr>
            </w:pPr>
            <w:r>
              <w:rPr>
                <w:rFonts w:ascii="Arial" w:cs="Arial" w:eastAsia="Arial" w:hAnsi="Arial"/>
                <w:sz w:val="18"/>
                <w:szCs w:val="18"/>
                <w:color w:val="auto"/>
              </w:rPr>
              <w:t>1.88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ind w:right="71"/>
              <w:spacing w:after="0"/>
              <w:rPr>
                <w:sz w:val="20"/>
                <w:szCs w:val="20"/>
                <w:color w:val="auto"/>
              </w:rPr>
            </w:pPr>
            <w:r>
              <w:rPr>
                <w:rFonts w:ascii="Arial" w:cs="Arial" w:eastAsia="Arial" w:hAnsi="Arial"/>
                <w:sz w:val="18"/>
                <w:szCs w:val="18"/>
                <w:color w:val="auto"/>
              </w:rPr>
              <w:t>2.16</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540" w:hanging="533"/>
        <w:spacing w:after="0"/>
        <w:tabs>
          <w:tab w:leader="none" w:pos="5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There were no loans 90 days or more past due that were still accruing at period end.</w:t>
      </w:r>
    </w:p>
    <w:p>
      <w:pPr>
        <w:spacing w:after="0" w:line="24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At June 30, 2013, nonperforming loans were $27.9 million, compared to $110 million at December 31, 2012 and $115 million at June 30, 2012. Nonperforming loans have steadily decreased in dollar amount and as a percentage of total loans following the classification of United’s largest lending relationship in the third quarter of 2011. In addition, the second quarter of 2013 sales of classified assets further reduced non-performing assets. Nonperforming assets, which include nonperforming loans and foreclosed real estate, totaled $31.8 million at June 30, 2013, compared with $128 million at December 31, 2012 and $146 million at June 30, 2012. United sold $18.0 million of foreclosed properties during the second quarter of 2013, however these sales of foreclosed properties were offset by $9.43 million in new foreclosures for the quarter.</w:t>
      </w:r>
    </w:p>
    <w:p>
      <w:pPr>
        <w:spacing w:after="0" w:line="20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United’s policy is to place loans on nonaccrual status when, in the opinion of management, the principal and interest on a loan is not likely to be repaid in accordance with the loan terms or when the loan becomes 90 days past due and is not well secured and in the process of collection. When a loan is classified on nonaccrual status, interest previously accrued but not collected is reversed against current interest revenue. Principal and interest payments received on a nonaccrual loan are applied to reduce outstanding principal.</w:t>
      </w:r>
    </w:p>
    <w:p>
      <w:pPr>
        <w:spacing w:after="0" w:line="215"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following table summarizes non-performing assets by category and market. As with Tables 7, 8, 9 and 10, assets covered by the loss-sharing agreements with the FDIC related to the acquisition of SCB are excluded from this table.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Table 11 - Nonperforming Assets by Quarter </w:t>
      </w:r>
      <w:r>
        <w:rPr>
          <w:rFonts w:ascii="Arial" w:cs="Arial" w:eastAsia="Arial" w:hAnsi="Arial"/>
          <w:sz w:val="24"/>
          <w:szCs w:val="24"/>
          <w:color w:val="auto"/>
          <w:vertAlign w:val="superscript"/>
        </w:rPr>
        <w:t>(1)</w:t>
      </w:r>
    </w:p>
    <w:p>
      <w:pPr>
        <w:spacing w:after="0"/>
        <w:rPr>
          <w:sz w:val="20"/>
          <w:szCs w:val="20"/>
          <w:color w:val="auto"/>
        </w:rPr>
      </w:pPr>
      <w:r>
        <w:rPr>
          <w:rFonts w:ascii="Arial" w:cs="Arial" w:eastAsia="Arial" w:hAnsi="Arial"/>
          <w:sz w:val="18"/>
          <w:szCs w:val="18"/>
          <w:i w:val="1"/>
          <w:iCs w:val="1"/>
          <w:color w:val="auto"/>
        </w:rPr>
        <w:t>(in thousands)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18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980" w:type="dxa"/>
            <w:vAlign w:val="bottom"/>
            <w:tcBorders>
              <w:bottom w:val="single" w:sz="8" w:color="auto"/>
            </w:tcBorders>
            <w:gridSpan w:val="4"/>
          </w:tcPr>
          <w:p>
            <w:pPr>
              <w:jc w:val="right"/>
              <w:ind w:right="71"/>
              <w:spacing w:after="0"/>
              <w:rPr>
                <w:sz w:val="20"/>
                <w:szCs w:val="20"/>
                <w:color w:val="auto"/>
              </w:rPr>
            </w:pPr>
            <w:r>
              <w:rPr>
                <w:rFonts w:ascii="Arial" w:cs="Arial" w:eastAsia="Arial" w:hAnsi="Arial"/>
                <w:sz w:val="18"/>
                <w:szCs w:val="18"/>
                <w:b w:val="1"/>
                <w:bCs w:val="1"/>
                <w:color w:val="auto"/>
              </w:rPr>
              <w:t>June 30, 2013</w:t>
            </w: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100" w:type="dxa"/>
            <w:vAlign w:val="bottom"/>
            <w:tcBorders>
              <w:bottom w:val="single" w:sz="8" w:color="auto"/>
            </w:tcBorders>
            <w:gridSpan w:val="5"/>
          </w:tcPr>
          <w:p>
            <w:pPr>
              <w:ind w:left="640"/>
              <w:spacing w:after="0"/>
              <w:rPr>
                <w:sz w:val="20"/>
                <w:szCs w:val="20"/>
                <w:color w:val="auto"/>
              </w:rPr>
            </w:pPr>
            <w:r>
              <w:rPr>
                <w:rFonts w:ascii="Arial" w:cs="Arial" w:eastAsia="Arial" w:hAnsi="Arial"/>
                <w:sz w:val="18"/>
                <w:szCs w:val="18"/>
                <w:b w:val="1"/>
                <w:bCs w:val="1"/>
                <w:color w:val="auto"/>
                <w:w w:val="87"/>
              </w:rPr>
              <w:t>December 31, 2012</w:t>
            </w:r>
          </w:p>
        </w:tc>
        <w:tc>
          <w:tcPr>
            <w:tcW w:w="1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gridSpan w:val="4"/>
          </w:tcPr>
          <w:p>
            <w:pPr>
              <w:jc w:val="right"/>
              <w:ind w:right="51"/>
              <w:spacing w:after="0"/>
              <w:rPr>
                <w:sz w:val="20"/>
                <w:szCs w:val="20"/>
                <w:color w:val="auto"/>
              </w:rPr>
            </w:pPr>
            <w:r>
              <w:rPr>
                <w:rFonts w:ascii="Arial" w:cs="Arial" w:eastAsia="Arial" w:hAnsi="Arial"/>
                <w:sz w:val="18"/>
                <w:szCs w:val="18"/>
                <w:b w:val="1"/>
                <w:bCs w:val="1"/>
                <w:color w:val="auto"/>
              </w:rPr>
              <w:t>June 30, 2012</w:t>
            </w: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18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40" w:type="dxa"/>
            <w:vAlign w:val="bottom"/>
            <w:gridSpan w:val="2"/>
          </w:tcPr>
          <w:p>
            <w:pPr>
              <w:spacing w:after="0" w:line="196" w:lineRule="exact"/>
              <w:rPr>
                <w:sz w:val="20"/>
                <w:szCs w:val="20"/>
                <w:color w:val="auto"/>
              </w:rPr>
            </w:pPr>
            <w:r>
              <w:rPr>
                <w:rFonts w:ascii="Arial" w:cs="Arial" w:eastAsia="Arial" w:hAnsi="Arial"/>
                <w:sz w:val="18"/>
                <w:szCs w:val="18"/>
                <w:b w:val="1"/>
                <w:bCs w:val="1"/>
                <w:color w:val="auto"/>
              </w:rPr>
              <w:t>Nonaccrual</w:t>
            </w:r>
          </w:p>
        </w:tc>
        <w:tc>
          <w:tcPr>
            <w:tcW w:w="60" w:type="dxa"/>
            <w:vAlign w:val="bottom"/>
          </w:tcPr>
          <w:p>
            <w:pPr>
              <w:spacing w:after="0"/>
              <w:rPr>
                <w:sz w:val="17"/>
                <w:szCs w:val="17"/>
                <w:color w:val="auto"/>
              </w:rPr>
            </w:pPr>
          </w:p>
        </w:tc>
        <w:tc>
          <w:tcPr>
            <w:tcW w:w="1020" w:type="dxa"/>
            <w:vAlign w:val="bottom"/>
            <w:gridSpan w:val="2"/>
          </w:tcPr>
          <w:p>
            <w:pPr>
              <w:ind w:left="20"/>
              <w:spacing w:after="0" w:line="196" w:lineRule="exact"/>
              <w:rPr>
                <w:sz w:val="20"/>
                <w:szCs w:val="20"/>
                <w:color w:val="auto"/>
              </w:rPr>
            </w:pPr>
            <w:r>
              <w:rPr>
                <w:rFonts w:ascii="Arial" w:cs="Arial" w:eastAsia="Arial" w:hAnsi="Arial"/>
                <w:sz w:val="18"/>
                <w:szCs w:val="18"/>
                <w:b w:val="1"/>
                <w:bCs w:val="1"/>
                <w:color w:val="auto"/>
              </w:rPr>
              <w:t>Foreclosed</w:t>
            </w:r>
          </w:p>
        </w:tc>
        <w:tc>
          <w:tcPr>
            <w:tcW w:w="100" w:type="dxa"/>
            <w:vAlign w:val="bottom"/>
            <w:tcBorders>
              <w:right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Borders>
              <w:right w:val="single" w:sz="8" w:color="auto"/>
            </w:tcBorders>
          </w:tcPr>
          <w:p>
            <w:pPr>
              <w:jc w:val="right"/>
              <w:ind w:right="211"/>
              <w:spacing w:after="0" w:line="196" w:lineRule="exact"/>
              <w:rPr>
                <w:sz w:val="20"/>
                <w:szCs w:val="20"/>
                <w:color w:val="auto"/>
              </w:rPr>
            </w:pPr>
            <w:r>
              <w:rPr>
                <w:rFonts w:ascii="Arial" w:cs="Arial" w:eastAsia="Arial" w:hAnsi="Arial"/>
                <w:sz w:val="18"/>
                <w:szCs w:val="18"/>
                <w:b w:val="1"/>
                <w:bCs w:val="1"/>
                <w:color w:val="auto"/>
                <w:w w:val="88"/>
              </w:rPr>
              <w:t>Total</w:t>
            </w:r>
          </w:p>
        </w:tc>
        <w:tc>
          <w:tcPr>
            <w:tcW w:w="80" w:type="dxa"/>
            <w:vAlign w:val="bottom"/>
          </w:tcPr>
          <w:p>
            <w:pPr>
              <w:spacing w:after="0"/>
              <w:rPr>
                <w:sz w:val="17"/>
                <w:szCs w:val="17"/>
                <w:color w:val="auto"/>
              </w:rPr>
            </w:pPr>
          </w:p>
        </w:tc>
        <w:tc>
          <w:tcPr>
            <w:tcW w:w="1040" w:type="dxa"/>
            <w:vAlign w:val="bottom"/>
            <w:gridSpan w:val="2"/>
          </w:tcPr>
          <w:p>
            <w:pPr>
              <w:spacing w:after="0" w:line="196" w:lineRule="exact"/>
              <w:rPr>
                <w:sz w:val="20"/>
                <w:szCs w:val="20"/>
                <w:color w:val="auto"/>
              </w:rPr>
            </w:pPr>
            <w:r>
              <w:rPr>
                <w:rFonts w:ascii="Arial" w:cs="Arial" w:eastAsia="Arial" w:hAnsi="Arial"/>
                <w:sz w:val="18"/>
                <w:szCs w:val="18"/>
                <w:b w:val="1"/>
                <w:bCs w:val="1"/>
                <w:color w:val="auto"/>
              </w:rPr>
              <w:t>Nonaccrual</w:t>
            </w:r>
          </w:p>
        </w:tc>
        <w:tc>
          <w:tcPr>
            <w:tcW w:w="80" w:type="dxa"/>
            <w:vAlign w:val="bottom"/>
          </w:tcPr>
          <w:p>
            <w:pPr>
              <w:spacing w:after="0"/>
              <w:rPr>
                <w:sz w:val="17"/>
                <w:szCs w:val="17"/>
                <w:color w:val="auto"/>
              </w:rPr>
            </w:pPr>
          </w:p>
        </w:tc>
        <w:tc>
          <w:tcPr>
            <w:tcW w:w="1120" w:type="dxa"/>
            <w:vAlign w:val="bottom"/>
            <w:tcBorders>
              <w:right w:val="single" w:sz="8" w:color="auto"/>
            </w:tcBorders>
            <w:gridSpan w:val="3"/>
          </w:tcPr>
          <w:p>
            <w:pPr>
              <w:ind w:left="20"/>
              <w:spacing w:after="0" w:line="196" w:lineRule="exact"/>
              <w:rPr>
                <w:sz w:val="20"/>
                <w:szCs w:val="20"/>
                <w:color w:val="auto"/>
              </w:rPr>
            </w:pPr>
            <w:r>
              <w:rPr>
                <w:rFonts w:ascii="Arial" w:cs="Arial" w:eastAsia="Arial" w:hAnsi="Arial"/>
                <w:sz w:val="18"/>
                <w:szCs w:val="18"/>
                <w:b w:val="1"/>
                <w:bCs w:val="1"/>
                <w:color w:val="auto"/>
              </w:rPr>
              <w:t>Foreclosed</w:t>
            </w:r>
          </w:p>
        </w:tc>
        <w:tc>
          <w:tcPr>
            <w:tcW w:w="160" w:type="dxa"/>
            <w:vAlign w:val="bottom"/>
          </w:tcPr>
          <w:p>
            <w:pPr>
              <w:spacing w:after="0"/>
              <w:rPr>
                <w:sz w:val="17"/>
                <w:szCs w:val="17"/>
                <w:color w:val="auto"/>
              </w:rPr>
            </w:pPr>
          </w:p>
        </w:tc>
        <w:tc>
          <w:tcPr>
            <w:tcW w:w="780" w:type="dxa"/>
            <w:vAlign w:val="bottom"/>
            <w:tcBorders>
              <w:right w:val="single" w:sz="8" w:color="auto"/>
            </w:tcBorders>
          </w:tcPr>
          <w:p>
            <w:pPr>
              <w:jc w:val="right"/>
              <w:ind w:right="271"/>
              <w:spacing w:after="0" w:line="196" w:lineRule="exact"/>
              <w:rPr>
                <w:sz w:val="20"/>
                <w:szCs w:val="20"/>
                <w:color w:val="auto"/>
              </w:rPr>
            </w:pPr>
            <w:r>
              <w:rPr>
                <w:rFonts w:ascii="Arial" w:cs="Arial" w:eastAsia="Arial" w:hAnsi="Arial"/>
                <w:sz w:val="18"/>
                <w:szCs w:val="18"/>
                <w:b w:val="1"/>
                <w:bCs w:val="1"/>
                <w:color w:val="auto"/>
                <w:w w:val="92"/>
              </w:rPr>
              <w:t>Total</w:t>
            </w:r>
          </w:p>
        </w:tc>
        <w:tc>
          <w:tcPr>
            <w:tcW w:w="80" w:type="dxa"/>
            <w:vAlign w:val="bottom"/>
          </w:tcPr>
          <w:p>
            <w:pPr>
              <w:spacing w:after="0"/>
              <w:rPr>
                <w:sz w:val="17"/>
                <w:szCs w:val="17"/>
                <w:color w:val="auto"/>
              </w:rPr>
            </w:pPr>
          </w:p>
        </w:tc>
        <w:tc>
          <w:tcPr>
            <w:tcW w:w="1040" w:type="dxa"/>
            <w:vAlign w:val="bottom"/>
            <w:gridSpan w:val="2"/>
          </w:tcPr>
          <w:p>
            <w:pPr>
              <w:jc w:val="right"/>
              <w:ind w:right="71"/>
              <w:spacing w:after="0" w:line="196" w:lineRule="exact"/>
              <w:rPr>
                <w:sz w:val="20"/>
                <w:szCs w:val="20"/>
                <w:color w:val="auto"/>
              </w:rPr>
            </w:pPr>
            <w:r>
              <w:rPr>
                <w:rFonts w:ascii="Arial" w:cs="Arial" w:eastAsia="Arial" w:hAnsi="Arial"/>
                <w:sz w:val="18"/>
                <w:szCs w:val="18"/>
                <w:b w:val="1"/>
                <w:bCs w:val="1"/>
                <w:color w:val="auto"/>
                <w:w w:val="87"/>
              </w:rPr>
              <w:t>Nonaccrual</w:t>
            </w:r>
          </w:p>
        </w:tc>
        <w:tc>
          <w:tcPr>
            <w:tcW w:w="80" w:type="dxa"/>
            <w:vAlign w:val="bottom"/>
          </w:tcPr>
          <w:p>
            <w:pPr>
              <w:spacing w:after="0"/>
              <w:rPr>
                <w:sz w:val="17"/>
                <w:szCs w:val="17"/>
                <w:color w:val="auto"/>
              </w:rPr>
            </w:pPr>
          </w:p>
        </w:tc>
        <w:tc>
          <w:tcPr>
            <w:tcW w:w="1020" w:type="dxa"/>
            <w:vAlign w:val="bottom"/>
            <w:gridSpan w:val="2"/>
          </w:tcPr>
          <w:p>
            <w:pPr>
              <w:ind w:left="20"/>
              <w:spacing w:after="0" w:line="196" w:lineRule="exact"/>
              <w:rPr>
                <w:sz w:val="20"/>
                <w:szCs w:val="20"/>
                <w:color w:val="auto"/>
              </w:rPr>
            </w:pPr>
            <w:r>
              <w:rPr>
                <w:rFonts w:ascii="Arial" w:cs="Arial" w:eastAsia="Arial" w:hAnsi="Arial"/>
                <w:sz w:val="18"/>
                <w:szCs w:val="18"/>
                <w:b w:val="1"/>
                <w:bCs w:val="1"/>
                <w:color w:val="auto"/>
              </w:rPr>
              <w:t>Foreclosed</w:t>
            </w:r>
          </w:p>
        </w:tc>
        <w:tc>
          <w:tcPr>
            <w:tcW w:w="10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Borders>
              <w:right w:val="single" w:sz="8" w:color="auto"/>
            </w:tcBorders>
          </w:tcPr>
          <w:p>
            <w:pPr>
              <w:jc w:val="right"/>
              <w:ind w:right="251"/>
              <w:spacing w:after="0" w:line="196" w:lineRule="exact"/>
              <w:rPr>
                <w:sz w:val="20"/>
                <w:szCs w:val="20"/>
                <w:color w:val="auto"/>
              </w:rPr>
            </w:pPr>
            <w:r>
              <w:rPr>
                <w:rFonts w:ascii="Arial" w:cs="Arial" w:eastAsia="Arial" w:hAnsi="Arial"/>
                <w:sz w:val="18"/>
                <w:szCs w:val="18"/>
                <w:b w:val="1"/>
                <w:bCs w:val="1"/>
                <w:color w:val="auto"/>
                <w:w w:val="88"/>
              </w:rPr>
              <w:t>Total</w:t>
            </w:r>
          </w:p>
        </w:tc>
        <w:tc>
          <w:tcPr>
            <w:tcW w:w="0" w:type="dxa"/>
            <w:vAlign w:val="bottom"/>
          </w:tcPr>
          <w:p>
            <w:pPr>
              <w:spacing w:after="0"/>
              <w:rPr>
                <w:sz w:val="1"/>
                <w:szCs w:val="1"/>
                <w:color w:val="auto"/>
              </w:rPr>
            </w:pPr>
          </w:p>
        </w:tc>
      </w:tr>
      <w:tr>
        <w:trPr>
          <w:trHeight w:val="239"/>
        </w:trPr>
        <w:tc>
          <w:tcPr>
            <w:tcW w:w="18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right"/>
              <w:ind w:right="271"/>
              <w:spacing w:after="0"/>
              <w:rPr>
                <w:sz w:val="20"/>
                <w:szCs w:val="20"/>
                <w:color w:val="auto"/>
              </w:rPr>
            </w:pPr>
            <w:r>
              <w:rPr>
                <w:rFonts w:ascii="Arial" w:cs="Arial" w:eastAsia="Arial" w:hAnsi="Arial"/>
                <w:sz w:val="18"/>
                <w:szCs w:val="18"/>
                <w:b w:val="1"/>
                <w:bCs w:val="1"/>
                <w:color w:val="auto"/>
                <w:w w:val="98"/>
              </w:rPr>
              <w:t>Loans</w:t>
            </w:r>
          </w:p>
        </w:tc>
        <w:tc>
          <w:tcPr>
            <w:tcW w:w="60" w:type="dxa"/>
            <w:vAlign w:val="bottom"/>
          </w:tcPr>
          <w:p>
            <w:pPr>
              <w:spacing w:after="0"/>
              <w:rPr>
                <w:sz w:val="20"/>
                <w:szCs w:val="20"/>
                <w:color w:val="auto"/>
              </w:rPr>
            </w:pPr>
          </w:p>
        </w:tc>
        <w:tc>
          <w:tcPr>
            <w:tcW w:w="1020" w:type="dxa"/>
            <w:vAlign w:val="bottom"/>
            <w:gridSpan w:val="2"/>
          </w:tcPr>
          <w:p>
            <w:pPr>
              <w:ind w:left="40"/>
              <w:spacing w:after="0"/>
              <w:rPr>
                <w:sz w:val="20"/>
                <w:szCs w:val="20"/>
                <w:color w:val="auto"/>
              </w:rPr>
            </w:pPr>
            <w:r>
              <w:rPr>
                <w:rFonts w:ascii="Arial" w:cs="Arial" w:eastAsia="Arial" w:hAnsi="Arial"/>
                <w:sz w:val="18"/>
                <w:szCs w:val="18"/>
                <w:b w:val="1"/>
                <w:bCs w:val="1"/>
                <w:color w:val="auto"/>
              </w:rPr>
              <w:t>Properties</w:t>
            </w:r>
          </w:p>
        </w:tc>
        <w:tc>
          <w:tcPr>
            <w:tcW w:w="100" w:type="dxa"/>
            <w:vAlign w:val="bottom"/>
            <w:tcBorders>
              <w:right w:val="single" w:sz="8" w:color="auto"/>
            </w:tcBorders>
          </w:tcPr>
          <w:p>
            <w:pPr>
              <w:spacing w:after="0"/>
              <w:rPr>
                <w:sz w:val="20"/>
                <w:szCs w:val="20"/>
                <w:color w:val="auto"/>
              </w:rPr>
            </w:pPr>
          </w:p>
        </w:tc>
        <w:tc>
          <w:tcPr>
            <w:tcW w:w="840" w:type="dxa"/>
            <w:vAlign w:val="bottom"/>
            <w:tcBorders>
              <w:right w:val="single" w:sz="8" w:color="auto"/>
            </w:tcBorders>
            <w:gridSpan w:val="2"/>
          </w:tcPr>
          <w:p>
            <w:pPr>
              <w:jc w:val="right"/>
              <w:ind w:right="211"/>
              <w:spacing w:after="0"/>
              <w:rPr>
                <w:sz w:val="20"/>
                <w:szCs w:val="20"/>
                <w:color w:val="auto"/>
              </w:rPr>
            </w:pPr>
            <w:r>
              <w:rPr>
                <w:rFonts w:ascii="Arial" w:cs="Arial" w:eastAsia="Arial" w:hAnsi="Arial"/>
                <w:sz w:val="18"/>
                <w:szCs w:val="18"/>
                <w:b w:val="1"/>
                <w:bCs w:val="1"/>
                <w:color w:val="auto"/>
              </w:rPr>
              <w:t>NPAs</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right"/>
              <w:ind w:right="271"/>
              <w:spacing w:after="0"/>
              <w:rPr>
                <w:sz w:val="20"/>
                <w:szCs w:val="20"/>
                <w:color w:val="auto"/>
              </w:rPr>
            </w:pPr>
            <w:r>
              <w:rPr>
                <w:rFonts w:ascii="Arial" w:cs="Arial" w:eastAsia="Arial" w:hAnsi="Arial"/>
                <w:sz w:val="18"/>
                <w:szCs w:val="18"/>
                <w:b w:val="1"/>
                <w:bCs w:val="1"/>
                <w:color w:val="auto"/>
                <w:w w:val="98"/>
              </w:rPr>
              <w:t>Loans</w:t>
            </w:r>
          </w:p>
        </w:tc>
        <w:tc>
          <w:tcPr>
            <w:tcW w:w="80" w:type="dxa"/>
            <w:vAlign w:val="bottom"/>
          </w:tcPr>
          <w:p>
            <w:pPr>
              <w:spacing w:after="0"/>
              <w:rPr>
                <w:sz w:val="20"/>
                <w:szCs w:val="20"/>
                <w:color w:val="auto"/>
              </w:rPr>
            </w:pPr>
          </w:p>
        </w:tc>
        <w:tc>
          <w:tcPr>
            <w:tcW w:w="1120" w:type="dxa"/>
            <w:vAlign w:val="bottom"/>
            <w:tcBorders>
              <w:right w:val="single" w:sz="8" w:color="auto"/>
            </w:tcBorders>
            <w:gridSpan w:val="3"/>
          </w:tcPr>
          <w:p>
            <w:pPr>
              <w:ind w:left="40"/>
              <w:spacing w:after="0"/>
              <w:rPr>
                <w:sz w:val="20"/>
                <w:szCs w:val="20"/>
                <w:color w:val="auto"/>
              </w:rPr>
            </w:pPr>
            <w:r>
              <w:rPr>
                <w:rFonts w:ascii="Arial" w:cs="Arial" w:eastAsia="Arial" w:hAnsi="Arial"/>
                <w:sz w:val="18"/>
                <w:szCs w:val="18"/>
                <w:b w:val="1"/>
                <w:bCs w:val="1"/>
                <w:color w:val="auto"/>
              </w:rPr>
              <w:t>Properties</w:t>
            </w:r>
          </w:p>
        </w:tc>
        <w:tc>
          <w:tcPr>
            <w:tcW w:w="160" w:type="dxa"/>
            <w:vAlign w:val="bottom"/>
          </w:tcPr>
          <w:p>
            <w:pPr>
              <w:spacing w:after="0"/>
              <w:rPr>
                <w:sz w:val="20"/>
                <w:szCs w:val="20"/>
                <w:color w:val="auto"/>
              </w:rPr>
            </w:pPr>
          </w:p>
        </w:tc>
        <w:tc>
          <w:tcPr>
            <w:tcW w:w="780" w:type="dxa"/>
            <w:vAlign w:val="bottom"/>
            <w:tcBorders>
              <w:right w:val="single" w:sz="8" w:color="auto"/>
            </w:tcBorders>
          </w:tcPr>
          <w:p>
            <w:pPr>
              <w:jc w:val="right"/>
              <w:ind w:right="251"/>
              <w:spacing w:after="0"/>
              <w:rPr>
                <w:sz w:val="20"/>
                <w:szCs w:val="20"/>
                <w:color w:val="auto"/>
              </w:rPr>
            </w:pPr>
            <w:r>
              <w:rPr>
                <w:rFonts w:ascii="Arial" w:cs="Arial" w:eastAsia="Arial" w:hAnsi="Arial"/>
                <w:sz w:val="18"/>
                <w:szCs w:val="18"/>
                <w:b w:val="1"/>
                <w:bCs w:val="1"/>
                <w:color w:val="auto"/>
                <w:w w:val="87"/>
              </w:rPr>
              <w:t>NPAs</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right"/>
              <w:ind w:right="291"/>
              <w:spacing w:after="0"/>
              <w:rPr>
                <w:sz w:val="20"/>
                <w:szCs w:val="20"/>
                <w:color w:val="auto"/>
              </w:rPr>
            </w:pPr>
            <w:r>
              <w:rPr>
                <w:rFonts w:ascii="Arial" w:cs="Arial" w:eastAsia="Arial" w:hAnsi="Arial"/>
                <w:sz w:val="18"/>
                <w:szCs w:val="18"/>
                <w:b w:val="1"/>
                <w:bCs w:val="1"/>
                <w:color w:val="auto"/>
                <w:w w:val="94"/>
              </w:rPr>
              <w:t>Loans</w:t>
            </w:r>
          </w:p>
        </w:tc>
        <w:tc>
          <w:tcPr>
            <w:tcW w:w="80" w:type="dxa"/>
            <w:vAlign w:val="bottom"/>
          </w:tcPr>
          <w:p>
            <w:pPr>
              <w:spacing w:after="0"/>
              <w:rPr>
                <w:sz w:val="20"/>
                <w:szCs w:val="20"/>
                <w:color w:val="auto"/>
              </w:rPr>
            </w:pPr>
          </w:p>
        </w:tc>
        <w:tc>
          <w:tcPr>
            <w:tcW w:w="1020" w:type="dxa"/>
            <w:vAlign w:val="bottom"/>
            <w:gridSpan w:val="2"/>
          </w:tcPr>
          <w:p>
            <w:pPr>
              <w:ind w:left="40"/>
              <w:spacing w:after="0"/>
              <w:rPr>
                <w:sz w:val="20"/>
                <w:szCs w:val="20"/>
                <w:color w:val="auto"/>
              </w:rPr>
            </w:pPr>
            <w:r>
              <w:rPr>
                <w:rFonts w:ascii="Arial" w:cs="Arial" w:eastAsia="Arial" w:hAnsi="Arial"/>
                <w:sz w:val="18"/>
                <w:szCs w:val="18"/>
                <w:b w:val="1"/>
                <w:bCs w:val="1"/>
                <w:color w:val="auto"/>
              </w:rPr>
              <w:t>Properties</w:t>
            </w:r>
          </w:p>
        </w:tc>
        <w:tc>
          <w:tcPr>
            <w:tcW w:w="10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Borders>
              <w:right w:val="single" w:sz="8" w:color="auto"/>
            </w:tcBorders>
          </w:tcPr>
          <w:p>
            <w:pPr>
              <w:jc w:val="right"/>
              <w:ind w:right="231"/>
              <w:spacing w:after="0"/>
              <w:rPr>
                <w:sz w:val="20"/>
                <w:szCs w:val="20"/>
                <w:color w:val="auto"/>
              </w:rPr>
            </w:pPr>
            <w:r>
              <w:rPr>
                <w:rFonts w:ascii="Arial" w:cs="Arial" w:eastAsia="Arial" w:hAnsi="Arial"/>
                <w:sz w:val="18"/>
                <w:szCs w:val="18"/>
                <w:b w:val="1"/>
                <w:bCs w:val="1"/>
                <w:color w:val="auto"/>
                <w:w w:val="83"/>
              </w:rPr>
              <w:t>NPAs</w:t>
            </w:r>
          </w:p>
        </w:tc>
        <w:tc>
          <w:tcPr>
            <w:tcW w:w="0" w:type="dxa"/>
            <w:vAlign w:val="bottom"/>
          </w:tcPr>
          <w:p>
            <w:pPr>
              <w:spacing w:after="0"/>
              <w:rPr>
                <w:sz w:val="1"/>
                <w:szCs w:val="1"/>
                <w:color w:val="auto"/>
              </w:rPr>
            </w:pPr>
          </w:p>
        </w:tc>
      </w:tr>
      <w:tr>
        <w:trPr>
          <w:trHeight w:val="200"/>
        </w:trPr>
        <w:tc>
          <w:tcPr>
            <w:tcW w:w="1840" w:type="dxa"/>
            <w:vAlign w:val="bottom"/>
          </w:tcPr>
          <w:p>
            <w:pPr>
              <w:spacing w:after="0" w:line="200" w:lineRule="exact"/>
              <w:rPr>
                <w:sz w:val="20"/>
                <w:szCs w:val="20"/>
                <w:color w:val="auto"/>
              </w:rPr>
            </w:pPr>
            <w:r>
              <w:rPr>
                <w:rFonts w:ascii="Arial" w:cs="Arial" w:eastAsia="Arial" w:hAnsi="Arial"/>
                <w:sz w:val="18"/>
                <w:szCs w:val="18"/>
                <w:b w:val="1"/>
                <w:bCs w:val="1"/>
                <w:color w:val="auto"/>
              </w:rPr>
              <w:t>BY CATEGORY</w:t>
            </w:r>
          </w:p>
        </w:tc>
        <w:tc>
          <w:tcPr>
            <w:tcW w:w="4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00" w:type="dxa"/>
            <w:vAlign w:val="bottom"/>
            <w:tcBorders>
              <w:top w:val="single" w:sz="8" w:color="auto"/>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780" w:type="dxa"/>
            <w:vAlign w:val="bottom"/>
            <w:tcBorders>
              <w:top w:val="single" w:sz="8" w:color="auto"/>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740" w:type="dxa"/>
            <w:vAlign w:val="bottom"/>
            <w:tcBorders>
              <w:top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20" w:type="dxa"/>
            <w:vAlign w:val="bottom"/>
            <w:gridSpan w:val="3"/>
          </w:tcPr>
          <w:p>
            <w:pPr>
              <w:spacing w:after="0"/>
              <w:rPr>
                <w:sz w:val="20"/>
                <w:szCs w:val="20"/>
                <w:color w:val="auto"/>
              </w:rPr>
            </w:pPr>
            <w:r>
              <w:rPr>
                <w:rFonts w:ascii="Arial" w:cs="Arial" w:eastAsia="Arial" w:hAnsi="Arial"/>
                <w:sz w:val="18"/>
                <w:szCs w:val="18"/>
                <w:color w:val="auto"/>
                <w:w w:val="92"/>
              </w:rPr>
              <w:t>Commercial (sec. by RE) $</w:t>
            </w:r>
          </w:p>
        </w:tc>
        <w:tc>
          <w:tcPr>
            <w:tcW w:w="900" w:type="dxa"/>
            <w:vAlign w:val="bottom"/>
          </w:tcPr>
          <w:p>
            <w:pPr>
              <w:jc w:val="right"/>
              <w:ind w:right="71"/>
              <w:spacing w:after="0"/>
              <w:rPr>
                <w:sz w:val="20"/>
                <w:szCs w:val="20"/>
                <w:color w:val="auto"/>
              </w:rPr>
            </w:pPr>
            <w:r>
              <w:rPr>
                <w:rFonts w:ascii="Arial" w:cs="Arial" w:eastAsia="Arial" w:hAnsi="Arial"/>
                <w:sz w:val="18"/>
                <w:szCs w:val="18"/>
                <w:color w:val="auto"/>
              </w:rPr>
              <w:t>7,237</w:t>
            </w:r>
          </w:p>
        </w:tc>
        <w:tc>
          <w:tcPr>
            <w:tcW w:w="34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71"/>
              <w:spacing w:after="0"/>
              <w:rPr>
                <w:sz w:val="20"/>
                <w:szCs w:val="20"/>
                <w:color w:val="auto"/>
              </w:rPr>
            </w:pPr>
            <w:r>
              <w:rPr>
                <w:rFonts w:ascii="Arial" w:cs="Arial" w:eastAsia="Arial" w:hAnsi="Arial"/>
                <w:sz w:val="18"/>
                <w:szCs w:val="18"/>
                <w:color w:val="auto"/>
              </w:rPr>
              <w:t>547</w:t>
            </w:r>
          </w:p>
        </w:tc>
        <w:tc>
          <w:tcPr>
            <w:tcW w:w="100" w:type="dxa"/>
            <w:vAlign w:val="bottom"/>
            <w:tcBorders>
              <w:right w:val="single" w:sz="8" w:color="auto"/>
            </w:tcBorders>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right w:val="single" w:sz="8" w:color="auto"/>
            </w:tcBorders>
          </w:tcPr>
          <w:p>
            <w:pPr>
              <w:jc w:val="right"/>
              <w:ind w:right="71"/>
              <w:spacing w:after="0"/>
              <w:rPr>
                <w:sz w:val="20"/>
                <w:szCs w:val="20"/>
                <w:color w:val="auto"/>
              </w:rPr>
            </w:pPr>
            <w:r>
              <w:rPr>
                <w:rFonts w:ascii="Arial" w:cs="Arial" w:eastAsia="Arial" w:hAnsi="Arial"/>
                <w:sz w:val="18"/>
                <w:szCs w:val="18"/>
                <w:color w:val="auto"/>
              </w:rPr>
              <w:t>7,784</w:t>
            </w:r>
          </w:p>
        </w:tc>
        <w:tc>
          <w:tcPr>
            <w:tcW w:w="22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71"/>
              <w:spacing w:after="0"/>
              <w:rPr>
                <w:sz w:val="20"/>
                <w:szCs w:val="20"/>
                <w:color w:val="auto"/>
              </w:rPr>
            </w:pPr>
            <w:r>
              <w:rPr>
                <w:rFonts w:ascii="Arial" w:cs="Arial" w:eastAsia="Arial" w:hAnsi="Arial"/>
                <w:sz w:val="18"/>
                <w:szCs w:val="18"/>
                <w:color w:val="auto"/>
              </w:rPr>
              <w:t>22,148</w:t>
            </w:r>
          </w:p>
        </w:tc>
        <w:tc>
          <w:tcPr>
            <w:tcW w:w="32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71"/>
              <w:spacing w:after="0"/>
              <w:rPr>
                <w:sz w:val="20"/>
                <w:szCs w:val="20"/>
                <w:color w:val="auto"/>
              </w:rPr>
            </w:pPr>
            <w:r>
              <w:rPr>
                <w:rFonts w:ascii="Arial" w:cs="Arial" w:eastAsia="Arial" w:hAnsi="Arial"/>
                <w:sz w:val="18"/>
                <w:szCs w:val="18"/>
                <w:color w:val="auto"/>
              </w:rPr>
              <w:t>5,479</w:t>
            </w:r>
          </w:p>
        </w:tc>
        <w:tc>
          <w:tcPr>
            <w:tcW w:w="100" w:type="dxa"/>
            <w:vAlign w:val="bottom"/>
            <w:tcBorders>
              <w:right w:val="single" w:sz="8" w:color="auto"/>
            </w:tcBorders>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right w:val="single" w:sz="8" w:color="auto"/>
            </w:tcBorders>
          </w:tcPr>
          <w:p>
            <w:pPr>
              <w:jc w:val="right"/>
              <w:ind w:right="71"/>
              <w:spacing w:after="0"/>
              <w:rPr>
                <w:sz w:val="20"/>
                <w:szCs w:val="20"/>
                <w:color w:val="auto"/>
              </w:rPr>
            </w:pPr>
            <w:r>
              <w:rPr>
                <w:rFonts w:ascii="Arial" w:cs="Arial" w:eastAsia="Arial" w:hAnsi="Arial"/>
                <w:sz w:val="18"/>
                <w:szCs w:val="18"/>
                <w:color w:val="auto"/>
              </w:rPr>
              <w:t>27,627</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71"/>
              <w:spacing w:after="0"/>
              <w:rPr>
                <w:sz w:val="20"/>
                <w:szCs w:val="20"/>
                <w:color w:val="auto"/>
              </w:rPr>
            </w:pPr>
            <w:r>
              <w:rPr>
                <w:rFonts w:ascii="Arial" w:cs="Arial" w:eastAsia="Arial" w:hAnsi="Arial"/>
                <w:sz w:val="18"/>
                <w:szCs w:val="18"/>
                <w:color w:val="auto"/>
              </w:rPr>
              <w:t>19,115</w:t>
            </w:r>
          </w:p>
        </w:tc>
        <w:tc>
          <w:tcPr>
            <w:tcW w:w="30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71"/>
              <w:spacing w:after="0"/>
              <w:rPr>
                <w:sz w:val="20"/>
                <w:szCs w:val="20"/>
                <w:color w:val="auto"/>
              </w:rPr>
            </w:pPr>
            <w:r>
              <w:rPr>
                <w:rFonts w:ascii="Arial" w:cs="Arial" w:eastAsia="Arial" w:hAnsi="Arial"/>
                <w:sz w:val="18"/>
                <w:szCs w:val="18"/>
                <w:color w:val="auto"/>
              </w:rPr>
              <w:t>10,586</w:t>
            </w:r>
          </w:p>
        </w:tc>
        <w:tc>
          <w:tcPr>
            <w:tcW w:w="100" w:type="dxa"/>
            <w:vAlign w:val="bottom"/>
            <w:tcBorders>
              <w:right w:val="single" w:sz="8" w:color="auto"/>
            </w:tcBorders>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right w:val="single" w:sz="8" w:color="auto"/>
            </w:tcBorders>
          </w:tcPr>
          <w:p>
            <w:pPr>
              <w:jc w:val="right"/>
              <w:ind w:right="71"/>
              <w:spacing w:after="0"/>
              <w:rPr>
                <w:sz w:val="20"/>
                <w:szCs w:val="20"/>
                <w:color w:val="auto"/>
              </w:rPr>
            </w:pPr>
            <w:r>
              <w:rPr>
                <w:rFonts w:ascii="Arial" w:cs="Arial" w:eastAsia="Arial" w:hAnsi="Arial"/>
                <w:sz w:val="18"/>
                <w:szCs w:val="18"/>
                <w:color w:val="auto"/>
              </w:rPr>
              <w:t>29,701</w:t>
            </w:r>
          </w:p>
        </w:tc>
        <w:tc>
          <w:tcPr>
            <w:tcW w:w="0" w:type="dxa"/>
            <w:vAlign w:val="bottom"/>
          </w:tcPr>
          <w:p>
            <w:pPr>
              <w:spacing w:after="0"/>
              <w:rPr>
                <w:sz w:val="1"/>
                <w:szCs w:val="1"/>
                <w:color w:val="auto"/>
              </w:rPr>
            </w:pPr>
          </w:p>
        </w:tc>
      </w:tr>
      <w:tr>
        <w:trPr>
          <w:trHeight w:val="214"/>
        </w:trPr>
        <w:tc>
          <w:tcPr>
            <w:tcW w:w="1840" w:type="dxa"/>
            <w:vAlign w:val="bottom"/>
          </w:tcPr>
          <w:p>
            <w:pPr>
              <w:spacing w:after="0"/>
              <w:rPr>
                <w:sz w:val="20"/>
                <w:szCs w:val="20"/>
                <w:color w:val="auto"/>
              </w:rPr>
            </w:pPr>
            <w:r>
              <w:rPr>
                <w:rFonts w:ascii="Arial" w:cs="Arial" w:eastAsia="Arial" w:hAnsi="Arial"/>
                <w:sz w:val="18"/>
                <w:szCs w:val="18"/>
                <w:color w:val="auto"/>
                <w:w w:val="95"/>
              </w:rPr>
              <w:t>Commercial &amp; industrial</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ind w:right="71"/>
              <w:spacing w:after="0"/>
              <w:rPr>
                <w:sz w:val="20"/>
                <w:szCs w:val="20"/>
                <w:color w:val="auto"/>
              </w:rPr>
            </w:pPr>
            <w:r>
              <w:rPr>
                <w:rFonts w:ascii="Arial" w:cs="Arial" w:eastAsia="Arial" w:hAnsi="Arial"/>
                <w:sz w:val="18"/>
                <w:szCs w:val="18"/>
                <w:color w:val="auto"/>
              </w:rPr>
              <w:t>548</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Borders>
              <w:right w:val="single" w:sz="8" w:color="auto"/>
            </w:tcBorders>
          </w:tcPr>
          <w:p>
            <w:pPr>
              <w:jc w:val="right"/>
              <w:ind w:right="71"/>
              <w:spacing w:after="0"/>
              <w:rPr>
                <w:sz w:val="20"/>
                <w:szCs w:val="20"/>
                <w:color w:val="auto"/>
              </w:rPr>
            </w:pPr>
            <w:r>
              <w:rPr>
                <w:rFonts w:ascii="Arial" w:cs="Arial" w:eastAsia="Arial" w:hAnsi="Arial"/>
                <w:sz w:val="18"/>
                <w:szCs w:val="18"/>
                <w:color w:val="auto"/>
              </w:rPr>
              <w:t>548</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ind w:right="71"/>
              <w:spacing w:after="0"/>
              <w:rPr>
                <w:sz w:val="20"/>
                <w:szCs w:val="20"/>
                <w:color w:val="auto"/>
              </w:rPr>
            </w:pPr>
            <w:r>
              <w:rPr>
                <w:rFonts w:ascii="Arial" w:cs="Arial" w:eastAsia="Arial" w:hAnsi="Arial"/>
                <w:sz w:val="18"/>
                <w:szCs w:val="18"/>
                <w:color w:val="auto"/>
              </w:rPr>
              <w:t>31,817</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10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Borders>
              <w:right w:val="single" w:sz="8" w:color="auto"/>
            </w:tcBorders>
          </w:tcPr>
          <w:p>
            <w:pPr>
              <w:jc w:val="right"/>
              <w:ind w:right="71"/>
              <w:spacing w:after="0"/>
              <w:rPr>
                <w:sz w:val="20"/>
                <w:szCs w:val="20"/>
                <w:color w:val="auto"/>
              </w:rPr>
            </w:pPr>
            <w:r>
              <w:rPr>
                <w:rFonts w:ascii="Arial" w:cs="Arial" w:eastAsia="Arial" w:hAnsi="Arial"/>
                <w:sz w:val="18"/>
                <w:szCs w:val="18"/>
                <w:color w:val="auto"/>
              </w:rPr>
              <w:t>31,817</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ind w:right="71"/>
              <w:spacing w:after="0"/>
              <w:rPr>
                <w:sz w:val="20"/>
                <w:szCs w:val="20"/>
                <w:color w:val="auto"/>
              </w:rPr>
            </w:pPr>
            <w:r>
              <w:rPr>
                <w:rFonts w:ascii="Arial" w:cs="Arial" w:eastAsia="Arial" w:hAnsi="Arial"/>
                <w:sz w:val="18"/>
                <w:szCs w:val="18"/>
                <w:color w:val="auto"/>
              </w:rPr>
              <w:t>34,982</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10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Borders>
              <w:right w:val="single" w:sz="8" w:color="auto"/>
            </w:tcBorders>
          </w:tcPr>
          <w:p>
            <w:pPr>
              <w:jc w:val="right"/>
              <w:ind w:right="71"/>
              <w:spacing w:after="0"/>
              <w:rPr>
                <w:sz w:val="20"/>
                <w:szCs w:val="20"/>
                <w:color w:val="auto"/>
              </w:rPr>
            </w:pPr>
            <w:r>
              <w:rPr>
                <w:rFonts w:ascii="Arial" w:cs="Arial" w:eastAsia="Arial" w:hAnsi="Arial"/>
                <w:sz w:val="18"/>
                <w:szCs w:val="18"/>
                <w:color w:val="auto"/>
              </w:rPr>
              <w:t>34,982</w:t>
            </w:r>
          </w:p>
        </w:tc>
        <w:tc>
          <w:tcPr>
            <w:tcW w:w="0" w:type="dxa"/>
            <w:vAlign w:val="bottom"/>
          </w:tcPr>
          <w:p>
            <w:pPr>
              <w:spacing w:after="0"/>
              <w:rPr>
                <w:sz w:val="1"/>
                <w:szCs w:val="1"/>
                <w:color w:val="auto"/>
              </w:rPr>
            </w:pPr>
          </w:p>
        </w:tc>
      </w:tr>
      <w:tr>
        <w:trPr>
          <w:trHeight w:val="235"/>
        </w:trPr>
        <w:tc>
          <w:tcPr>
            <w:tcW w:w="1840" w:type="dxa"/>
            <w:vAlign w:val="bottom"/>
          </w:tcPr>
          <w:p>
            <w:pPr>
              <w:spacing w:after="0"/>
              <w:rPr>
                <w:sz w:val="20"/>
                <w:szCs w:val="20"/>
                <w:color w:val="auto"/>
              </w:rPr>
            </w:pPr>
            <w:r>
              <w:rPr>
                <w:rFonts w:ascii="Arial" w:cs="Arial" w:eastAsia="Arial" w:hAnsi="Arial"/>
                <w:sz w:val="18"/>
                <w:szCs w:val="18"/>
                <w:color w:val="auto"/>
                <w:w w:val="91"/>
              </w:rPr>
              <w:t>Commercial construction</w:t>
            </w:r>
          </w:p>
        </w:tc>
        <w:tc>
          <w:tcPr>
            <w:tcW w:w="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504</w:t>
            </w:r>
          </w:p>
        </w:tc>
        <w:tc>
          <w:tcPr>
            <w:tcW w:w="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376</w:t>
            </w:r>
          </w:p>
        </w:tc>
        <w:tc>
          <w:tcPr>
            <w:tcW w:w="100" w:type="dxa"/>
            <w:vAlign w:val="bottom"/>
            <w:tcBorders>
              <w:right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00" w:type="dxa"/>
            <w:vAlign w:val="bottom"/>
            <w:tcBorders>
              <w:bottom w:val="single" w:sz="8" w:color="auto"/>
              <w:right w:val="single" w:sz="8" w:color="auto"/>
            </w:tcBorders>
          </w:tcPr>
          <w:p>
            <w:pPr>
              <w:jc w:val="right"/>
              <w:ind w:right="71"/>
              <w:spacing w:after="0"/>
              <w:rPr>
                <w:sz w:val="20"/>
                <w:szCs w:val="20"/>
                <w:color w:val="auto"/>
              </w:rPr>
            </w:pPr>
            <w:r>
              <w:rPr>
                <w:rFonts w:ascii="Arial" w:cs="Arial" w:eastAsia="Arial" w:hAnsi="Arial"/>
                <w:sz w:val="18"/>
                <w:szCs w:val="18"/>
                <w:color w:val="auto"/>
              </w:rPr>
              <w:t>880</w:t>
            </w: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23,843</w:t>
            </w: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2,204</w:t>
            </w:r>
          </w:p>
        </w:tc>
        <w:tc>
          <w:tcPr>
            <w:tcW w:w="100" w:type="dxa"/>
            <w:vAlign w:val="bottom"/>
            <w:tcBorders>
              <w:right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80" w:type="dxa"/>
            <w:vAlign w:val="bottom"/>
            <w:tcBorders>
              <w:bottom w:val="single" w:sz="8" w:color="auto"/>
              <w:right w:val="single" w:sz="8" w:color="auto"/>
            </w:tcBorders>
          </w:tcPr>
          <w:p>
            <w:pPr>
              <w:jc w:val="right"/>
              <w:ind w:right="71"/>
              <w:spacing w:after="0"/>
              <w:rPr>
                <w:sz w:val="20"/>
                <w:szCs w:val="20"/>
                <w:color w:val="auto"/>
              </w:rPr>
            </w:pPr>
            <w:r>
              <w:rPr>
                <w:rFonts w:ascii="Arial" w:cs="Arial" w:eastAsia="Arial" w:hAnsi="Arial"/>
                <w:sz w:val="18"/>
                <w:szCs w:val="18"/>
                <w:color w:val="auto"/>
              </w:rPr>
              <w:t>26,047</w:t>
            </w: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18,175</w:t>
            </w:r>
          </w:p>
        </w:tc>
        <w:tc>
          <w:tcPr>
            <w:tcW w:w="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2,732</w:t>
            </w:r>
          </w:p>
        </w:tc>
        <w:tc>
          <w:tcPr>
            <w:tcW w:w="100" w:type="dxa"/>
            <w:vAlign w:val="bottom"/>
            <w:tcBorders>
              <w:right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40" w:type="dxa"/>
            <w:vAlign w:val="bottom"/>
            <w:tcBorders>
              <w:bottom w:val="single" w:sz="8" w:color="auto"/>
              <w:right w:val="single" w:sz="8" w:color="auto"/>
            </w:tcBorders>
          </w:tcPr>
          <w:p>
            <w:pPr>
              <w:jc w:val="right"/>
              <w:ind w:right="71"/>
              <w:spacing w:after="0"/>
              <w:rPr>
                <w:sz w:val="20"/>
                <w:szCs w:val="20"/>
                <w:color w:val="auto"/>
              </w:rPr>
            </w:pPr>
            <w:r>
              <w:rPr>
                <w:rFonts w:ascii="Arial" w:cs="Arial" w:eastAsia="Arial" w:hAnsi="Arial"/>
                <w:sz w:val="18"/>
                <w:szCs w:val="18"/>
                <w:color w:val="auto"/>
              </w:rPr>
              <w:t>20,907</w:t>
            </w:r>
          </w:p>
        </w:tc>
        <w:tc>
          <w:tcPr>
            <w:tcW w:w="0" w:type="dxa"/>
            <w:vAlign w:val="bottom"/>
          </w:tcPr>
          <w:p>
            <w:pPr>
              <w:spacing w:after="0"/>
              <w:rPr>
                <w:sz w:val="1"/>
                <w:szCs w:val="1"/>
                <w:color w:val="auto"/>
              </w:rPr>
            </w:pPr>
          </w:p>
        </w:tc>
      </w:tr>
      <w:tr>
        <w:trPr>
          <w:trHeight w:val="200"/>
        </w:trPr>
        <w:tc>
          <w:tcPr>
            <w:tcW w:w="1840" w:type="dxa"/>
            <w:vAlign w:val="bottom"/>
          </w:tcPr>
          <w:p>
            <w:pPr>
              <w:ind w:left="220"/>
              <w:spacing w:after="0" w:line="200" w:lineRule="exact"/>
              <w:rPr>
                <w:sz w:val="20"/>
                <w:szCs w:val="20"/>
                <w:color w:val="auto"/>
              </w:rPr>
            </w:pPr>
            <w:r>
              <w:rPr>
                <w:rFonts w:ascii="Arial" w:cs="Arial" w:eastAsia="Arial" w:hAnsi="Arial"/>
                <w:sz w:val="18"/>
                <w:szCs w:val="18"/>
                <w:color w:val="auto"/>
              </w:rPr>
              <w:t>Total commercial</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jc w:val="right"/>
              <w:ind w:right="71"/>
              <w:spacing w:after="0" w:line="200" w:lineRule="exact"/>
              <w:rPr>
                <w:sz w:val="20"/>
                <w:szCs w:val="20"/>
                <w:color w:val="auto"/>
              </w:rPr>
            </w:pPr>
            <w:r>
              <w:rPr>
                <w:rFonts w:ascii="Arial" w:cs="Arial" w:eastAsia="Arial" w:hAnsi="Arial"/>
                <w:sz w:val="18"/>
                <w:szCs w:val="18"/>
                <w:color w:val="auto"/>
              </w:rPr>
              <w:t>8,289</w:t>
            </w: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Pr>
          <w:p>
            <w:pPr>
              <w:jc w:val="right"/>
              <w:ind w:right="71"/>
              <w:spacing w:after="0" w:line="200" w:lineRule="exact"/>
              <w:rPr>
                <w:sz w:val="20"/>
                <w:szCs w:val="20"/>
                <w:color w:val="auto"/>
              </w:rPr>
            </w:pPr>
            <w:r>
              <w:rPr>
                <w:rFonts w:ascii="Arial" w:cs="Arial" w:eastAsia="Arial" w:hAnsi="Arial"/>
                <w:sz w:val="18"/>
                <w:szCs w:val="18"/>
                <w:color w:val="auto"/>
              </w:rPr>
              <w:t>923</w:t>
            </w:r>
          </w:p>
        </w:tc>
        <w:tc>
          <w:tcPr>
            <w:tcW w:w="100" w:type="dxa"/>
            <w:vAlign w:val="bottom"/>
            <w:tcBorders>
              <w:right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Borders>
              <w:right w:val="single" w:sz="8" w:color="auto"/>
            </w:tcBorders>
          </w:tcPr>
          <w:p>
            <w:pPr>
              <w:jc w:val="right"/>
              <w:ind w:right="71"/>
              <w:spacing w:after="0" w:line="200" w:lineRule="exact"/>
              <w:rPr>
                <w:sz w:val="20"/>
                <w:szCs w:val="20"/>
                <w:color w:val="auto"/>
              </w:rPr>
            </w:pPr>
            <w:r>
              <w:rPr>
                <w:rFonts w:ascii="Arial" w:cs="Arial" w:eastAsia="Arial" w:hAnsi="Arial"/>
                <w:sz w:val="18"/>
                <w:szCs w:val="18"/>
                <w:color w:val="auto"/>
              </w:rPr>
              <w:t>9,212</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jc w:val="right"/>
              <w:ind w:right="71"/>
              <w:spacing w:after="0" w:line="200" w:lineRule="exact"/>
              <w:rPr>
                <w:sz w:val="20"/>
                <w:szCs w:val="20"/>
                <w:color w:val="auto"/>
              </w:rPr>
            </w:pPr>
            <w:r>
              <w:rPr>
                <w:rFonts w:ascii="Arial" w:cs="Arial" w:eastAsia="Arial" w:hAnsi="Arial"/>
                <w:sz w:val="18"/>
                <w:szCs w:val="18"/>
                <w:color w:val="auto"/>
              </w:rPr>
              <w:t>77,808</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jc w:val="right"/>
              <w:ind w:right="71"/>
              <w:spacing w:after="0" w:line="200" w:lineRule="exact"/>
              <w:rPr>
                <w:sz w:val="20"/>
                <w:szCs w:val="20"/>
                <w:color w:val="auto"/>
              </w:rPr>
            </w:pPr>
            <w:r>
              <w:rPr>
                <w:rFonts w:ascii="Arial" w:cs="Arial" w:eastAsia="Arial" w:hAnsi="Arial"/>
                <w:sz w:val="18"/>
                <w:szCs w:val="18"/>
                <w:color w:val="auto"/>
              </w:rPr>
              <w:t>7,683</w:t>
            </w:r>
          </w:p>
        </w:tc>
        <w:tc>
          <w:tcPr>
            <w:tcW w:w="10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Borders>
              <w:right w:val="single" w:sz="8" w:color="auto"/>
            </w:tcBorders>
          </w:tcPr>
          <w:p>
            <w:pPr>
              <w:jc w:val="right"/>
              <w:ind w:right="71"/>
              <w:spacing w:after="0" w:line="200" w:lineRule="exact"/>
              <w:rPr>
                <w:sz w:val="20"/>
                <w:szCs w:val="20"/>
                <w:color w:val="auto"/>
              </w:rPr>
            </w:pPr>
            <w:r>
              <w:rPr>
                <w:rFonts w:ascii="Arial" w:cs="Arial" w:eastAsia="Arial" w:hAnsi="Arial"/>
                <w:sz w:val="18"/>
                <w:szCs w:val="18"/>
                <w:color w:val="auto"/>
              </w:rPr>
              <w:t>85,491</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jc w:val="right"/>
              <w:ind w:right="71"/>
              <w:spacing w:after="0" w:line="200" w:lineRule="exact"/>
              <w:rPr>
                <w:sz w:val="20"/>
                <w:szCs w:val="20"/>
                <w:color w:val="auto"/>
              </w:rPr>
            </w:pPr>
            <w:r>
              <w:rPr>
                <w:rFonts w:ascii="Arial" w:cs="Arial" w:eastAsia="Arial" w:hAnsi="Arial"/>
                <w:sz w:val="18"/>
                <w:szCs w:val="18"/>
                <w:color w:val="auto"/>
              </w:rPr>
              <w:t>72,272</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ind w:right="71"/>
              <w:spacing w:after="0" w:line="200" w:lineRule="exact"/>
              <w:rPr>
                <w:sz w:val="20"/>
                <w:szCs w:val="20"/>
                <w:color w:val="auto"/>
              </w:rPr>
            </w:pPr>
            <w:r>
              <w:rPr>
                <w:rFonts w:ascii="Arial" w:cs="Arial" w:eastAsia="Arial" w:hAnsi="Arial"/>
                <w:sz w:val="18"/>
                <w:szCs w:val="18"/>
                <w:color w:val="auto"/>
              </w:rPr>
              <w:t>13,318</w:t>
            </w:r>
          </w:p>
        </w:tc>
        <w:tc>
          <w:tcPr>
            <w:tcW w:w="10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Borders>
              <w:right w:val="single" w:sz="8" w:color="auto"/>
            </w:tcBorders>
          </w:tcPr>
          <w:p>
            <w:pPr>
              <w:jc w:val="right"/>
              <w:ind w:right="71"/>
              <w:spacing w:after="0" w:line="200" w:lineRule="exact"/>
              <w:rPr>
                <w:sz w:val="20"/>
                <w:szCs w:val="20"/>
                <w:color w:val="auto"/>
              </w:rPr>
            </w:pPr>
            <w:r>
              <w:rPr>
                <w:rFonts w:ascii="Arial" w:cs="Arial" w:eastAsia="Arial" w:hAnsi="Arial"/>
                <w:sz w:val="18"/>
                <w:szCs w:val="18"/>
                <w:color w:val="auto"/>
              </w:rPr>
              <w:t>85,590</w:t>
            </w:r>
          </w:p>
        </w:tc>
        <w:tc>
          <w:tcPr>
            <w:tcW w:w="0" w:type="dxa"/>
            <w:vAlign w:val="bottom"/>
          </w:tcPr>
          <w:p>
            <w:pPr>
              <w:spacing w:after="0"/>
              <w:rPr>
                <w:sz w:val="1"/>
                <w:szCs w:val="1"/>
                <w:color w:val="auto"/>
              </w:rPr>
            </w:pPr>
          </w:p>
        </w:tc>
      </w:tr>
      <w:tr>
        <w:trPr>
          <w:trHeight w:val="214"/>
        </w:trPr>
        <w:tc>
          <w:tcPr>
            <w:tcW w:w="1840" w:type="dxa"/>
            <w:vAlign w:val="bottom"/>
          </w:tcPr>
          <w:p>
            <w:pPr>
              <w:spacing w:after="0"/>
              <w:rPr>
                <w:sz w:val="20"/>
                <w:szCs w:val="20"/>
                <w:color w:val="auto"/>
              </w:rPr>
            </w:pPr>
            <w:r>
              <w:rPr>
                <w:rFonts w:ascii="Arial" w:cs="Arial" w:eastAsia="Arial" w:hAnsi="Arial"/>
                <w:sz w:val="18"/>
                <w:szCs w:val="18"/>
                <w:color w:val="auto"/>
              </w:rPr>
              <w:t>Residential mortgage</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ind w:right="71"/>
              <w:spacing w:after="0"/>
              <w:rPr>
                <w:sz w:val="20"/>
                <w:szCs w:val="20"/>
                <w:color w:val="auto"/>
              </w:rPr>
            </w:pPr>
            <w:r>
              <w:rPr>
                <w:rFonts w:ascii="Arial" w:cs="Arial" w:eastAsia="Arial" w:hAnsi="Arial"/>
                <w:sz w:val="18"/>
                <w:szCs w:val="18"/>
                <w:color w:val="auto"/>
              </w:rPr>
              <w:t>14,338</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jc w:val="right"/>
              <w:ind w:right="71"/>
              <w:spacing w:after="0"/>
              <w:rPr>
                <w:sz w:val="20"/>
                <w:szCs w:val="20"/>
                <w:color w:val="auto"/>
              </w:rPr>
            </w:pPr>
            <w:r>
              <w:rPr>
                <w:rFonts w:ascii="Arial" w:cs="Arial" w:eastAsia="Arial" w:hAnsi="Arial"/>
                <w:sz w:val="18"/>
                <w:szCs w:val="18"/>
                <w:color w:val="auto"/>
              </w:rPr>
              <w:t>1,443</w:t>
            </w:r>
          </w:p>
        </w:tc>
        <w:tc>
          <w:tcPr>
            <w:tcW w:w="10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Borders>
              <w:right w:val="single" w:sz="8" w:color="auto"/>
            </w:tcBorders>
          </w:tcPr>
          <w:p>
            <w:pPr>
              <w:jc w:val="right"/>
              <w:ind w:right="71"/>
              <w:spacing w:after="0"/>
              <w:rPr>
                <w:sz w:val="20"/>
                <w:szCs w:val="20"/>
                <w:color w:val="auto"/>
              </w:rPr>
            </w:pPr>
            <w:r>
              <w:rPr>
                <w:rFonts w:ascii="Arial" w:cs="Arial" w:eastAsia="Arial" w:hAnsi="Arial"/>
                <w:sz w:val="18"/>
                <w:szCs w:val="18"/>
                <w:color w:val="auto"/>
                <w:w w:val="94"/>
              </w:rPr>
              <w:t>15,781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ind w:right="71"/>
              <w:spacing w:after="0"/>
              <w:rPr>
                <w:sz w:val="20"/>
                <w:szCs w:val="20"/>
                <w:color w:val="auto"/>
              </w:rPr>
            </w:pPr>
            <w:r>
              <w:rPr>
                <w:rFonts w:ascii="Arial" w:cs="Arial" w:eastAsia="Arial" w:hAnsi="Arial"/>
                <w:sz w:val="18"/>
                <w:szCs w:val="18"/>
                <w:color w:val="auto"/>
              </w:rPr>
              <w:t>12,589</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ind w:right="71"/>
              <w:spacing w:after="0"/>
              <w:rPr>
                <w:sz w:val="20"/>
                <w:szCs w:val="20"/>
                <w:color w:val="auto"/>
              </w:rPr>
            </w:pPr>
            <w:r>
              <w:rPr>
                <w:rFonts w:ascii="Arial" w:cs="Arial" w:eastAsia="Arial" w:hAnsi="Arial"/>
                <w:sz w:val="18"/>
                <w:szCs w:val="18"/>
                <w:color w:val="auto"/>
              </w:rPr>
              <w:t>4,753</w:t>
            </w:r>
          </w:p>
        </w:tc>
        <w:tc>
          <w:tcPr>
            <w:tcW w:w="10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Borders>
              <w:right w:val="single" w:sz="8" w:color="auto"/>
            </w:tcBorders>
          </w:tcPr>
          <w:p>
            <w:pPr>
              <w:jc w:val="right"/>
              <w:ind w:right="71"/>
              <w:spacing w:after="0"/>
              <w:rPr>
                <w:sz w:val="20"/>
                <w:szCs w:val="20"/>
                <w:color w:val="auto"/>
              </w:rPr>
            </w:pPr>
            <w:r>
              <w:rPr>
                <w:rFonts w:ascii="Arial" w:cs="Arial" w:eastAsia="Arial" w:hAnsi="Arial"/>
                <w:sz w:val="18"/>
                <w:szCs w:val="18"/>
                <w:color w:val="auto"/>
              </w:rPr>
              <w:t>17,342</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ind w:right="71"/>
              <w:spacing w:after="0"/>
              <w:rPr>
                <w:sz w:val="20"/>
                <w:szCs w:val="20"/>
                <w:color w:val="auto"/>
              </w:rPr>
            </w:pPr>
            <w:r>
              <w:rPr>
                <w:rFonts w:ascii="Arial" w:cs="Arial" w:eastAsia="Arial" w:hAnsi="Arial"/>
                <w:sz w:val="18"/>
                <w:szCs w:val="18"/>
                <w:color w:val="auto"/>
              </w:rPr>
              <w:t>16,631</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ind w:right="71"/>
              <w:spacing w:after="0"/>
              <w:rPr>
                <w:sz w:val="20"/>
                <w:szCs w:val="20"/>
                <w:color w:val="auto"/>
              </w:rPr>
            </w:pPr>
            <w:r>
              <w:rPr>
                <w:rFonts w:ascii="Arial" w:cs="Arial" w:eastAsia="Arial" w:hAnsi="Arial"/>
                <w:sz w:val="18"/>
                <w:szCs w:val="18"/>
                <w:color w:val="auto"/>
              </w:rPr>
              <w:t>5,591</w:t>
            </w:r>
          </w:p>
        </w:tc>
        <w:tc>
          <w:tcPr>
            <w:tcW w:w="10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Borders>
              <w:right w:val="single" w:sz="8" w:color="auto"/>
            </w:tcBorders>
          </w:tcPr>
          <w:p>
            <w:pPr>
              <w:jc w:val="right"/>
              <w:ind w:right="71"/>
              <w:spacing w:after="0"/>
              <w:rPr>
                <w:sz w:val="20"/>
                <w:szCs w:val="20"/>
                <w:color w:val="auto"/>
              </w:rPr>
            </w:pPr>
            <w:r>
              <w:rPr>
                <w:rFonts w:ascii="Arial" w:cs="Arial" w:eastAsia="Arial" w:hAnsi="Arial"/>
                <w:sz w:val="18"/>
                <w:szCs w:val="18"/>
                <w:color w:val="auto"/>
              </w:rPr>
              <w:t>22,222</w:t>
            </w:r>
          </w:p>
        </w:tc>
        <w:tc>
          <w:tcPr>
            <w:tcW w:w="0" w:type="dxa"/>
            <w:vAlign w:val="bottom"/>
          </w:tcPr>
          <w:p>
            <w:pPr>
              <w:spacing w:after="0"/>
              <w:rPr>
                <w:sz w:val="1"/>
                <w:szCs w:val="1"/>
                <w:color w:val="auto"/>
              </w:rPr>
            </w:pPr>
          </w:p>
        </w:tc>
      </w:tr>
      <w:tr>
        <w:trPr>
          <w:trHeight w:val="214"/>
        </w:trPr>
        <w:tc>
          <w:tcPr>
            <w:tcW w:w="1840" w:type="dxa"/>
            <w:vAlign w:val="bottom"/>
          </w:tcPr>
          <w:p>
            <w:pPr>
              <w:spacing w:after="0"/>
              <w:rPr>
                <w:sz w:val="20"/>
                <w:szCs w:val="20"/>
                <w:color w:val="auto"/>
              </w:rPr>
            </w:pPr>
            <w:r>
              <w:rPr>
                <w:rFonts w:ascii="Arial" w:cs="Arial" w:eastAsia="Arial" w:hAnsi="Arial"/>
                <w:sz w:val="18"/>
                <w:szCs w:val="18"/>
                <w:color w:val="auto"/>
                <w:w w:val="95"/>
              </w:rPr>
              <w:t>Residential construction</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ind w:right="71"/>
              <w:spacing w:after="0"/>
              <w:rPr>
                <w:sz w:val="20"/>
                <w:szCs w:val="20"/>
                <w:color w:val="auto"/>
              </w:rPr>
            </w:pPr>
            <w:r>
              <w:rPr>
                <w:rFonts w:ascii="Arial" w:cs="Arial" w:eastAsia="Arial" w:hAnsi="Arial"/>
                <w:sz w:val="18"/>
                <w:szCs w:val="18"/>
                <w:color w:val="auto"/>
              </w:rPr>
              <w:t>4,838</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jc w:val="right"/>
              <w:ind w:right="71"/>
              <w:spacing w:after="0"/>
              <w:rPr>
                <w:sz w:val="20"/>
                <w:szCs w:val="20"/>
                <w:color w:val="auto"/>
              </w:rPr>
            </w:pPr>
            <w:r>
              <w:rPr>
                <w:rFonts w:ascii="Arial" w:cs="Arial" w:eastAsia="Arial" w:hAnsi="Arial"/>
                <w:sz w:val="18"/>
                <w:szCs w:val="18"/>
                <w:color w:val="auto"/>
              </w:rPr>
              <w:t>1,570</w:t>
            </w:r>
          </w:p>
        </w:tc>
        <w:tc>
          <w:tcPr>
            <w:tcW w:w="10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Borders>
              <w:right w:val="single" w:sz="8" w:color="auto"/>
            </w:tcBorders>
          </w:tcPr>
          <w:p>
            <w:pPr>
              <w:jc w:val="right"/>
              <w:ind w:right="71"/>
              <w:spacing w:after="0"/>
              <w:rPr>
                <w:sz w:val="20"/>
                <w:szCs w:val="20"/>
                <w:color w:val="auto"/>
              </w:rPr>
            </w:pPr>
            <w:r>
              <w:rPr>
                <w:rFonts w:ascii="Arial" w:cs="Arial" w:eastAsia="Arial" w:hAnsi="Arial"/>
                <w:sz w:val="18"/>
                <w:szCs w:val="18"/>
                <w:color w:val="auto"/>
              </w:rPr>
              <w:t>6,408</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ind w:right="71"/>
              <w:spacing w:after="0"/>
              <w:rPr>
                <w:sz w:val="20"/>
                <w:szCs w:val="20"/>
                <w:color w:val="auto"/>
              </w:rPr>
            </w:pPr>
            <w:r>
              <w:rPr>
                <w:rFonts w:ascii="Arial" w:cs="Arial" w:eastAsia="Arial" w:hAnsi="Arial"/>
                <w:sz w:val="18"/>
                <w:szCs w:val="18"/>
                <w:color w:val="auto"/>
              </w:rPr>
              <w:t>18,702</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ind w:right="71"/>
              <w:spacing w:after="0"/>
              <w:rPr>
                <w:sz w:val="20"/>
                <w:szCs w:val="20"/>
                <w:color w:val="auto"/>
              </w:rPr>
            </w:pPr>
            <w:r>
              <w:rPr>
                <w:rFonts w:ascii="Arial" w:cs="Arial" w:eastAsia="Arial" w:hAnsi="Arial"/>
                <w:sz w:val="18"/>
                <w:szCs w:val="18"/>
                <w:color w:val="auto"/>
              </w:rPr>
              <w:t>5,828</w:t>
            </w:r>
          </w:p>
        </w:tc>
        <w:tc>
          <w:tcPr>
            <w:tcW w:w="10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Borders>
              <w:right w:val="single" w:sz="8" w:color="auto"/>
            </w:tcBorders>
          </w:tcPr>
          <w:p>
            <w:pPr>
              <w:jc w:val="right"/>
              <w:ind w:right="71"/>
              <w:spacing w:after="0"/>
              <w:rPr>
                <w:sz w:val="20"/>
                <w:szCs w:val="20"/>
                <w:color w:val="auto"/>
              </w:rPr>
            </w:pPr>
            <w:r>
              <w:rPr>
                <w:rFonts w:ascii="Arial" w:cs="Arial" w:eastAsia="Arial" w:hAnsi="Arial"/>
                <w:sz w:val="18"/>
                <w:szCs w:val="18"/>
                <w:color w:val="auto"/>
              </w:rPr>
              <w:t>24,530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ind w:right="71"/>
              <w:spacing w:after="0"/>
              <w:rPr>
                <w:sz w:val="20"/>
                <w:szCs w:val="20"/>
                <w:color w:val="auto"/>
              </w:rPr>
            </w:pPr>
            <w:r>
              <w:rPr>
                <w:rFonts w:ascii="Arial" w:cs="Arial" w:eastAsia="Arial" w:hAnsi="Arial"/>
                <w:sz w:val="18"/>
                <w:szCs w:val="18"/>
                <w:color w:val="auto"/>
              </w:rPr>
              <w:t>25,530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ind w:right="71"/>
              <w:spacing w:after="0"/>
              <w:rPr>
                <w:sz w:val="20"/>
                <w:szCs w:val="20"/>
                <w:color w:val="auto"/>
              </w:rPr>
            </w:pPr>
            <w:r>
              <w:rPr>
                <w:rFonts w:ascii="Arial" w:cs="Arial" w:eastAsia="Arial" w:hAnsi="Arial"/>
                <w:sz w:val="18"/>
                <w:szCs w:val="18"/>
                <w:color w:val="auto"/>
              </w:rPr>
              <w:t>11,512</w:t>
            </w:r>
          </w:p>
        </w:tc>
        <w:tc>
          <w:tcPr>
            <w:tcW w:w="10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Borders>
              <w:right w:val="single" w:sz="8" w:color="auto"/>
            </w:tcBorders>
          </w:tcPr>
          <w:p>
            <w:pPr>
              <w:jc w:val="right"/>
              <w:ind w:right="71"/>
              <w:spacing w:after="0"/>
              <w:rPr>
                <w:sz w:val="20"/>
                <w:szCs w:val="20"/>
                <w:color w:val="auto"/>
              </w:rPr>
            </w:pPr>
            <w:r>
              <w:rPr>
                <w:rFonts w:ascii="Arial" w:cs="Arial" w:eastAsia="Arial" w:hAnsi="Arial"/>
                <w:sz w:val="18"/>
                <w:szCs w:val="18"/>
                <w:color w:val="auto"/>
              </w:rPr>
              <w:t>37,042</w:t>
            </w:r>
          </w:p>
        </w:tc>
        <w:tc>
          <w:tcPr>
            <w:tcW w:w="0" w:type="dxa"/>
            <w:vAlign w:val="bottom"/>
          </w:tcPr>
          <w:p>
            <w:pPr>
              <w:spacing w:after="0"/>
              <w:rPr>
                <w:sz w:val="1"/>
                <w:szCs w:val="1"/>
                <w:color w:val="auto"/>
              </w:rPr>
            </w:pPr>
          </w:p>
        </w:tc>
      </w:tr>
      <w:tr>
        <w:trPr>
          <w:trHeight w:val="235"/>
        </w:trPr>
        <w:tc>
          <w:tcPr>
            <w:tcW w:w="1840" w:type="dxa"/>
            <w:vAlign w:val="bottom"/>
          </w:tcPr>
          <w:p>
            <w:pPr>
              <w:spacing w:after="0"/>
              <w:rPr>
                <w:sz w:val="20"/>
                <w:szCs w:val="20"/>
                <w:color w:val="auto"/>
              </w:rPr>
            </w:pPr>
            <w:r>
              <w:rPr>
                <w:rFonts w:ascii="Arial" w:cs="Arial" w:eastAsia="Arial" w:hAnsi="Arial"/>
                <w:sz w:val="18"/>
                <w:szCs w:val="18"/>
                <w:color w:val="auto"/>
              </w:rPr>
              <w:t>Consumer installment</w:t>
            </w:r>
          </w:p>
        </w:tc>
        <w:tc>
          <w:tcPr>
            <w:tcW w:w="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399</w:t>
            </w:r>
          </w:p>
        </w:tc>
        <w:tc>
          <w:tcPr>
            <w:tcW w:w="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w:t>
            </w:r>
          </w:p>
        </w:tc>
        <w:tc>
          <w:tcPr>
            <w:tcW w:w="100" w:type="dxa"/>
            <w:vAlign w:val="bottom"/>
            <w:tcBorders>
              <w:right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00" w:type="dxa"/>
            <w:vAlign w:val="bottom"/>
            <w:tcBorders>
              <w:bottom w:val="single" w:sz="8" w:color="auto"/>
              <w:right w:val="single" w:sz="8" w:color="auto"/>
            </w:tcBorders>
          </w:tcPr>
          <w:p>
            <w:pPr>
              <w:jc w:val="right"/>
              <w:ind w:right="71"/>
              <w:spacing w:after="0"/>
              <w:rPr>
                <w:sz w:val="20"/>
                <w:szCs w:val="20"/>
                <w:color w:val="auto"/>
              </w:rPr>
            </w:pPr>
            <w:r>
              <w:rPr>
                <w:rFonts w:ascii="Arial" w:cs="Arial" w:eastAsia="Arial" w:hAnsi="Arial"/>
                <w:sz w:val="18"/>
                <w:szCs w:val="18"/>
                <w:color w:val="auto"/>
              </w:rPr>
              <w:t>399</w:t>
            </w: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795</w:t>
            </w: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w:t>
            </w:r>
          </w:p>
        </w:tc>
        <w:tc>
          <w:tcPr>
            <w:tcW w:w="100" w:type="dxa"/>
            <w:vAlign w:val="bottom"/>
            <w:tcBorders>
              <w:right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80" w:type="dxa"/>
            <w:vAlign w:val="bottom"/>
            <w:tcBorders>
              <w:bottom w:val="single" w:sz="8" w:color="auto"/>
              <w:right w:val="single" w:sz="8" w:color="auto"/>
            </w:tcBorders>
          </w:tcPr>
          <w:p>
            <w:pPr>
              <w:jc w:val="right"/>
              <w:ind w:right="71"/>
              <w:spacing w:after="0"/>
              <w:rPr>
                <w:sz w:val="20"/>
                <w:szCs w:val="20"/>
                <w:color w:val="auto"/>
              </w:rPr>
            </w:pPr>
            <w:r>
              <w:rPr>
                <w:rFonts w:ascii="Arial" w:cs="Arial" w:eastAsia="Arial" w:hAnsi="Arial"/>
                <w:sz w:val="18"/>
                <w:szCs w:val="18"/>
                <w:color w:val="auto"/>
              </w:rPr>
              <w:t>795</w:t>
            </w: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907</w:t>
            </w:r>
          </w:p>
        </w:tc>
        <w:tc>
          <w:tcPr>
            <w:tcW w:w="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w:t>
            </w:r>
          </w:p>
        </w:tc>
        <w:tc>
          <w:tcPr>
            <w:tcW w:w="100" w:type="dxa"/>
            <w:vAlign w:val="bottom"/>
            <w:tcBorders>
              <w:right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40" w:type="dxa"/>
            <w:vAlign w:val="bottom"/>
            <w:tcBorders>
              <w:bottom w:val="single" w:sz="8" w:color="auto"/>
              <w:right w:val="single" w:sz="8" w:color="auto"/>
            </w:tcBorders>
          </w:tcPr>
          <w:p>
            <w:pPr>
              <w:jc w:val="right"/>
              <w:ind w:right="71"/>
              <w:spacing w:after="0"/>
              <w:rPr>
                <w:sz w:val="20"/>
                <w:szCs w:val="20"/>
                <w:color w:val="auto"/>
              </w:rPr>
            </w:pPr>
            <w:r>
              <w:rPr>
                <w:rFonts w:ascii="Arial" w:cs="Arial" w:eastAsia="Arial" w:hAnsi="Arial"/>
                <w:sz w:val="18"/>
                <w:szCs w:val="18"/>
                <w:color w:val="auto"/>
              </w:rPr>
              <w:t>907</w:t>
            </w:r>
          </w:p>
        </w:tc>
        <w:tc>
          <w:tcPr>
            <w:tcW w:w="0" w:type="dxa"/>
            <w:vAlign w:val="bottom"/>
          </w:tcPr>
          <w:p>
            <w:pPr>
              <w:spacing w:after="0"/>
              <w:rPr>
                <w:sz w:val="1"/>
                <w:szCs w:val="1"/>
                <w:color w:val="auto"/>
              </w:rPr>
            </w:pPr>
          </w:p>
        </w:tc>
      </w:tr>
      <w:tr>
        <w:trPr>
          <w:trHeight w:val="214"/>
        </w:trPr>
        <w:tc>
          <w:tcPr>
            <w:tcW w:w="1840" w:type="dxa"/>
            <w:vAlign w:val="bottom"/>
          </w:tcPr>
          <w:p>
            <w:pPr>
              <w:ind w:left="220"/>
              <w:spacing w:after="0"/>
              <w:rPr>
                <w:sz w:val="20"/>
                <w:szCs w:val="20"/>
                <w:color w:val="auto"/>
              </w:rPr>
            </w:pPr>
            <w:r>
              <w:rPr>
                <w:rFonts w:ascii="Arial" w:cs="Arial" w:eastAsia="Arial" w:hAnsi="Arial"/>
                <w:sz w:val="18"/>
                <w:szCs w:val="18"/>
                <w:b w:val="1"/>
                <w:bCs w:val="1"/>
                <w:color w:val="auto"/>
              </w:rPr>
              <w:t>Total NPAs</w:t>
            </w:r>
          </w:p>
        </w:tc>
        <w:tc>
          <w:tcPr>
            <w:tcW w:w="40" w:type="dxa"/>
            <w:vAlign w:val="bottom"/>
          </w:tcPr>
          <w:p>
            <w:pPr>
              <w:spacing w:after="0"/>
              <w:rPr>
                <w:sz w:val="18"/>
                <w:szCs w:val="18"/>
                <w:color w:val="auto"/>
              </w:rPr>
            </w:pP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27,864</w:t>
            </w:r>
          </w:p>
        </w:tc>
        <w:tc>
          <w:tcPr>
            <w:tcW w:w="60" w:type="dxa"/>
            <w:vAlign w:val="bottom"/>
          </w:tcPr>
          <w:p>
            <w:pPr>
              <w:spacing w:after="0"/>
              <w:rPr>
                <w:sz w:val="18"/>
                <w:szCs w:val="18"/>
                <w:color w:val="auto"/>
              </w:rPr>
            </w:pPr>
          </w:p>
        </w:tc>
        <w:tc>
          <w:tcPr>
            <w:tcW w:w="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3,936</w:t>
            </w:r>
          </w:p>
        </w:tc>
        <w:tc>
          <w:tcPr>
            <w:tcW w:w="100" w:type="dxa"/>
            <w:vAlign w:val="bottom"/>
            <w:tcBorders>
              <w:right w:val="single" w:sz="8" w:color="auto"/>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right w:val="single" w:sz="8" w:color="auto"/>
            </w:tcBorders>
          </w:tcPr>
          <w:p>
            <w:pPr>
              <w:jc w:val="right"/>
              <w:ind w:right="71"/>
              <w:spacing w:after="0"/>
              <w:rPr>
                <w:sz w:val="20"/>
                <w:szCs w:val="20"/>
                <w:color w:val="auto"/>
              </w:rPr>
            </w:pPr>
            <w:r>
              <w:rPr>
                <w:rFonts w:ascii="Arial" w:cs="Arial" w:eastAsia="Arial" w:hAnsi="Arial"/>
                <w:sz w:val="18"/>
                <w:szCs w:val="18"/>
                <w:color w:val="auto"/>
                <w:w w:val="94"/>
              </w:rPr>
              <w:t>31,800</w:t>
            </w: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109,894</w:t>
            </w: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18,264</w:t>
            </w:r>
          </w:p>
        </w:tc>
        <w:tc>
          <w:tcPr>
            <w:tcW w:w="100" w:type="dxa"/>
            <w:vAlign w:val="bottom"/>
            <w:tcBorders>
              <w:right w:val="single" w:sz="8" w:color="auto"/>
            </w:tcBorders>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right w:val="single" w:sz="8" w:color="auto"/>
            </w:tcBorders>
          </w:tcPr>
          <w:p>
            <w:pPr>
              <w:jc w:val="right"/>
              <w:ind w:right="71"/>
              <w:spacing w:after="0"/>
              <w:rPr>
                <w:sz w:val="20"/>
                <w:szCs w:val="20"/>
                <w:color w:val="auto"/>
              </w:rPr>
            </w:pPr>
            <w:r>
              <w:rPr>
                <w:rFonts w:ascii="Arial" w:cs="Arial" w:eastAsia="Arial" w:hAnsi="Arial"/>
                <w:sz w:val="18"/>
                <w:szCs w:val="18"/>
                <w:color w:val="auto"/>
                <w:w w:val="92"/>
              </w:rPr>
              <w:t>128,158</w:t>
            </w:r>
          </w:p>
        </w:tc>
        <w:tc>
          <w:tcPr>
            <w:tcW w:w="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115,340</w:t>
            </w: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30,421</w:t>
            </w:r>
          </w:p>
        </w:tc>
        <w:tc>
          <w:tcPr>
            <w:tcW w:w="100" w:type="dxa"/>
            <w:vAlign w:val="bottom"/>
            <w:tcBorders>
              <w:right w:val="single" w:sz="8" w:color="auto"/>
            </w:tcBorders>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right w:val="single" w:sz="8" w:color="auto"/>
            </w:tcBorders>
          </w:tcPr>
          <w:p>
            <w:pPr>
              <w:jc w:val="right"/>
              <w:ind w:right="71"/>
              <w:spacing w:after="0"/>
              <w:rPr>
                <w:sz w:val="20"/>
                <w:szCs w:val="20"/>
                <w:color w:val="auto"/>
              </w:rPr>
            </w:pPr>
            <w:r>
              <w:rPr>
                <w:rFonts w:ascii="Arial" w:cs="Arial" w:eastAsia="Arial" w:hAnsi="Arial"/>
                <w:sz w:val="18"/>
                <w:szCs w:val="18"/>
                <w:color w:val="auto"/>
                <w:w w:val="86"/>
              </w:rPr>
              <w:t>145,761</w:t>
            </w:r>
          </w:p>
        </w:tc>
        <w:tc>
          <w:tcPr>
            <w:tcW w:w="0" w:type="dxa"/>
            <w:vAlign w:val="bottom"/>
          </w:tcPr>
          <w:p>
            <w:pPr>
              <w:spacing w:after="0"/>
              <w:rPr>
                <w:sz w:val="1"/>
                <w:szCs w:val="1"/>
                <w:color w:val="auto"/>
              </w:rPr>
            </w:pPr>
          </w:p>
        </w:tc>
      </w:tr>
      <w:tr>
        <w:trPr>
          <w:trHeight w:val="20"/>
        </w:trPr>
        <w:tc>
          <w:tcPr>
            <w:tcW w:w="1840" w:type="dxa"/>
            <w:vAlign w:val="bottom"/>
            <w:vMerge w:val="restart"/>
          </w:tcPr>
          <w:p>
            <w:pPr>
              <w:ind w:left="240"/>
              <w:spacing w:after="0"/>
              <w:rPr>
                <w:sz w:val="20"/>
                <w:szCs w:val="20"/>
                <w:color w:val="auto"/>
              </w:rPr>
            </w:pPr>
            <w:r>
              <w:rPr>
                <w:rFonts w:ascii="Arial" w:cs="Arial" w:eastAsia="Arial" w:hAnsi="Arial"/>
                <w:sz w:val="18"/>
                <w:szCs w:val="18"/>
                <w:b w:val="1"/>
                <w:bCs w:val="1"/>
                <w:color w:val="auto"/>
              </w:rPr>
              <w:t>Balance as a % of</w:t>
            </w: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18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1840" w:type="dxa"/>
            <w:vAlign w:val="bottom"/>
          </w:tcPr>
          <w:p>
            <w:pPr>
              <w:ind w:left="460"/>
              <w:spacing w:after="0"/>
              <w:rPr>
                <w:sz w:val="20"/>
                <w:szCs w:val="20"/>
                <w:color w:val="auto"/>
              </w:rPr>
            </w:pPr>
            <w:r>
              <w:rPr>
                <w:rFonts w:ascii="Arial" w:cs="Arial" w:eastAsia="Arial" w:hAnsi="Arial"/>
                <w:sz w:val="18"/>
                <w:szCs w:val="18"/>
                <w:b w:val="1"/>
                <w:bCs w:val="1"/>
                <w:color w:val="auto"/>
                <w:w w:val="95"/>
              </w:rPr>
              <w:t>Unpaid Principal</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62.6%</w:t>
            </w: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31.6%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55.8%</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69.5%</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39.7%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62.8%</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68.8%</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39.3%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59.4%</w:t>
            </w:r>
          </w:p>
        </w:tc>
        <w:tc>
          <w:tcPr>
            <w:tcW w:w="0" w:type="dxa"/>
            <w:vAlign w:val="bottom"/>
          </w:tcPr>
          <w:p>
            <w:pPr>
              <w:spacing w:after="0"/>
              <w:rPr>
                <w:sz w:val="1"/>
                <w:szCs w:val="1"/>
                <w:color w:val="auto"/>
              </w:rPr>
            </w:pPr>
          </w:p>
        </w:tc>
      </w:tr>
      <w:tr>
        <w:trPr>
          <w:trHeight w:val="437"/>
        </w:trPr>
        <w:tc>
          <w:tcPr>
            <w:tcW w:w="1840" w:type="dxa"/>
            <w:vAlign w:val="bottom"/>
          </w:tcPr>
          <w:p>
            <w:pPr>
              <w:spacing w:after="0"/>
              <w:rPr>
                <w:sz w:val="20"/>
                <w:szCs w:val="20"/>
                <w:color w:val="auto"/>
              </w:rPr>
            </w:pPr>
            <w:r>
              <w:rPr>
                <w:rFonts w:ascii="Arial" w:cs="Arial" w:eastAsia="Arial" w:hAnsi="Arial"/>
                <w:sz w:val="18"/>
                <w:szCs w:val="18"/>
                <w:b w:val="1"/>
                <w:bCs w:val="1"/>
                <w:color w:val="auto"/>
              </w:rPr>
              <w:t>BY MARKET</w:t>
            </w: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1840" w:type="dxa"/>
            <w:vAlign w:val="bottom"/>
          </w:tcPr>
          <w:p>
            <w:pPr>
              <w:spacing w:after="0" w:line="200" w:lineRule="exact"/>
              <w:rPr>
                <w:sz w:val="20"/>
                <w:szCs w:val="20"/>
                <w:color w:val="auto"/>
              </w:rPr>
            </w:pPr>
            <w:r>
              <w:rPr>
                <w:rFonts w:ascii="Arial" w:cs="Arial" w:eastAsia="Arial" w:hAnsi="Arial"/>
                <w:sz w:val="18"/>
                <w:szCs w:val="18"/>
                <w:color w:val="auto"/>
              </w:rPr>
              <w:t>North Georgia</w:t>
            </w:r>
          </w:p>
        </w:tc>
        <w:tc>
          <w:tcPr>
            <w:tcW w:w="180" w:type="dxa"/>
            <w:vAlign w:val="bottom"/>
            <w:gridSpan w:val="2"/>
          </w:tcPr>
          <w:p>
            <w:pPr>
              <w:ind w:left="40"/>
              <w:spacing w:after="0" w:line="200" w:lineRule="exact"/>
              <w:rPr>
                <w:sz w:val="20"/>
                <w:szCs w:val="20"/>
                <w:color w:val="auto"/>
              </w:rPr>
            </w:pPr>
            <w:r>
              <w:rPr>
                <w:rFonts w:ascii="Arial" w:cs="Arial" w:eastAsia="Arial" w:hAnsi="Arial"/>
                <w:sz w:val="18"/>
                <w:szCs w:val="18"/>
                <w:color w:val="auto"/>
              </w:rPr>
              <w:t>$</w:t>
            </w:r>
          </w:p>
        </w:tc>
        <w:tc>
          <w:tcPr>
            <w:tcW w:w="900" w:type="dxa"/>
            <w:vAlign w:val="bottom"/>
          </w:tcPr>
          <w:p>
            <w:pPr>
              <w:jc w:val="right"/>
              <w:ind w:right="71"/>
              <w:spacing w:after="0" w:line="200" w:lineRule="exact"/>
              <w:rPr>
                <w:sz w:val="20"/>
                <w:szCs w:val="20"/>
                <w:color w:val="auto"/>
              </w:rPr>
            </w:pPr>
            <w:r>
              <w:rPr>
                <w:rFonts w:ascii="Arial" w:cs="Arial" w:eastAsia="Arial" w:hAnsi="Arial"/>
                <w:sz w:val="18"/>
                <w:szCs w:val="18"/>
                <w:color w:val="auto"/>
              </w:rPr>
              <w:t>12,830</w:t>
            </w:r>
          </w:p>
        </w:tc>
        <w:tc>
          <w:tcPr>
            <w:tcW w:w="340" w:type="dxa"/>
            <w:vAlign w:val="bottom"/>
            <w:gridSpan w:val="2"/>
          </w:tcPr>
          <w:p>
            <w:pPr>
              <w:ind w:left="60"/>
              <w:spacing w:after="0" w:line="200" w:lineRule="exact"/>
              <w:rPr>
                <w:sz w:val="20"/>
                <w:szCs w:val="20"/>
                <w:color w:val="auto"/>
              </w:rPr>
            </w:pPr>
            <w:r>
              <w:rPr>
                <w:rFonts w:ascii="Arial" w:cs="Arial" w:eastAsia="Arial" w:hAnsi="Arial"/>
                <w:sz w:val="18"/>
                <w:szCs w:val="18"/>
                <w:color w:val="auto"/>
              </w:rPr>
              <w:t>$</w:t>
            </w:r>
          </w:p>
        </w:tc>
        <w:tc>
          <w:tcPr>
            <w:tcW w:w="740" w:type="dxa"/>
            <w:vAlign w:val="bottom"/>
          </w:tcPr>
          <w:p>
            <w:pPr>
              <w:jc w:val="right"/>
              <w:ind w:right="71"/>
              <w:spacing w:after="0" w:line="200" w:lineRule="exact"/>
              <w:rPr>
                <w:sz w:val="20"/>
                <w:szCs w:val="20"/>
                <w:color w:val="auto"/>
              </w:rPr>
            </w:pPr>
            <w:r>
              <w:rPr>
                <w:rFonts w:ascii="Arial" w:cs="Arial" w:eastAsia="Arial" w:hAnsi="Arial"/>
                <w:sz w:val="18"/>
                <w:szCs w:val="18"/>
                <w:color w:val="auto"/>
              </w:rPr>
              <w:t>1,617</w:t>
            </w:r>
          </w:p>
        </w:tc>
        <w:tc>
          <w:tcPr>
            <w:tcW w:w="100" w:type="dxa"/>
            <w:vAlign w:val="bottom"/>
          </w:tcPr>
          <w:p>
            <w:pPr>
              <w:spacing w:after="0"/>
              <w:rPr>
                <w:sz w:val="17"/>
                <w:szCs w:val="17"/>
                <w:color w:val="auto"/>
              </w:rPr>
            </w:pPr>
          </w:p>
        </w:tc>
        <w:tc>
          <w:tcPr>
            <w:tcW w:w="140" w:type="dxa"/>
            <w:vAlign w:val="bottom"/>
          </w:tcPr>
          <w:p>
            <w:pPr>
              <w:jc w:val="right"/>
              <w:spacing w:after="0" w:line="200" w:lineRule="exact"/>
              <w:rPr>
                <w:sz w:val="20"/>
                <w:szCs w:val="20"/>
                <w:color w:val="auto"/>
              </w:rPr>
            </w:pPr>
            <w:r>
              <w:rPr>
                <w:rFonts w:ascii="Arial" w:cs="Arial" w:eastAsia="Arial" w:hAnsi="Arial"/>
                <w:sz w:val="18"/>
                <w:szCs w:val="18"/>
                <w:color w:val="auto"/>
                <w:w w:val="99"/>
              </w:rPr>
              <w:t>$</w:t>
            </w:r>
          </w:p>
        </w:tc>
        <w:tc>
          <w:tcPr>
            <w:tcW w:w="700" w:type="dxa"/>
            <w:vAlign w:val="bottom"/>
          </w:tcPr>
          <w:p>
            <w:pPr>
              <w:jc w:val="right"/>
              <w:ind w:right="71"/>
              <w:spacing w:after="0" w:line="200" w:lineRule="exact"/>
              <w:rPr>
                <w:sz w:val="20"/>
                <w:szCs w:val="20"/>
                <w:color w:val="auto"/>
              </w:rPr>
            </w:pPr>
            <w:r>
              <w:rPr>
                <w:rFonts w:ascii="Arial" w:cs="Arial" w:eastAsia="Arial" w:hAnsi="Arial"/>
                <w:sz w:val="18"/>
                <w:szCs w:val="18"/>
                <w:color w:val="auto"/>
                <w:w w:val="94"/>
              </w:rPr>
              <w:t>14,447</w:t>
            </w:r>
          </w:p>
        </w:tc>
        <w:tc>
          <w:tcPr>
            <w:tcW w:w="220" w:type="dxa"/>
            <w:vAlign w:val="bottom"/>
            <w:gridSpan w:val="2"/>
          </w:tcPr>
          <w:p>
            <w:pPr>
              <w:ind w:left="80"/>
              <w:spacing w:after="0" w:line="200" w:lineRule="exact"/>
              <w:rPr>
                <w:sz w:val="20"/>
                <w:szCs w:val="20"/>
                <w:color w:val="auto"/>
              </w:rPr>
            </w:pPr>
            <w:r>
              <w:rPr>
                <w:rFonts w:ascii="Arial" w:cs="Arial" w:eastAsia="Arial" w:hAnsi="Arial"/>
                <w:sz w:val="18"/>
                <w:szCs w:val="18"/>
                <w:color w:val="auto"/>
              </w:rPr>
              <w:t>$</w:t>
            </w:r>
          </w:p>
        </w:tc>
        <w:tc>
          <w:tcPr>
            <w:tcW w:w="900" w:type="dxa"/>
            <w:vAlign w:val="bottom"/>
          </w:tcPr>
          <w:p>
            <w:pPr>
              <w:jc w:val="right"/>
              <w:ind w:right="71"/>
              <w:spacing w:after="0" w:line="200" w:lineRule="exact"/>
              <w:rPr>
                <w:sz w:val="20"/>
                <w:szCs w:val="20"/>
                <w:color w:val="auto"/>
              </w:rPr>
            </w:pPr>
            <w:r>
              <w:rPr>
                <w:rFonts w:ascii="Arial" w:cs="Arial" w:eastAsia="Arial" w:hAnsi="Arial"/>
                <w:sz w:val="18"/>
                <w:szCs w:val="18"/>
                <w:color w:val="auto"/>
              </w:rPr>
              <w:t>69,950</w:t>
            </w:r>
          </w:p>
        </w:tc>
        <w:tc>
          <w:tcPr>
            <w:tcW w:w="320" w:type="dxa"/>
            <w:vAlign w:val="bottom"/>
            <w:gridSpan w:val="2"/>
          </w:tcPr>
          <w:p>
            <w:pPr>
              <w:ind w:left="80"/>
              <w:spacing w:after="0" w:line="200" w:lineRule="exact"/>
              <w:rPr>
                <w:sz w:val="20"/>
                <w:szCs w:val="20"/>
                <w:color w:val="auto"/>
              </w:rPr>
            </w:pPr>
            <w:r>
              <w:rPr>
                <w:rFonts w:ascii="Arial" w:cs="Arial" w:eastAsia="Arial" w:hAnsi="Arial"/>
                <w:sz w:val="18"/>
                <w:szCs w:val="18"/>
                <w:color w:val="auto"/>
              </w:rPr>
              <w:t>$</w:t>
            </w:r>
          </w:p>
        </w:tc>
        <w:tc>
          <w:tcPr>
            <w:tcW w:w="780" w:type="dxa"/>
            <w:vAlign w:val="bottom"/>
          </w:tcPr>
          <w:p>
            <w:pPr>
              <w:jc w:val="right"/>
              <w:ind w:right="71"/>
              <w:spacing w:after="0" w:line="200" w:lineRule="exact"/>
              <w:rPr>
                <w:sz w:val="20"/>
                <w:szCs w:val="20"/>
                <w:color w:val="auto"/>
              </w:rPr>
            </w:pPr>
            <w:r>
              <w:rPr>
                <w:rFonts w:ascii="Arial" w:cs="Arial" w:eastAsia="Arial" w:hAnsi="Arial"/>
                <w:sz w:val="18"/>
                <w:szCs w:val="18"/>
                <w:color w:val="auto"/>
              </w:rPr>
              <w:t>8,219</w:t>
            </w:r>
          </w:p>
        </w:tc>
        <w:tc>
          <w:tcPr>
            <w:tcW w:w="100" w:type="dxa"/>
            <w:vAlign w:val="bottom"/>
          </w:tcPr>
          <w:p>
            <w:pPr>
              <w:spacing w:after="0"/>
              <w:rPr>
                <w:sz w:val="17"/>
                <w:szCs w:val="17"/>
                <w:color w:val="auto"/>
              </w:rPr>
            </w:pPr>
          </w:p>
        </w:tc>
        <w:tc>
          <w:tcPr>
            <w:tcW w:w="160" w:type="dxa"/>
            <w:vAlign w:val="bottom"/>
          </w:tcPr>
          <w:p>
            <w:pPr>
              <w:jc w:val="right"/>
              <w:spacing w:after="0" w:line="200" w:lineRule="exact"/>
              <w:rPr>
                <w:sz w:val="20"/>
                <w:szCs w:val="20"/>
                <w:color w:val="auto"/>
              </w:rPr>
            </w:pPr>
            <w:r>
              <w:rPr>
                <w:rFonts w:ascii="Arial" w:cs="Arial" w:eastAsia="Arial" w:hAnsi="Arial"/>
                <w:sz w:val="18"/>
                <w:szCs w:val="18"/>
                <w:color w:val="auto"/>
              </w:rPr>
              <w:t>$</w:t>
            </w:r>
          </w:p>
        </w:tc>
        <w:tc>
          <w:tcPr>
            <w:tcW w:w="780" w:type="dxa"/>
            <w:vAlign w:val="bottom"/>
          </w:tcPr>
          <w:p>
            <w:pPr>
              <w:jc w:val="right"/>
              <w:ind w:right="71"/>
              <w:spacing w:after="0" w:line="200" w:lineRule="exact"/>
              <w:rPr>
                <w:sz w:val="20"/>
                <w:szCs w:val="20"/>
                <w:color w:val="auto"/>
              </w:rPr>
            </w:pPr>
            <w:r>
              <w:rPr>
                <w:rFonts w:ascii="Arial" w:cs="Arial" w:eastAsia="Arial" w:hAnsi="Arial"/>
                <w:sz w:val="18"/>
                <w:szCs w:val="18"/>
                <w:color w:val="auto"/>
              </w:rPr>
              <w:t>78,169</w:t>
            </w:r>
          </w:p>
        </w:tc>
        <w:tc>
          <w:tcPr>
            <w:tcW w:w="220" w:type="dxa"/>
            <w:vAlign w:val="bottom"/>
            <w:gridSpan w:val="2"/>
          </w:tcPr>
          <w:p>
            <w:pPr>
              <w:jc w:val="right"/>
              <w:spacing w:after="0" w:line="200" w:lineRule="exact"/>
              <w:rPr>
                <w:sz w:val="20"/>
                <w:szCs w:val="20"/>
                <w:color w:val="auto"/>
              </w:rPr>
            </w:pPr>
            <w:r>
              <w:rPr>
                <w:rFonts w:ascii="Arial" w:cs="Arial" w:eastAsia="Arial" w:hAnsi="Arial"/>
                <w:sz w:val="18"/>
                <w:szCs w:val="18"/>
                <w:color w:val="auto"/>
              </w:rPr>
              <w:t>$</w:t>
            </w:r>
          </w:p>
        </w:tc>
        <w:tc>
          <w:tcPr>
            <w:tcW w:w="900" w:type="dxa"/>
            <w:vAlign w:val="bottom"/>
          </w:tcPr>
          <w:p>
            <w:pPr>
              <w:jc w:val="right"/>
              <w:ind w:right="71"/>
              <w:spacing w:after="0" w:line="200" w:lineRule="exact"/>
              <w:rPr>
                <w:sz w:val="20"/>
                <w:szCs w:val="20"/>
                <w:color w:val="auto"/>
              </w:rPr>
            </w:pPr>
            <w:r>
              <w:rPr>
                <w:rFonts w:ascii="Arial" w:cs="Arial" w:eastAsia="Arial" w:hAnsi="Arial"/>
                <w:sz w:val="18"/>
                <w:szCs w:val="18"/>
                <w:color w:val="auto"/>
              </w:rPr>
              <w:t>77,332</w:t>
            </w:r>
          </w:p>
        </w:tc>
        <w:tc>
          <w:tcPr>
            <w:tcW w:w="300" w:type="dxa"/>
            <w:vAlign w:val="bottom"/>
            <w:gridSpan w:val="2"/>
          </w:tcPr>
          <w:p>
            <w:pPr>
              <w:ind w:left="80"/>
              <w:spacing w:after="0" w:line="200" w:lineRule="exact"/>
              <w:rPr>
                <w:sz w:val="20"/>
                <w:szCs w:val="20"/>
                <w:color w:val="auto"/>
              </w:rPr>
            </w:pPr>
            <w:r>
              <w:rPr>
                <w:rFonts w:ascii="Arial" w:cs="Arial" w:eastAsia="Arial" w:hAnsi="Arial"/>
                <w:sz w:val="18"/>
                <w:szCs w:val="18"/>
                <w:color w:val="auto"/>
              </w:rPr>
              <w:t>$</w:t>
            </w:r>
          </w:p>
        </w:tc>
        <w:tc>
          <w:tcPr>
            <w:tcW w:w="800" w:type="dxa"/>
            <w:vAlign w:val="bottom"/>
          </w:tcPr>
          <w:p>
            <w:pPr>
              <w:jc w:val="right"/>
              <w:ind w:right="71"/>
              <w:spacing w:after="0" w:line="200" w:lineRule="exact"/>
              <w:rPr>
                <w:sz w:val="20"/>
                <w:szCs w:val="20"/>
                <w:color w:val="auto"/>
              </w:rPr>
            </w:pPr>
            <w:r>
              <w:rPr>
                <w:rFonts w:ascii="Arial" w:cs="Arial" w:eastAsia="Arial" w:hAnsi="Arial"/>
                <w:sz w:val="18"/>
                <w:szCs w:val="18"/>
                <w:color w:val="auto"/>
              </w:rPr>
              <w:t>13,546</w:t>
            </w:r>
          </w:p>
        </w:tc>
        <w:tc>
          <w:tcPr>
            <w:tcW w:w="100" w:type="dxa"/>
            <w:vAlign w:val="bottom"/>
          </w:tcPr>
          <w:p>
            <w:pPr>
              <w:spacing w:after="0"/>
              <w:rPr>
                <w:sz w:val="17"/>
                <w:szCs w:val="17"/>
                <w:color w:val="auto"/>
              </w:rPr>
            </w:pPr>
          </w:p>
        </w:tc>
        <w:tc>
          <w:tcPr>
            <w:tcW w:w="160" w:type="dxa"/>
            <w:vAlign w:val="bottom"/>
          </w:tcPr>
          <w:p>
            <w:pPr>
              <w:jc w:val="right"/>
              <w:spacing w:after="0" w:line="200" w:lineRule="exact"/>
              <w:rPr>
                <w:sz w:val="20"/>
                <w:szCs w:val="20"/>
                <w:color w:val="auto"/>
              </w:rPr>
            </w:pPr>
            <w:r>
              <w:rPr>
                <w:rFonts w:ascii="Arial" w:cs="Arial" w:eastAsia="Arial" w:hAnsi="Arial"/>
                <w:sz w:val="18"/>
                <w:szCs w:val="18"/>
                <w:color w:val="auto"/>
              </w:rPr>
              <w:t>$</w:t>
            </w:r>
          </w:p>
        </w:tc>
        <w:tc>
          <w:tcPr>
            <w:tcW w:w="740" w:type="dxa"/>
            <w:vAlign w:val="bottom"/>
          </w:tcPr>
          <w:p>
            <w:pPr>
              <w:jc w:val="right"/>
              <w:ind w:right="71"/>
              <w:spacing w:after="0" w:line="200" w:lineRule="exact"/>
              <w:rPr>
                <w:sz w:val="20"/>
                <w:szCs w:val="20"/>
                <w:color w:val="auto"/>
              </w:rPr>
            </w:pPr>
            <w:r>
              <w:rPr>
                <w:rFonts w:ascii="Arial" w:cs="Arial" w:eastAsia="Arial" w:hAnsi="Arial"/>
                <w:sz w:val="18"/>
                <w:szCs w:val="18"/>
                <w:color w:val="auto"/>
              </w:rPr>
              <w:t>90,878</w:t>
            </w:r>
          </w:p>
        </w:tc>
        <w:tc>
          <w:tcPr>
            <w:tcW w:w="0" w:type="dxa"/>
            <w:vAlign w:val="bottom"/>
          </w:tcPr>
          <w:p>
            <w:pPr>
              <w:spacing w:after="0"/>
              <w:rPr>
                <w:sz w:val="1"/>
                <w:szCs w:val="1"/>
                <w:color w:val="auto"/>
              </w:rPr>
            </w:pPr>
          </w:p>
        </w:tc>
      </w:tr>
      <w:tr>
        <w:trPr>
          <w:trHeight w:val="214"/>
        </w:trPr>
        <w:tc>
          <w:tcPr>
            <w:tcW w:w="1840" w:type="dxa"/>
            <w:vAlign w:val="bottom"/>
          </w:tcPr>
          <w:p>
            <w:pPr>
              <w:spacing w:after="0"/>
              <w:rPr>
                <w:sz w:val="20"/>
                <w:szCs w:val="20"/>
                <w:color w:val="auto"/>
              </w:rPr>
            </w:pPr>
            <w:r>
              <w:rPr>
                <w:rFonts w:ascii="Arial" w:cs="Arial" w:eastAsia="Arial" w:hAnsi="Arial"/>
                <w:sz w:val="18"/>
                <w:szCs w:val="18"/>
                <w:color w:val="auto"/>
              </w:rPr>
              <w:t>Atlanta MSA</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ind w:right="71"/>
              <w:spacing w:after="0"/>
              <w:rPr>
                <w:sz w:val="20"/>
                <w:szCs w:val="20"/>
                <w:color w:val="auto"/>
              </w:rPr>
            </w:pPr>
            <w:r>
              <w:rPr>
                <w:rFonts w:ascii="Arial" w:cs="Arial" w:eastAsia="Arial" w:hAnsi="Arial"/>
                <w:sz w:val="18"/>
                <w:szCs w:val="18"/>
                <w:color w:val="auto"/>
              </w:rPr>
              <w:t>3,803</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jc w:val="right"/>
              <w:ind w:right="71"/>
              <w:spacing w:after="0"/>
              <w:rPr>
                <w:sz w:val="20"/>
                <w:szCs w:val="20"/>
                <w:color w:val="auto"/>
              </w:rPr>
            </w:pPr>
            <w:r>
              <w:rPr>
                <w:rFonts w:ascii="Arial" w:cs="Arial" w:eastAsia="Arial" w:hAnsi="Arial"/>
                <w:sz w:val="18"/>
                <w:szCs w:val="18"/>
                <w:color w:val="auto"/>
              </w:rPr>
              <w:t>1,197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ind w:right="71"/>
              <w:spacing w:after="0"/>
              <w:rPr>
                <w:sz w:val="20"/>
                <w:szCs w:val="20"/>
                <w:color w:val="auto"/>
              </w:rPr>
            </w:pPr>
            <w:r>
              <w:rPr>
                <w:rFonts w:ascii="Arial" w:cs="Arial" w:eastAsia="Arial" w:hAnsi="Arial"/>
                <w:sz w:val="18"/>
                <w:szCs w:val="18"/>
                <w:color w:val="auto"/>
              </w:rPr>
              <w:t>5,000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ind w:right="71"/>
              <w:spacing w:after="0"/>
              <w:rPr>
                <w:sz w:val="20"/>
                <w:szCs w:val="20"/>
                <w:color w:val="auto"/>
              </w:rPr>
            </w:pPr>
            <w:r>
              <w:rPr>
                <w:rFonts w:ascii="Arial" w:cs="Arial" w:eastAsia="Arial" w:hAnsi="Arial"/>
                <w:sz w:val="18"/>
                <w:szCs w:val="18"/>
                <w:color w:val="auto"/>
              </w:rPr>
              <w:t>18,556</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ind w:right="71"/>
              <w:spacing w:after="0"/>
              <w:rPr>
                <w:sz w:val="20"/>
                <w:szCs w:val="20"/>
                <w:color w:val="auto"/>
              </w:rPr>
            </w:pPr>
            <w:r>
              <w:rPr>
                <w:rFonts w:ascii="Arial" w:cs="Arial" w:eastAsia="Arial" w:hAnsi="Arial"/>
                <w:sz w:val="18"/>
                <w:szCs w:val="18"/>
                <w:color w:val="auto"/>
              </w:rPr>
              <w:t>3,442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ind w:right="71"/>
              <w:spacing w:after="0"/>
              <w:rPr>
                <w:sz w:val="20"/>
                <w:szCs w:val="20"/>
                <w:color w:val="auto"/>
              </w:rPr>
            </w:pPr>
            <w:r>
              <w:rPr>
                <w:rFonts w:ascii="Arial" w:cs="Arial" w:eastAsia="Arial" w:hAnsi="Arial"/>
                <w:sz w:val="18"/>
                <w:szCs w:val="18"/>
                <w:color w:val="auto"/>
              </w:rPr>
              <w:t>21,998</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ind w:right="71"/>
              <w:spacing w:after="0"/>
              <w:rPr>
                <w:sz w:val="20"/>
                <w:szCs w:val="20"/>
                <w:color w:val="auto"/>
              </w:rPr>
            </w:pPr>
            <w:r>
              <w:rPr>
                <w:rFonts w:ascii="Arial" w:cs="Arial" w:eastAsia="Arial" w:hAnsi="Arial"/>
                <w:sz w:val="18"/>
                <w:szCs w:val="18"/>
                <w:color w:val="auto"/>
              </w:rPr>
              <w:t>17,593</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ind w:right="71"/>
              <w:spacing w:after="0"/>
              <w:rPr>
                <w:sz w:val="20"/>
                <w:szCs w:val="20"/>
                <w:color w:val="auto"/>
              </w:rPr>
            </w:pPr>
            <w:r>
              <w:rPr>
                <w:rFonts w:ascii="Arial" w:cs="Arial" w:eastAsia="Arial" w:hAnsi="Arial"/>
                <w:sz w:val="18"/>
                <w:szCs w:val="18"/>
                <w:color w:val="auto"/>
              </w:rPr>
              <w:t>8,651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ind w:right="71"/>
              <w:spacing w:after="0"/>
              <w:rPr>
                <w:sz w:val="20"/>
                <w:szCs w:val="20"/>
                <w:color w:val="auto"/>
              </w:rPr>
            </w:pPr>
            <w:r>
              <w:rPr>
                <w:rFonts w:ascii="Arial" w:cs="Arial" w:eastAsia="Arial" w:hAnsi="Arial"/>
                <w:sz w:val="18"/>
                <w:szCs w:val="18"/>
                <w:color w:val="auto"/>
              </w:rPr>
              <w:t>26,244</w:t>
            </w:r>
          </w:p>
        </w:tc>
        <w:tc>
          <w:tcPr>
            <w:tcW w:w="0" w:type="dxa"/>
            <w:vAlign w:val="bottom"/>
          </w:tcPr>
          <w:p>
            <w:pPr>
              <w:spacing w:after="0"/>
              <w:rPr>
                <w:sz w:val="1"/>
                <w:szCs w:val="1"/>
                <w:color w:val="auto"/>
              </w:rPr>
            </w:pPr>
          </w:p>
        </w:tc>
      </w:tr>
      <w:tr>
        <w:trPr>
          <w:trHeight w:val="214"/>
        </w:trPr>
        <w:tc>
          <w:tcPr>
            <w:tcW w:w="1840" w:type="dxa"/>
            <w:vAlign w:val="bottom"/>
          </w:tcPr>
          <w:p>
            <w:pPr>
              <w:spacing w:after="0"/>
              <w:rPr>
                <w:sz w:val="20"/>
                <w:szCs w:val="20"/>
                <w:color w:val="auto"/>
              </w:rPr>
            </w:pPr>
            <w:r>
              <w:rPr>
                <w:rFonts w:ascii="Arial" w:cs="Arial" w:eastAsia="Arial" w:hAnsi="Arial"/>
                <w:sz w:val="18"/>
                <w:szCs w:val="18"/>
                <w:color w:val="auto"/>
              </w:rPr>
              <w:t>North Carolina</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ind w:right="71"/>
              <w:spacing w:after="0"/>
              <w:rPr>
                <w:sz w:val="20"/>
                <w:szCs w:val="20"/>
                <w:color w:val="auto"/>
              </w:rPr>
            </w:pPr>
            <w:r>
              <w:rPr>
                <w:rFonts w:ascii="Arial" w:cs="Arial" w:eastAsia="Arial" w:hAnsi="Arial"/>
                <w:sz w:val="18"/>
                <w:szCs w:val="18"/>
                <w:color w:val="auto"/>
              </w:rPr>
              <w:t>6,512</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jc w:val="right"/>
              <w:ind w:right="71"/>
              <w:spacing w:after="0"/>
              <w:rPr>
                <w:sz w:val="20"/>
                <w:szCs w:val="20"/>
                <w:color w:val="auto"/>
              </w:rPr>
            </w:pPr>
            <w:r>
              <w:rPr>
                <w:rFonts w:ascii="Arial" w:cs="Arial" w:eastAsia="Arial" w:hAnsi="Arial"/>
                <w:sz w:val="18"/>
                <w:szCs w:val="18"/>
                <w:color w:val="auto"/>
              </w:rPr>
              <w:t>295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ind w:right="71"/>
              <w:spacing w:after="0"/>
              <w:rPr>
                <w:sz w:val="20"/>
                <w:szCs w:val="20"/>
                <w:color w:val="auto"/>
              </w:rPr>
            </w:pPr>
            <w:r>
              <w:rPr>
                <w:rFonts w:ascii="Arial" w:cs="Arial" w:eastAsia="Arial" w:hAnsi="Arial"/>
                <w:sz w:val="18"/>
                <w:szCs w:val="18"/>
                <w:color w:val="auto"/>
              </w:rPr>
              <w:t>6,807</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ind w:right="71"/>
              <w:spacing w:after="0"/>
              <w:rPr>
                <w:sz w:val="20"/>
                <w:szCs w:val="20"/>
                <w:color w:val="auto"/>
              </w:rPr>
            </w:pPr>
            <w:r>
              <w:rPr>
                <w:rFonts w:ascii="Arial" w:cs="Arial" w:eastAsia="Arial" w:hAnsi="Arial"/>
                <w:sz w:val="18"/>
                <w:szCs w:val="18"/>
                <w:color w:val="auto"/>
              </w:rPr>
              <w:t>11,014</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ind w:right="71"/>
              <w:spacing w:after="0"/>
              <w:rPr>
                <w:sz w:val="20"/>
                <w:szCs w:val="20"/>
                <w:color w:val="auto"/>
              </w:rPr>
            </w:pPr>
            <w:r>
              <w:rPr>
                <w:rFonts w:ascii="Arial" w:cs="Arial" w:eastAsia="Arial" w:hAnsi="Arial"/>
                <w:sz w:val="18"/>
                <w:szCs w:val="18"/>
                <w:color w:val="auto"/>
              </w:rPr>
              <w:t>2,579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ind w:right="71"/>
              <w:spacing w:after="0"/>
              <w:rPr>
                <w:sz w:val="20"/>
                <w:szCs w:val="20"/>
                <w:color w:val="auto"/>
              </w:rPr>
            </w:pPr>
            <w:r>
              <w:rPr>
                <w:rFonts w:ascii="Arial" w:cs="Arial" w:eastAsia="Arial" w:hAnsi="Arial"/>
                <w:sz w:val="18"/>
                <w:szCs w:val="18"/>
                <w:color w:val="auto"/>
              </w:rPr>
              <w:t>13,593</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ind w:right="71"/>
              <w:spacing w:after="0"/>
              <w:rPr>
                <w:sz w:val="20"/>
                <w:szCs w:val="20"/>
                <w:color w:val="auto"/>
              </w:rPr>
            </w:pPr>
            <w:r>
              <w:rPr>
                <w:rFonts w:ascii="Arial" w:cs="Arial" w:eastAsia="Arial" w:hAnsi="Arial"/>
                <w:sz w:val="18"/>
                <w:szCs w:val="18"/>
                <w:color w:val="auto"/>
              </w:rPr>
              <w:t>10,657</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ind w:right="71"/>
              <w:spacing w:after="0"/>
              <w:rPr>
                <w:sz w:val="20"/>
                <w:szCs w:val="20"/>
                <w:color w:val="auto"/>
              </w:rPr>
            </w:pPr>
            <w:r>
              <w:rPr>
                <w:rFonts w:ascii="Arial" w:cs="Arial" w:eastAsia="Arial" w:hAnsi="Arial"/>
                <w:sz w:val="18"/>
                <w:szCs w:val="18"/>
                <w:color w:val="auto"/>
              </w:rPr>
              <w:t>3,287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ind w:right="71"/>
              <w:spacing w:after="0"/>
              <w:rPr>
                <w:sz w:val="20"/>
                <w:szCs w:val="20"/>
                <w:color w:val="auto"/>
              </w:rPr>
            </w:pPr>
            <w:r>
              <w:rPr>
                <w:rFonts w:ascii="Arial" w:cs="Arial" w:eastAsia="Arial" w:hAnsi="Arial"/>
                <w:sz w:val="18"/>
                <w:szCs w:val="18"/>
                <w:color w:val="auto"/>
              </w:rPr>
              <w:t>13,944</w:t>
            </w:r>
          </w:p>
        </w:tc>
        <w:tc>
          <w:tcPr>
            <w:tcW w:w="0" w:type="dxa"/>
            <w:vAlign w:val="bottom"/>
          </w:tcPr>
          <w:p>
            <w:pPr>
              <w:spacing w:after="0"/>
              <w:rPr>
                <w:sz w:val="1"/>
                <w:szCs w:val="1"/>
                <w:color w:val="auto"/>
              </w:rPr>
            </w:pPr>
          </w:p>
        </w:tc>
      </w:tr>
      <w:tr>
        <w:trPr>
          <w:trHeight w:val="214"/>
        </w:trPr>
        <w:tc>
          <w:tcPr>
            <w:tcW w:w="1840" w:type="dxa"/>
            <w:vAlign w:val="bottom"/>
          </w:tcPr>
          <w:p>
            <w:pPr>
              <w:spacing w:after="0"/>
              <w:rPr>
                <w:sz w:val="20"/>
                <w:szCs w:val="20"/>
                <w:color w:val="auto"/>
              </w:rPr>
            </w:pPr>
            <w:r>
              <w:rPr>
                <w:rFonts w:ascii="Arial" w:cs="Arial" w:eastAsia="Arial" w:hAnsi="Arial"/>
                <w:sz w:val="18"/>
                <w:szCs w:val="18"/>
                <w:color w:val="auto"/>
              </w:rPr>
              <w:t>Coastal Georgia</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ind w:right="71"/>
              <w:spacing w:after="0"/>
              <w:rPr>
                <w:sz w:val="20"/>
                <w:szCs w:val="20"/>
                <w:color w:val="auto"/>
              </w:rPr>
            </w:pPr>
            <w:r>
              <w:rPr>
                <w:rFonts w:ascii="Arial" w:cs="Arial" w:eastAsia="Arial" w:hAnsi="Arial"/>
                <w:sz w:val="18"/>
                <w:szCs w:val="18"/>
                <w:color w:val="auto"/>
              </w:rPr>
              <w:t>2,588</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jc w:val="right"/>
              <w:ind w:right="71"/>
              <w:spacing w:after="0"/>
              <w:rPr>
                <w:sz w:val="20"/>
                <w:szCs w:val="20"/>
                <w:color w:val="auto"/>
              </w:rPr>
            </w:pPr>
            <w:r>
              <w:rPr>
                <w:rFonts w:ascii="Arial" w:cs="Arial" w:eastAsia="Arial" w:hAnsi="Arial"/>
                <w:sz w:val="18"/>
                <w:szCs w:val="18"/>
                <w:color w:val="auto"/>
              </w:rPr>
              <w:t>627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ind w:right="71"/>
              <w:spacing w:after="0"/>
              <w:rPr>
                <w:sz w:val="20"/>
                <w:szCs w:val="20"/>
                <w:color w:val="auto"/>
              </w:rPr>
            </w:pPr>
            <w:r>
              <w:rPr>
                <w:rFonts w:ascii="Arial" w:cs="Arial" w:eastAsia="Arial" w:hAnsi="Arial"/>
                <w:sz w:val="18"/>
                <w:szCs w:val="18"/>
                <w:color w:val="auto"/>
              </w:rPr>
              <w:t>3,215</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ind w:right="71"/>
              <w:spacing w:after="0"/>
              <w:rPr>
                <w:sz w:val="20"/>
                <w:szCs w:val="20"/>
                <w:color w:val="auto"/>
              </w:rPr>
            </w:pPr>
            <w:r>
              <w:rPr>
                <w:rFonts w:ascii="Arial" w:cs="Arial" w:eastAsia="Arial" w:hAnsi="Arial"/>
                <w:sz w:val="18"/>
                <w:szCs w:val="18"/>
                <w:color w:val="auto"/>
              </w:rPr>
              <w:t>3,810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ind w:right="71"/>
              <w:spacing w:after="0"/>
              <w:rPr>
                <w:sz w:val="20"/>
                <w:szCs w:val="20"/>
                <w:color w:val="auto"/>
              </w:rPr>
            </w:pPr>
            <w:r>
              <w:rPr>
                <w:rFonts w:ascii="Arial" w:cs="Arial" w:eastAsia="Arial" w:hAnsi="Arial"/>
                <w:sz w:val="18"/>
                <w:szCs w:val="18"/>
                <w:color w:val="auto"/>
              </w:rPr>
              <w:t>1,609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ind w:right="71"/>
              <w:spacing w:after="0"/>
              <w:rPr>
                <w:sz w:val="20"/>
                <w:szCs w:val="20"/>
                <w:color w:val="auto"/>
              </w:rPr>
            </w:pPr>
            <w:r>
              <w:rPr>
                <w:rFonts w:ascii="Arial" w:cs="Arial" w:eastAsia="Arial" w:hAnsi="Arial"/>
                <w:sz w:val="18"/>
                <w:szCs w:val="18"/>
                <w:color w:val="auto"/>
              </w:rPr>
              <w:t>5,419</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ind w:right="71"/>
              <w:spacing w:after="0"/>
              <w:rPr>
                <w:sz w:val="20"/>
                <w:szCs w:val="20"/>
                <w:color w:val="auto"/>
              </w:rPr>
            </w:pPr>
            <w:r>
              <w:rPr>
                <w:rFonts w:ascii="Arial" w:cs="Arial" w:eastAsia="Arial" w:hAnsi="Arial"/>
                <w:sz w:val="18"/>
                <w:szCs w:val="18"/>
                <w:color w:val="auto"/>
              </w:rPr>
              <w:t>5,822</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ind w:right="71"/>
              <w:spacing w:after="0"/>
              <w:rPr>
                <w:sz w:val="20"/>
                <w:szCs w:val="20"/>
                <w:color w:val="auto"/>
              </w:rPr>
            </w:pPr>
            <w:r>
              <w:rPr>
                <w:rFonts w:ascii="Arial" w:cs="Arial" w:eastAsia="Arial" w:hAnsi="Arial"/>
                <w:sz w:val="18"/>
                <w:szCs w:val="18"/>
                <w:color w:val="auto"/>
              </w:rPr>
              <w:t>785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ind w:right="71"/>
              <w:spacing w:after="0"/>
              <w:rPr>
                <w:sz w:val="20"/>
                <w:szCs w:val="20"/>
                <w:color w:val="auto"/>
              </w:rPr>
            </w:pPr>
            <w:r>
              <w:rPr>
                <w:rFonts w:ascii="Arial" w:cs="Arial" w:eastAsia="Arial" w:hAnsi="Arial"/>
                <w:sz w:val="18"/>
                <w:szCs w:val="18"/>
                <w:color w:val="auto"/>
              </w:rPr>
              <w:t>6,607</w:t>
            </w:r>
          </w:p>
        </w:tc>
        <w:tc>
          <w:tcPr>
            <w:tcW w:w="0" w:type="dxa"/>
            <w:vAlign w:val="bottom"/>
          </w:tcPr>
          <w:p>
            <w:pPr>
              <w:spacing w:after="0"/>
              <w:rPr>
                <w:sz w:val="1"/>
                <w:szCs w:val="1"/>
                <w:color w:val="auto"/>
              </w:rPr>
            </w:pPr>
          </w:p>
        </w:tc>
      </w:tr>
      <w:tr>
        <w:trPr>
          <w:trHeight w:val="214"/>
        </w:trPr>
        <w:tc>
          <w:tcPr>
            <w:tcW w:w="1840" w:type="dxa"/>
            <w:vAlign w:val="bottom"/>
          </w:tcPr>
          <w:p>
            <w:pPr>
              <w:spacing w:after="0"/>
              <w:rPr>
                <w:sz w:val="20"/>
                <w:szCs w:val="20"/>
                <w:color w:val="auto"/>
              </w:rPr>
            </w:pPr>
            <w:r>
              <w:rPr>
                <w:rFonts w:ascii="Arial" w:cs="Arial" w:eastAsia="Arial" w:hAnsi="Arial"/>
                <w:sz w:val="18"/>
                <w:szCs w:val="18"/>
                <w:color w:val="auto"/>
              </w:rPr>
              <w:t>Gainesville MSA</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ind w:right="71"/>
              <w:spacing w:after="0"/>
              <w:rPr>
                <w:sz w:val="20"/>
                <w:szCs w:val="20"/>
                <w:color w:val="auto"/>
              </w:rPr>
            </w:pPr>
            <w:r>
              <w:rPr>
                <w:rFonts w:ascii="Arial" w:cs="Arial" w:eastAsia="Arial" w:hAnsi="Arial"/>
                <w:sz w:val="18"/>
                <w:szCs w:val="18"/>
                <w:color w:val="auto"/>
              </w:rPr>
              <w:t>1,008</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ind w:right="71"/>
              <w:spacing w:after="0"/>
              <w:rPr>
                <w:sz w:val="20"/>
                <w:szCs w:val="20"/>
                <w:color w:val="auto"/>
              </w:rPr>
            </w:pPr>
            <w:r>
              <w:rPr>
                <w:rFonts w:ascii="Arial" w:cs="Arial" w:eastAsia="Arial" w:hAnsi="Arial"/>
                <w:sz w:val="18"/>
                <w:szCs w:val="18"/>
                <w:color w:val="auto"/>
              </w:rPr>
              <w:t>1,008</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ind w:right="71"/>
              <w:spacing w:after="0"/>
              <w:rPr>
                <w:sz w:val="20"/>
                <w:szCs w:val="20"/>
                <w:color w:val="auto"/>
              </w:rPr>
            </w:pPr>
            <w:r>
              <w:rPr>
                <w:rFonts w:ascii="Arial" w:cs="Arial" w:eastAsia="Arial" w:hAnsi="Arial"/>
                <w:sz w:val="18"/>
                <w:szCs w:val="18"/>
                <w:color w:val="auto"/>
              </w:rPr>
              <w:t>903</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ind w:right="71"/>
              <w:spacing w:after="0"/>
              <w:rPr>
                <w:sz w:val="20"/>
                <w:szCs w:val="20"/>
                <w:color w:val="auto"/>
              </w:rPr>
            </w:pPr>
            <w:r>
              <w:rPr>
                <w:rFonts w:ascii="Arial" w:cs="Arial" w:eastAsia="Arial" w:hAnsi="Arial"/>
                <w:sz w:val="18"/>
                <w:szCs w:val="18"/>
                <w:color w:val="auto"/>
              </w:rPr>
              <w:t>556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ind w:right="71"/>
              <w:spacing w:after="0"/>
              <w:rPr>
                <w:sz w:val="20"/>
                <w:szCs w:val="20"/>
                <w:color w:val="auto"/>
              </w:rPr>
            </w:pPr>
            <w:r>
              <w:rPr>
                <w:rFonts w:ascii="Arial" w:cs="Arial" w:eastAsia="Arial" w:hAnsi="Arial"/>
                <w:sz w:val="18"/>
                <w:szCs w:val="18"/>
                <w:color w:val="auto"/>
              </w:rPr>
              <w:t>1,459</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ind w:right="71"/>
              <w:spacing w:after="0"/>
              <w:rPr>
                <w:sz w:val="20"/>
                <w:szCs w:val="20"/>
                <w:color w:val="auto"/>
              </w:rPr>
            </w:pPr>
            <w:r>
              <w:rPr>
                <w:rFonts w:ascii="Arial" w:cs="Arial" w:eastAsia="Arial" w:hAnsi="Arial"/>
                <w:sz w:val="18"/>
                <w:szCs w:val="18"/>
                <w:color w:val="auto"/>
              </w:rPr>
              <w:t>991</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ind w:right="71"/>
              <w:spacing w:after="0"/>
              <w:rPr>
                <w:sz w:val="20"/>
                <w:szCs w:val="20"/>
                <w:color w:val="auto"/>
              </w:rPr>
            </w:pPr>
            <w:r>
              <w:rPr>
                <w:rFonts w:ascii="Arial" w:cs="Arial" w:eastAsia="Arial" w:hAnsi="Arial"/>
                <w:sz w:val="18"/>
                <w:szCs w:val="18"/>
                <w:color w:val="auto"/>
              </w:rPr>
              <w:t>2,998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ind w:right="71"/>
              <w:spacing w:after="0"/>
              <w:rPr>
                <w:sz w:val="20"/>
                <w:szCs w:val="20"/>
                <w:color w:val="auto"/>
              </w:rPr>
            </w:pPr>
            <w:r>
              <w:rPr>
                <w:rFonts w:ascii="Arial" w:cs="Arial" w:eastAsia="Arial" w:hAnsi="Arial"/>
                <w:sz w:val="18"/>
                <w:szCs w:val="18"/>
                <w:color w:val="auto"/>
              </w:rPr>
              <w:t>3,989</w:t>
            </w:r>
          </w:p>
        </w:tc>
        <w:tc>
          <w:tcPr>
            <w:tcW w:w="0" w:type="dxa"/>
            <w:vAlign w:val="bottom"/>
          </w:tcPr>
          <w:p>
            <w:pPr>
              <w:spacing w:after="0"/>
              <w:rPr>
                <w:sz w:val="1"/>
                <w:szCs w:val="1"/>
                <w:color w:val="auto"/>
              </w:rPr>
            </w:pPr>
          </w:p>
        </w:tc>
      </w:tr>
      <w:tr>
        <w:trPr>
          <w:trHeight w:val="214"/>
        </w:trPr>
        <w:tc>
          <w:tcPr>
            <w:tcW w:w="1840" w:type="dxa"/>
            <w:vAlign w:val="bottom"/>
          </w:tcPr>
          <w:p>
            <w:pPr>
              <w:spacing w:after="0"/>
              <w:rPr>
                <w:sz w:val="20"/>
                <w:szCs w:val="20"/>
                <w:color w:val="auto"/>
              </w:rPr>
            </w:pPr>
            <w:r>
              <w:rPr>
                <w:rFonts w:ascii="Arial" w:cs="Arial" w:eastAsia="Arial" w:hAnsi="Arial"/>
                <w:sz w:val="18"/>
                <w:szCs w:val="18"/>
                <w:color w:val="auto"/>
              </w:rPr>
              <w:t>East Tennessee</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ind w:right="71"/>
              <w:spacing w:after="0"/>
              <w:rPr>
                <w:sz w:val="20"/>
                <w:szCs w:val="20"/>
                <w:color w:val="auto"/>
              </w:rPr>
            </w:pPr>
            <w:r>
              <w:rPr>
                <w:rFonts w:ascii="Arial" w:cs="Arial" w:eastAsia="Arial" w:hAnsi="Arial"/>
                <w:sz w:val="18"/>
                <w:szCs w:val="18"/>
                <w:color w:val="auto"/>
              </w:rPr>
              <w:t>1,123</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jc w:val="right"/>
              <w:ind w:right="71"/>
              <w:spacing w:after="0"/>
              <w:rPr>
                <w:sz w:val="20"/>
                <w:szCs w:val="20"/>
                <w:color w:val="auto"/>
              </w:rPr>
            </w:pPr>
            <w:r>
              <w:rPr>
                <w:rFonts w:ascii="Arial" w:cs="Arial" w:eastAsia="Arial" w:hAnsi="Arial"/>
                <w:sz w:val="18"/>
                <w:szCs w:val="18"/>
                <w:color w:val="auto"/>
              </w:rPr>
              <w:t>200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ind w:right="71"/>
              <w:spacing w:after="0"/>
              <w:rPr>
                <w:sz w:val="20"/>
                <w:szCs w:val="20"/>
                <w:color w:val="auto"/>
              </w:rPr>
            </w:pPr>
            <w:r>
              <w:rPr>
                <w:rFonts w:ascii="Arial" w:cs="Arial" w:eastAsia="Arial" w:hAnsi="Arial"/>
                <w:sz w:val="18"/>
                <w:szCs w:val="18"/>
                <w:color w:val="auto"/>
              </w:rPr>
              <w:t>1,323</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ind w:right="71"/>
              <w:spacing w:after="0"/>
              <w:rPr>
                <w:sz w:val="20"/>
                <w:szCs w:val="20"/>
                <w:color w:val="auto"/>
              </w:rPr>
            </w:pPr>
            <w:r>
              <w:rPr>
                <w:rFonts w:ascii="Arial" w:cs="Arial" w:eastAsia="Arial" w:hAnsi="Arial"/>
                <w:sz w:val="18"/>
                <w:szCs w:val="18"/>
                <w:color w:val="auto"/>
              </w:rPr>
              <w:t>5,661</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ind w:right="71"/>
              <w:spacing w:after="0"/>
              <w:rPr>
                <w:sz w:val="20"/>
                <w:szCs w:val="20"/>
                <w:color w:val="auto"/>
              </w:rPr>
            </w:pPr>
            <w:r>
              <w:rPr>
                <w:rFonts w:ascii="Arial" w:cs="Arial" w:eastAsia="Arial" w:hAnsi="Arial"/>
                <w:sz w:val="18"/>
                <w:szCs w:val="18"/>
                <w:color w:val="auto"/>
              </w:rPr>
              <w:t>1,859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ind w:right="71"/>
              <w:spacing w:after="0"/>
              <w:rPr>
                <w:sz w:val="20"/>
                <w:szCs w:val="20"/>
                <w:color w:val="auto"/>
              </w:rPr>
            </w:pPr>
            <w:r>
              <w:rPr>
                <w:rFonts w:ascii="Arial" w:cs="Arial" w:eastAsia="Arial" w:hAnsi="Arial"/>
                <w:sz w:val="18"/>
                <w:szCs w:val="18"/>
                <w:color w:val="auto"/>
              </w:rPr>
              <w:t>7,520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ind w:right="71"/>
              <w:spacing w:after="0"/>
              <w:rPr>
                <w:sz w:val="20"/>
                <w:szCs w:val="20"/>
                <w:color w:val="auto"/>
              </w:rPr>
            </w:pPr>
            <w:r>
              <w:rPr>
                <w:rFonts w:ascii="Arial" w:cs="Arial" w:eastAsia="Arial" w:hAnsi="Arial"/>
                <w:sz w:val="18"/>
                <w:szCs w:val="18"/>
                <w:color w:val="auto"/>
              </w:rPr>
              <w:t>2,945</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ind w:right="71"/>
              <w:spacing w:after="0"/>
              <w:rPr>
                <w:sz w:val="20"/>
                <w:szCs w:val="20"/>
                <w:color w:val="auto"/>
              </w:rPr>
            </w:pPr>
            <w:r>
              <w:rPr>
                <w:rFonts w:ascii="Arial" w:cs="Arial" w:eastAsia="Arial" w:hAnsi="Arial"/>
                <w:sz w:val="18"/>
                <w:szCs w:val="18"/>
                <w:color w:val="auto"/>
              </w:rPr>
              <w:t>1,154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ind w:right="71"/>
              <w:spacing w:after="0"/>
              <w:rPr>
                <w:sz w:val="20"/>
                <w:szCs w:val="20"/>
                <w:color w:val="auto"/>
              </w:rPr>
            </w:pPr>
            <w:r>
              <w:rPr>
                <w:rFonts w:ascii="Arial" w:cs="Arial" w:eastAsia="Arial" w:hAnsi="Arial"/>
                <w:sz w:val="18"/>
                <w:szCs w:val="18"/>
                <w:color w:val="auto"/>
              </w:rPr>
              <w:t>4,099</w:t>
            </w:r>
          </w:p>
        </w:tc>
        <w:tc>
          <w:tcPr>
            <w:tcW w:w="0" w:type="dxa"/>
            <w:vAlign w:val="bottom"/>
          </w:tcPr>
          <w:p>
            <w:pPr>
              <w:spacing w:after="0"/>
              <w:rPr>
                <w:sz w:val="1"/>
                <w:szCs w:val="1"/>
                <w:color w:val="auto"/>
              </w:rPr>
            </w:pPr>
          </w:p>
        </w:tc>
      </w:tr>
      <w:tr>
        <w:trPr>
          <w:trHeight w:val="235"/>
        </w:trPr>
        <w:tc>
          <w:tcPr>
            <w:tcW w:w="1840" w:type="dxa"/>
            <w:vAlign w:val="bottom"/>
          </w:tcPr>
          <w:p>
            <w:pPr>
              <w:spacing w:after="0"/>
              <w:rPr>
                <w:sz w:val="20"/>
                <w:szCs w:val="20"/>
                <w:color w:val="auto"/>
              </w:rPr>
            </w:pPr>
            <w:r>
              <w:rPr>
                <w:rFonts w:ascii="Arial" w:cs="Arial" w:eastAsia="Arial" w:hAnsi="Arial"/>
                <w:sz w:val="18"/>
                <w:szCs w:val="18"/>
                <w:color w:val="auto"/>
              </w:rPr>
              <w:t>South Carolina</w:t>
            </w:r>
          </w:p>
        </w:tc>
        <w:tc>
          <w:tcPr>
            <w:tcW w:w="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7"/>
        </w:trPr>
        <w:tc>
          <w:tcPr>
            <w:tcW w:w="1840" w:type="dxa"/>
            <w:vAlign w:val="bottom"/>
          </w:tcPr>
          <w:p>
            <w:pPr>
              <w:ind w:left="220"/>
              <w:spacing w:after="0"/>
              <w:rPr>
                <w:sz w:val="20"/>
                <w:szCs w:val="20"/>
                <w:color w:val="auto"/>
              </w:rPr>
            </w:pPr>
            <w:r>
              <w:rPr>
                <w:rFonts w:ascii="Arial" w:cs="Arial" w:eastAsia="Arial" w:hAnsi="Arial"/>
                <w:sz w:val="18"/>
                <w:szCs w:val="18"/>
                <w:b w:val="1"/>
                <w:bCs w:val="1"/>
                <w:color w:val="auto"/>
              </w:rPr>
              <w:t>Total NPAs</w:t>
            </w:r>
          </w:p>
        </w:tc>
        <w:tc>
          <w:tcPr>
            <w:tcW w:w="40" w:type="dxa"/>
            <w:vAlign w:val="bottom"/>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71"/>
              <w:spacing w:after="0"/>
              <w:rPr>
                <w:sz w:val="20"/>
                <w:szCs w:val="20"/>
                <w:color w:val="auto"/>
              </w:rPr>
            </w:pPr>
            <w:r>
              <w:rPr>
                <w:rFonts w:ascii="Arial" w:cs="Arial" w:eastAsia="Arial" w:hAnsi="Arial"/>
                <w:sz w:val="18"/>
                <w:szCs w:val="18"/>
                <w:color w:val="auto"/>
              </w:rPr>
              <w:t>27,864</w:t>
            </w:r>
          </w:p>
        </w:tc>
        <w:tc>
          <w:tcPr>
            <w:tcW w:w="60" w:type="dxa"/>
            <w:vAlign w:val="bottom"/>
          </w:tcPr>
          <w:p>
            <w:pPr>
              <w:spacing w:after="0"/>
              <w:rPr>
                <w:sz w:val="19"/>
                <w:szCs w:val="19"/>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71"/>
              <w:spacing w:after="0"/>
              <w:rPr>
                <w:sz w:val="20"/>
                <w:szCs w:val="20"/>
                <w:color w:val="auto"/>
              </w:rPr>
            </w:pPr>
            <w:r>
              <w:rPr>
                <w:rFonts w:ascii="Arial" w:cs="Arial" w:eastAsia="Arial" w:hAnsi="Arial"/>
                <w:sz w:val="18"/>
                <w:szCs w:val="18"/>
                <w:color w:val="auto"/>
              </w:rPr>
              <w:t>3,936</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71"/>
              <w:spacing w:after="0"/>
              <w:rPr>
                <w:sz w:val="20"/>
                <w:szCs w:val="20"/>
                <w:color w:val="auto"/>
              </w:rPr>
            </w:pPr>
            <w:r>
              <w:rPr>
                <w:rFonts w:ascii="Arial" w:cs="Arial" w:eastAsia="Arial" w:hAnsi="Arial"/>
                <w:sz w:val="18"/>
                <w:szCs w:val="18"/>
                <w:color w:val="auto"/>
                <w:w w:val="94"/>
              </w:rPr>
              <w:t>31,800</w:t>
            </w:r>
          </w:p>
        </w:tc>
        <w:tc>
          <w:tcPr>
            <w:tcW w:w="80" w:type="dxa"/>
            <w:vAlign w:val="bottom"/>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71"/>
              <w:spacing w:after="0"/>
              <w:rPr>
                <w:sz w:val="20"/>
                <w:szCs w:val="20"/>
                <w:color w:val="auto"/>
              </w:rPr>
            </w:pPr>
            <w:r>
              <w:rPr>
                <w:rFonts w:ascii="Arial" w:cs="Arial" w:eastAsia="Arial" w:hAnsi="Arial"/>
                <w:sz w:val="18"/>
                <w:szCs w:val="18"/>
                <w:color w:val="auto"/>
              </w:rPr>
              <w:t>109,894</w:t>
            </w:r>
          </w:p>
        </w:tc>
        <w:tc>
          <w:tcPr>
            <w:tcW w:w="80" w:type="dxa"/>
            <w:vAlign w:val="bottom"/>
          </w:tcPr>
          <w:p>
            <w:pPr>
              <w:spacing w:after="0"/>
              <w:rPr>
                <w:sz w:val="19"/>
                <w:szCs w:val="19"/>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71"/>
              <w:spacing w:after="0"/>
              <w:rPr>
                <w:sz w:val="20"/>
                <w:szCs w:val="20"/>
                <w:color w:val="auto"/>
              </w:rPr>
            </w:pPr>
            <w:r>
              <w:rPr>
                <w:rFonts w:ascii="Arial" w:cs="Arial" w:eastAsia="Arial" w:hAnsi="Arial"/>
                <w:sz w:val="18"/>
                <w:szCs w:val="18"/>
                <w:color w:val="auto"/>
              </w:rPr>
              <w:t>18,264</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71"/>
              <w:spacing w:after="0"/>
              <w:rPr>
                <w:sz w:val="20"/>
                <w:szCs w:val="20"/>
                <w:color w:val="auto"/>
              </w:rPr>
            </w:pPr>
            <w:r>
              <w:rPr>
                <w:rFonts w:ascii="Arial" w:cs="Arial" w:eastAsia="Arial" w:hAnsi="Arial"/>
                <w:sz w:val="18"/>
                <w:szCs w:val="18"/>
                <w:color w:val="auto"/>
                <w:w w:val="92"/>
              </w:rPr>
              <w:t>128,158</w:t>
            </w: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ind w:right="71"/>
              <w:spacing w:after="0"/>
              <w:rPr>
                <w:sz w:val="20"/>
                <w:szCs w:val="20"/>
                <w:color w:val="auto"/>
              </w:rPr>
            </w:pPr>
            <w:r>
              <w:rPr>
                <w:rFonts w:ascii="Arial" w:cs="Arial" w:eastAsia="Arial" w:hAnsi="Arial"/>
                <w:sz w:val="18"/>
                <w:szCs w:val="18"/>
                <w:color w:val="auto"/>
              </w:rPr>
              <w:t>115,340</w:t>
            </w:r>
          </w:p>
        </w:tc>
        <w:tc>
          <w:tcPr>
            <w:tcW w:w="80" w:type="dxa"/>
            <w:vAlign w:val="bottom"/>
          </w:tcPr>
          <w:p>
            <w:pPr>
              <w:spacing w:after="0"/>
              <w:rPr>
                <w:sz w:val="19"/>
                <w:szCs w:val="19"/>
                <w:color w:val="auto"/>
              </w:rPr>
            </w:pP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71"/>
              <w:spacing w:after="0"/>
              <w:rPr>
                <w:sz w:val="20"/>
                <w:szCs w:val="20"/>
                <w:color w:val="auto"/>
              </w:rPr>
            </w:pPr>
            <w:r>
              <w:rPr>
                <w:rFonts w:ascii="Arial" w:cs="Arial" w:eastAsia="Arial" w:hAnsi="Arial"/>
                <w:sz w:val="18"/>
                <w:szCs w:val="18"/>
                <w:color w:val="auto"/>
              </w:rPr>
              <w:t>30,421</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71"/>
              <w:spacing w:after="0"/>
              <w:rPr>
                <w:sz w:val="20"/>
                <w:szCs w:val="20"/>
                <w:color w:val="auto"/>
              </w:rPr>
            </w:pPr>
            <w:r>
              <w:rPr>
                <w:rFonts w:ascii="Arial" w:cs="Arial" w:eastAsia="Arial" w:hAnsi="Arial"/>
                <w:sz w:val="18"/>
                <w:szCs w:val="18"/>
                <w:color w:val="auto"/>
                <w:w w:val="86"/>
              </w:rPr>
              <w:t>145,761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1195705</wp:posOffset>
            </wp:positionH>
            <wp:positionV relativeFrom="paragraph">
              <wp:posOffset>-143510</wp:posOffset>
            </wp:positionV>
            <wp:extent cx="6056630" cy="17018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056630" cy="170180"/>
                    </a:xfrm>
                    <a:prstGeom prst="rect">
                      <a:avLst/>
                    </a:prstGeom>
                    <a:noFill/>
                  </pic:spPr>
                </pic:pic>
              </a:graphicData>
            </a:graphic>
          </wp:anchor>
        </w:drawing>
      </w:r>
    </w:p>
    <w:p>
      <w:pPr>
        <w:ind w:left="560" w:hanging="553"/>
        <w:spacing w:after="0"/>
        <w:tabs>
          <w:tab w:leader="none" w:pos="560" w:val="left"/>
        </w:tabs>
        <w:numPr>
          <w:ilvl w:val="0"/>
          <w:numId w:val="10"/>
        </w:numPr>
        <w:rPr>
          <w:rFonts w:ascii="Arial" w:cs="Arial" w:eastAsia="Arial" w:hAnsi="Arial"/>
          <w:sz w:val="22"/>
          <w:szCs w:val="22"/>
          <w:color w:val="auto"/>
          <w:vertAlign w:val="superscript"/>
        </w:rPr>
      </w:pPr>
      <w:r>
        <w:rPr>
          <w:rFonts w:ascii="Arial" w:cs="Arial" w:eastAsia="Arial" w:hAnsi="Arial"/>
          <w:sz w:val="16"/>
          <w:szCs w:val="16"/>
          <w:color w:val="auto"/>
        </w:rPr>
        <w:t>Excludes non-performing loans and foreclosed properties covered by the loss-sharing agreement with the FDIC, related to the acquisition of SCB.</w:t>
      </w:r>
    </w:p>
    <w:p>
      <w:pPr>
        <w:spacing w:after="0" w:line="201" w:lineRule="exact"/>
        <w:rPr>
          <w:rFonts w:ascii="Arial" w:cs="Arial" w:eastAsia="Arial" w:hAnsi="Arial"/>
          <w:sz w:val="22"/>
          <w:szCs w:val="22"/>
          <w:color w:val="auto"/>
          <w:vertAlign w:val="superscript"/>
        </w:rPr>
      </w:pPr>
    </w:p>
    <w:p>
      <w:pPr>
        <w:ind w:left="5620"/>
        <w:spacing w:after="0"/>
        <w:rPr>
          <w:rFonts w:ascii="Arial" w:cs="Arial" w:eastAsia="Arial" w:hAnsi="Arial"/>
          <w:sz w:val="22"/>
          <w:szCs w:val="22"/>
          <w:color w:val="auto"/>
          <w:vertAlign w:val="superscript"/>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1195705</wp:posOffset>
            </wp:positionH>
            <wp:positionV relativeFrom="paragraph">
              <wp:posOffset>-402590</wp:posOffset>
            </wp:positionV>
            <wp:extent cx="541845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41845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13970</wp:posOffset>
            </wp:positionV>
            <wp:extent cx="724789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7890" cy="8255"/>
                    </a:xfrm>
                    <a:prstGeom prst="rect">
                      <a:avLst/>
                    </a:prstGeom>
                    <a:noFill/>
                  </pic:spPr>
                </pic:pic>
              </a:graphicData>
            </a:graphic>
          </wp:anchor>
        </w:drawing>
      </w:r>
    </w:p>
    <w:p>
      <w:pPr>
        <w:sectPr>
          <w:pgSz w:w="11900" w:h="16838" w:orient="portrait"/>
          <w:cols w:equalWidth="0" w:num="1">
            <w:col w:w="11420"/>
          </w:cols>
          <w:pgMar w:left="240" w:top="915" w:right="239" w:bottom="737" w:gutter="0" w:footer="0" w:header="0"/>
        </w:sectPr>
      </w:pPr>
    </w:p>
    <w:bookmarkStart w:id="58" w:name="page59"/>
    <w:bookmarkEnd w:id="58"/>
    <w:p>
      <w:pPr>
        <w:jc w:val="both"/>
        <w:spacing w:after="0" w:line="256" w:lineRule="auto"/>
        <w:rPr>
          <w:sz w:val="20"/>
          <w:szCs w:val="20"/>
          <w:color w:val="auto"/>
        </w:rPr>
      </w:pPr>
      <w:r>
        <w:rPr>
          <w:rFonts w:ascii="Arial" w:cs="Arial" w:eastAsia="Arial" w:hAnsi="Arial"/>
          <w:sz w:val="18"/>
          <w:szCs w:val="18"/>
          <w:color w:val="auto"/>
        </w:rPr>
        <w:t>Nonperforming assets in the residential construction category were $6.41 million at June 30, 2013, compared with $37.0 million at June 30, 2012, a decrease of $30.6 million, or 83%. Commercial nonperforming assets decreased from $85.6 million at June 30, 2012 to $9.21 million at June 30, 2013. Residential mortgage non-performing assets of $15.8 million decreased $6.44 million from June 30, 2012. The second quarter of 2013 classified asset sales contributed to the decreases in all categories of non-performing assets.</w:t>
      </w:r>
    </w:p>
    <w:p>
      <w:pPr>
        <w:spacing w:after="0" w:line="21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At June 30, 2013, December 31, 2012, and June 30, 2012, United had $84.9 million, $161 million and $168 million, respectively, in loans with terms that have been modified in a troubled debt restructuring (“TDR”). Included therein were $7.05 million, $38.0 million and $26.0 million, respectively, of TDRs that were not performing in accordance with their modified terms and were included in nonperforming loans. The remaining TDRs with an aggregate balance of $77.8 million, $123 million and $142 million, respectively, were performing according to their modified terms and are therefore not considered to be nonperforming assets.</w:t>
      </w:r>
    </w:p>
    <w:p>
      <w:pPr>
        <w:spacing w:after="0" w:line="218"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 xml:space="preserve">At June 30, 2013, December 31, 2012, and June 30, 2012, there were $104 million, $253 million and $294 million, respectively, of loans classified as impaired under the definition outlined in the Accounting Standards Codification. Included in impaired loans at June 30, 2013, December 31, 2012 and June 30, 2012, was $34.0 million, $157 million and $215 million, respectively, that did not require specific reserves or had previously been charged down to net realizable value. The balance of impaired loans at June 30, 2013, December 31, 2012 and June 30, 2012, of $69.8 million, $95.8 million and $78.9 million, respectively, had specific reserves that totaled $5.06 million, $11.6 million and $17.4 million, respectively. The average recorded investment in impaired loans for the second quarters of 2013 and 2012, was $104 million, and $287 million, respectively. For the first six months of 2013 and 2012, the average recorded investment in impaired loans was $179 million and $284 million, respectively. For the three and six months ended June 30, 2013, United recognized $1.20 million and $3.02 million, respectively, in interest revenue on impaired loans, compared to $2.42 million and $4.69 million for the same periods of the prior year. United’s policy is to discontinue the recognition of interest revenue for loans classified as impaired under ASC 310-10-35, </w:t>
      </w:r>
      <w:r>
        <w:rPr>
          <w:rFonts w:ascii="Arial" w:cs="Arial" w:eastAsia="Arial" w:hAnsi="Arial"/>
          <w:sz w:val="17"/>
          <w:szCs w:val="17"/>
          <w:i w:val="1"/>
          <w:iCs w:val="1"/>
          <w:color w:val="auto"/>
        </w:rPr>
        <w:t>Receivables,</w:t>
      </w:r>
      <w:r>
        <w:rPr>
          <w:rFonts w:ascii="Arial" w:cs="Arial" w:eastAsia="Arial" w:hAnsi="Arial"/>
          <w:sz w:val="17"/>
          <w:szCs w:val="17"/>
          <w:color w:val="auto"/>
        </w:rPr>
        <w:t xml:space="preserve"> when a loan meets the criteria for nonaccrual status. Impaired loans decreased 65% from June 30, 2012 to June 30, 2013, due to the second quarter 2013 classified asset sales.</w:t>
      </w:r>
    </w:p>
    <w:p>
      <w:pPr>
        <w:spacing w:after="0" w:line="207" w:lineRule="exact"/>
        <w:rPr>
          <w:sz w:val="20"/>
          <w:szCs w:val="20"/>
          <w:color w:val="auto"/>
        </w:rPr>
      </w:pPr>
    </w:p>
    <w:p>
      <w:pPr>
        <w:ind w:right="100"/>
        <w:spacing w:after="0" w:line="271" w:lineRule="auto"/>
        <w:rPr>
          <w:sz w:val="20"/>
          <w:szCs w:val="20"/>
          <w:color w:val="auto"/>
        </w:rPr>
      </w:pPr>
      <w:r>
        <w:rPr>
          <w:rFonts w:ascii="Arial" w:cs="Arial" w:eastAsia="Arial" w:hAnsi="Arial"/>
          <w:sz w:val="18"/>
          <w:szCs w:val="18"/>
          <w:color w:val="auto"/>
        </w:rPr>
        <w:t>The table below summarizes activity in non-performing assets by quarter. Assets covered by loss sharing agreements with the FDIC, related to the acquisition of SCB, are not included in this table.</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12 - Activity in Nonperforming Assets by Year</w:t>
      </w:r>
    </w:p>
    <w:p>
      <w:pPr>
        <w:spacing w:after="0" w:line="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thousands)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3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gridSpan w:val="6"/>
          </w:tcPr>
          <w:p>
            <w:pPr>
              <w:jc w:val="center"/>
              <w:ind w:left="811"/>
              <w:spacing w:after="0"/>
              <w:rPr>
                <w:sz w:val="20"/>
                <w:szCs w:val="20"/>
                <w:color w:val="auto"/>
              </w:rPr>
            </w:pPr>
            <w:r>
              <w:rPr>
                <w:rFonts w:ascii="Arial" w:cs="Arial" w:eastAsia="Arial" w:hAnsi="Arial"/>
                <w:sz w:val="18"/>
                <w:szCs w:val="18"/>
                <w:b w:val="1"/>
                <w:bCs w:val="1"/>
                <w:color w:val="auto"/>
                <w:w w:val="87"/>
              </w:rPr>
              <w:t xml:space="preserve">Second Quarter 2013 </w:t>
            </w:r>
            <w:r>
              <w:rPr>
                <w:rFonts w:ascii="Arial" w:cs="Arial" w:eastAsia="Arial" w:hAnsi="Arial"/>
                <w:sz w:val="24"/>
                <w:szCs w:val="24"/>
                <w:color w:val="auto"/>
                <w:w w:val="87"/>
                <w:vertAlign w:val="superscript"/>
              </w:rPr>
              <w:t>(1)</w:t>
            </w: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gridSpan w:val="6"/>
          </w:tcPr>
          <w:p>
            <w:pPr>
              <w:jc w:val="center"/>
              <w:ind w:left="651"/>
              <w:spacing w:after="0"/>
              <w:rPr>
                <w:sz w:val="20"/>
                <w:szCs w:val="20"/>
                <w:color w:val="auto"/>
              </w:rPr>
            </w:pPr>
            <w:r>
              <w:rPr>
                <w:rFonts w:ascii="Arial" w:cs="Arial" w:eastAsia="Arial" w:hAnsi="Arial"/>
                <w:sz w:val="18"/>
                <w:szCs w:val="18"/>
                <w:b w:val="1"/>
                <w:bCs w:val="1"/>
                <w:color w:val="auto"/>
                <w:w w:val="87"/>
              </w:rPr>
              <w:t xml:space="preserve">Second Quarter 2012 </w:t>
            </w:r>
            <w:r>
              <w:rPr>
                <w:rFonts w:ascii="Arial" w:cs="Arial" w:eastAsia="Arial" w:hAnsi="Arial"/>
                <w:sz w:val="24"/>
                <w:szCs w:val="24"/>
                <w:color w:val="auto"/>
                <w:w w:val="87"/>
                <w:vertAlign w:val="superscript"/>
              </w:rPr>
              <w:t>(1)</w:t>
            </w: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r>
      <w:tr>
        <w:trPr>
          <w:trHeight w:val="196"/>
        </w:trPr>
        <w:tc>
          <w:tcPr>
            <w:tcW w:w="3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jc w:val="center"/>
              <w:ind w:right="151"/>
              <w:spacing w:after="0" w:line="196" w:lineRule="exact"/>
              <w:rPr>
                <w:sz w:val="20"/>
                <w:szCs w:val="20"/>
                <w:color w:val="auto"/>
              </w:rPr>
            </w:pPr>
            <w:r>
              <w:rPr>
                <w:rFonts w:ascii="Arial" w:cs="Arial" w:eastAsia="Arial" w:hAnsi="Arial"/>
                <w:sz w:val="18"/>
                <w:szCs w:val="18"/>
                <w:b w:val="1"/>
                <w:bCs w:val="1"/>
                <w:color w:val="auto"/>
                <w:w w:val="89"/>
              </w:rPr>
              <w:t>Nonaccrual</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Borders>
              <w:right w:val="single" w:sz="8" w:color="auto"/>
            </w:tcBorders>
            <w:gridSpan w:val="2"/>
          </w:tcPr>
          <w:p>
            <w:pPr>
              <w:jc w:val="center"/>
              <w:ind w:right="420"/>
              <w:spacing w:after="0" w:line="196" w:lineRule="exact"/>
              <w:rPr>
                <w:sz w:val="20"/>
                <w:szCs w:val="20"/>
                <w:color w:val="auto"/>
              </w:rPr>
            </w:pPr>
            <w:r>
              <w:rPr>
                <w:rFonts w:ascii="Arial" w:cs="Arial" w:eastAsia="Arial" w:hAnsi="Arial"/>
                <w:sz w:val="18"/>
                <w:szCs w:val="18"/>
                <w:b w:val="1"/>
                <w:bCs w:val="1"/>
                <w:color w:val="auto"/>
                <w:w w:val="85"/>
              </w:rPr>
              <w:t>Foreclosed</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Borders>
              <w:right w:val="single" w:sz="8" w:color="auto"/>
            </w:tcBorders>
          </w:tcPr>
          <w:p>
            <w:pPr>
              <w:ind w:left="100"/>
              <w:spacing w:after="0" w:line="196" w:lineRule="exact"/>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17"/>
                <w:szCs w:val="17"/>
                <w:color w:val="auto"/>
              </w:rPr>
            </w:pPr>
          </w:p>
        </w:tc>
        <w:tc>
          <w:tcPr>
            <w:tcW w:w="1240" w:type="dxa"/>
            <w:vAlign w:val="bottom"/>
            <w:gridSpan w:val="2"/>
          </w:tcPr>
          <w:p>
            <w:pPr>
              <w:ind w:left="140"/>
              <w:spacing w:after="0" w:line="196" w:lineRule="exact"/>
              <w:rPr>
                <w:sz w:val="20"/>
                <w:szCs w:val="20"/>
                <w:color w:val="auto"/>
              </w:rPr>
            </w:pPr>
            <w:r>
              <w:rPr>
                <w:rFonts w:ascii="Arial" w:cs="Arial" w:eastAsia="Arial" w:hAnsi="Arial"/>
                <w:sz w:val="18"/>
                <w:szCs w:val="18"/>
                <w:b w:val="1"/>
                <w:bCs w:val="1"/>
                <w:color w:val="auto"/>
              </w:rPr>
              <w:t>Nonaccrual</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Borders>
              <w:right w:val="single" w:sz="8" w:color="auto"/>
            </w:tcBorders>
            <w:gridSpan w:val="2"/>
          </w:tcPr>
          <w:p>
            <w:pPr>
              <w:jc w:val="center"/>
              <w:ind w:right="380"/>
              <w:spacing w:after="0" w:line="196" w:lineRule="exact"/>
              <w:rPr>
                <w:sz w:val="20"/>
                <w:szCs w:val="20"/>
                <w:color w:val="auto"/>
              </w:rPr>
            </w:pPr>
            <w:r>
              <w:rPr>
                <w:rFonts w:ascii="Arial" w:cs="Arial" w:eastAsia="Arial" w:hAnsi="Arial"/>
                <w:sz w:val="18"/>
                <w:szCs w:val="18"/>
                <w:b w:val="1"/>
                <w:bCs w:val="1"/>
                <w:color w:val="auto"/>
                <w:w w:val="85"/>
              </w:rPr>
              <w:t>Foreclosed</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Borders>
              <w:right w:val="single" w:sz="8" w:color="auto"/>
            </w:tcBorders>
          </w:tcPr>
          <w:p>
            <w:pPr>
              <w:ind w:left="80"/>
              <w:spacing w:after="0" w:line="196" w:lineRule="exact"/>
              <w:rPr>
                <w:sz w:val="20"/>
                <w:szCs w:val="20"/>
                <w:color w:val="auto"/>
              </w:rPr>
            </w:pPr>
            <w:r>
              <w:rPr>
                <w:rFonts w:ascii="Arial" w:cs="Arial" w:eastAsia="Arial" w:hAnsi="Arial"/>
                <w:sz w:val="18"/>
                <w:szCs w:val="18"/>
                <w:b w:val="1"/>
                <w:bCs w:val="1"/>
                <w:color w:val="auto"/>
              </w:rPr>
              <w:t>Total</w:t>
            </w:r>
          </w:p>
        </w:tc>
      </w:tr>
      <w:tr>
        <w:trPr>
          <w:trHeight w:val="239"/>
        </w:trPr>
        <w:tc>
          <w:tcPr>
            <w:tcW w:w="3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center"/>
              <w:ind w:right="131"/>
              <w:spacing w:after="0"/>
              <w:rPr>
                <w:sz w:val="20"/>
                <w:szCs w:val="20"/>
                <w:color w:val="auto"/>
              </w:rPr>
            </w:pPr>
            <w:r>
              <w:rPr>
                <w:rFonts w:ascii="Arial" w:cs="Arial" w:eastAsia="Arial" w:hAnsi="Arial"/>
                <w:sz w:val="18"/>
                <w:szCs w:val="18"/>
                <w:b w:val="1"/>
                <w:bCs w:val="1"/>
                <w:color w:val="auto"/>
                <w:w w:val="86"/>
              </w:rPr>
              <w:t>Loans</w:t>
            </w: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right="171"/>
              <w:spacing w:after="0"/>
              <w:rPr>
                <w:sz w:val="20"/>
                <w:szCs w:val="20"/>
                <w:color w:val="auto"/>
              </w:rPr>
            </w:pPr>
            <w:r>
              <w:rPr>
                <w:rFonts w:ascii="Arial" w:cs="Arial" w:eastAsia="Arial" w:hAnsi="Arial"/>
                <w:sz w:val="18"/>
                <w:szCs w:val="18"/>
                <w:b w:val="1"/>
                <w:bCs w:val="1"/>
                <w:color w:val="auto"/>
                <w:w w:val="89"/>
              </w:rPr>
              <w:t>Properties</w:t>
            </w:r>
          </w:p>
        </w:tc>
        <w:tc>
          <w:tcPr>
            <w:tcW w:w="140" w:type="dxa"/>
            <w:vAlign w:val="bottom"/>
            <w:tcBorders>
              <w:right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b w:val="1"/>
                <w:bCs w:val="1"/>
                <w:color w:val="auto"/>
              </w:rPr>
              <w:t>NPAs</w:t>
            </w:r>
          </w:p>
        </w:tc>
        <w:tc>
          <w:tcPr>
            <w:tcW w:w="1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51"/>
              <w:spacing w:after="0"/>
              <w:rPr>
                <w:sz w:val="20"/>
                <w:szCs w:val="20"/>
                <w:color w:val="auto"/>
              </w:rPr>
            </w:pPr>
            <w:r>
              <w:rPr>
                <w:rFonts w:ascii="Arial" w:cs="Arial" w:eastAsia="Arial" w:hAnsi="Arial"/>
                <w:sz w:val="18"/>
                <w:szCs w:val="18"/>
                <w:b w:val="1"/>
                <w:bCs w:val="1"/>
                <w:color w:val="auto"/>
                <w:w w:val="94"/>
              </w:rPr>
              <w:t>Loans</w:t>
            </w: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right="131"/>
              <w:spacing w:after="0"/>
              <w:rPr>
                <w:sz w:val="20"/>
                <w:szCs w:val="20"/>
                <w:color w:val="auto"/>
              </w:rPr>
            </w:pPr>
            <w:r>
              <w:rPr>
                <w:rFonts w:ascii="Arial" w:cs="Arial" w:eastAsia="Arial" w:hAnsi="Arial"/>
                <w:sz w:val="18"/>
                <w:szCs w:val="18"/>
                <w:b w:val="1"/>
                <w:bCs w:val="1"/>
                <w:color w:val="auto"/>
                <w:w w:val="89"/>
              </w:rPr>
              <w:t>Properties</w:t>
            </w:r>
          </w:p>
        </w:tc>
        <w:tc>
          <w:tcPr>
            <w:tcW w:w="140" w:type="dxa"/>
            <w:vAlign w:val="bottom"/>
            <w:tcBorders>
              <w:right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b w:val="1"/>
                <w:bCs w:val="1"/>
                <w:color w:val="auto"/>
              </w:rPr>
              <w:t>NPAs</w:t>
            </w:r>
          </w:p>
        </w:tc>
      </w:tr>
      <w:tr>
        <w:trPr>
          <w:trHeight w:val="414"/>
        </w:trPr>
        <w:tc>
          <w:tcPr>
            <w:tcW w:w="3320" w:type="dxa"/>
            <w:vAlign w:val="bottom"/>
          </w:tcPr>
          <w:p>
            <w:pPr>
              <w:spacing w:after="0"/>
              <w:rPr>
                <w:sz w:val="20"/>
                <w:szCs w:val="20"/>
                <w:color w:val="auto"/>
              </w:rPr>
            </w:pPr>
            <w:r>
              <w:rPr>
                <w:rFonts w:ascii="Arial" w:cs="Arial" w:eastAsia="Arial" w:hAnsi="Arial"/>
                <w:sz w:val="18"/>
                <w:szCs w:val="18"/>
                <w:b w:val="1"/>
                <w:bCs w:val="1"/>
                <w:color w:val="auto"/>
              </w:rPr>
              <w:t>Beginning Balance</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96,006</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16,734</w:t>
            </w:r>
          </w:p>
        </w:tc>
        <w:tc>
          <w:tcPr>
            <w:tcW w:w="140" w:type="dxa"/>
            <w:vAlign w:val="bottom"/>
            <w:tcBorders>
              <w:righ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right w:val="single" w:sz="8" w:color="auto"/>
            </w:tcBorders>
          </w:tcPr>
          <w:p>
            <w:pPr>
              <w:jc w:val="right"/>
              <w:ind w:right="31"/>
              <w:spacing w:after="0"/>
              <w:rPr>
                <w:sz w:val="20"/>
                <w:szCs w:val="20"/>
                <w:color w:val="auto"/>
              </w:rPr>
            </w:pPr>
            <w:r>
              <w:rPr>
                <w:rFonts w:ascii="Arial" w:cs="Arial" w:eastAsia="Arial" w:hAnsi="Arial"/>
                <w:sz w:val="18"/>
                <w:szCs w:val="18"/>
                <w:color w:val="auto"/>
              </w:rPr>
              <w:t>112,740</w:t>
            </w:r>
          </w:p>
        </w:tc>
        <w:tc>
          <w:tcPr>
            <w:tcW w:w="3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129,704</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31,887</w:t>
            </w:r>
          </w:p>
        </w:tc>
        <w:tc>
          <w:tcPr>
            <w:tcW w:w="14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right w:val="single" w:sz="8" w:color="auto"/>
            </w:tcBorders>
          </w:tcPr>
          <w:p>
            <w:pPr>
              <w:jc w:val="right"/>
              <w:ind w:right="11"/>
              <w:spacing w:after="0"/>
              <w:rPr>
                <w:sz w:val="20"/>
                <w:szCs w:val="20"/>
                <w:color w:val="auto"/>
              </w:rPr>
            </w:pPr>
            <w:r>
              <w:rPr>
                <w:rFonts w:ascii="Arial" w:cs="Arial" w:eastAsia="Arial" w:hAnsi="Arial"/>
                <w:sz w:val="18"/>
                <w:szCs w:val="18"/>
                <w:color w:val="auto"/>
              </w:rPr>
              <w:t>161,591</w:t>
            </w:r>
          </w:p>
        </w:tc>
      </w:tr>
      <w:tr>
        <w:trPr>
          <w:trHeight w:val="214"/>
        </w:trPr>
        <w:tc>
          <w:tcPr>
            <w:tcW w:w="3320" w:type="dxa"/>
            <w:vAlign w:val="bottom"/>
          </w:tcPr>
          <w:p>
            <w:pPr>
              <w:spacing w:after="0"/>
              <w:rPr>
                <w:sz w:val="20"/>
                <w:szCs w:val="20"/>
                <w:color w:val="auto"/>
              </w:rPr>
            </w:pPr>
            <w:r>
              <w:rPr>
                <w:rFonts w:ascii="Arial" w:cs="Arial" w:eastAsia="Arial" w:hAnsi="Arial"/>
                <w:sz w:val="18"/>
                <w:szCs w:val="18"/>
                <w:color w:val="auto"/>
              </w:rPr>
              <w:t>Loans placed on non-accrual</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13,200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Borders>
              <w:right w:val="single" w:sz="8" w:color="auto"/>
            </w:tcBorders>
          </w:tcPr>
          <w:p>
            <w:pPr>
              <w:jc w:val="right"/>
              <w:ind w:right="31"/>
              <w:spacing w:after="0"/>
              <w:rPr>
                <w:sz w:val="20"/>
                <w:szCs w:val="20"/>
                <w:color w:val="auto"/>
              </w:rPr>
            </w:pPr>
            <w:r>
              <w:rPr>
                <w:rFonts w:ascii="Arial" w:cs="Arial" w:eastAsia="Arial" w:hAnsi="Arial"/>
                <w:sz w:val="18"/>
                <w:szCs w:val="18"/>
                <w:color w:val="auto"/>
              </w:rPr>
              <w:t>13,200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29,364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Borders>
              <w:right w:val="single" w:sz="8" w:color="auto"/>
            </w:tcBorders>
          </w:tcPr>
          <w:p>
            <w:pPr>
              <w:jc w:val="right"/>
              <w:ind w:right="11"/>
              <w:spacing w:after="0"/>
              <w:rPr>
                <w:sz w:val="20"/>
                <w:szCs w:val="20"/>
                <w:color w:val="auto"/>
              </w:rPr>
            </w:pPr>
            <w:r>
              <w:rPr>
                <w:rFonts w:ascii="Arial" w:cs="Arial" w:eastAsia="Arial" w:hAnsi="Arial"/>
                <w:sz w:val="18"/>
                <w:szCs w:val="18"/>
                <w:color w:val="auto"/>
              </w:rPr>
              <w:t>29,364</w:t>
            </w:r>
          </w:p>
        </w:tc>
      </w:tr>
      <w:tr>
        <w:trPr>
          <w:trHeight w:val="214"/>
        </w:trPr>
        <w:tc>
          <w:tcPr>
            <w:tcW w:w="3320" w:type="dxa"/>
            <w:vAlign w:val="bottom"/>
          </w:tcPr>
          <w:p>
            <w:pPr>
              <w:spacing w:after="0"/>
              <w:rPr>
                <w:sz w:val="20"/>
                <w:szCs w:val="20"/>
                <w:color w:val="auto"/>
              </w:rPr>
            </w:pPr>
            <w:r>
              <w:rPr>
                <w:rFonts w:ascii="Arial" w:cs="Arial" w:eastAsia="Arial" w:hAnsi="Arial"/>
                <w:sz w:val="18"/>
                <w:szCs w:val="18"/>
                <w:color w:val="auto"/>
              </w:rPr>
              <w:t>Payments received</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(47,937)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(47,937)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(15,027)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(15,027)</w:t>
            </w:r>
          </w:p>
        </w:tc>
      </w:tr>
      <w:tr>
        <w:trPr>
          <w:trHeight w:val="214"/>
        </w:trPr>
        <w:tc>
          <w:tcPr>
            <w:tcW w:w="3320" w:type="dxa"/>
            <w:vAlign w:val="bottom"/>
          </w:tcPr>
          <w:p>
            <w:pPr>
              <w:spacing w:after="0"/>
              <w:rPr>
                <w:sz w:val="20"/>
                <w:szCs w:val="20"/>
                <w:color w:val="auto"/>
              </w:rPr>
            </w:pPr>
            <w:r>
              <w:rPr>
                <w:rFonts w:ascii="Arial" w:cs="Arial" w:eastAsia="Arial" w:hAnsi="Arial"/>
                <w:sz w:val="18"/>
                <w:szCs w:val="18"/>
                <w:color w:val="auto"/>
              </w:rPr>
              <w:t>Loan charge-offs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(23,972)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(23,972)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(19,382)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(19,382)</w:t>
            </w:r>
          </w:p>
        </w:tc>
      </w:tr>
      <w:tr>
        <w:trPr>
          <w:trHeight w:val="214"/>
        </w:trPr>
        <w:tc>
          <w:tcPr>
            <w:tcW w:w="3320" w:type="dxa"/>
            <w:vAlign w:val="bottom"/>
          </w:tcPr>
          <w:p>
            <w:pPr>
              <w:spacing w:after="0"/>
              <w:rPr>
                <w:sz w:val="20"/>
                <w:szCs w:val="20"/>
                <w:color w:val="auto"/>
              </w:rPr>
            </w:pPr>
            <w:r>
              <w:rPr>
                <w:rFonts w:ascii="Arial" w:cs="Arial" w:eastAsia="Arial" w:hAnsi="Arial"/>
                <w:sz w:val="18"/>
                <w:szCs w:val="18"/>
                <w:color w:val="auto"/>
              </w:rPr>
              <w:t>Foreclosures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(9,433)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9,433</w:t>
            </w:r>
          </w:p>
        </w:tc>
        <w:tc>
          <w:tcPr>
            <w:tcW w:w="14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Borders>
              <w:right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(9,319)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9,319</w:t>
            </w:r>
          </w:p>
        </w:tc>
        <w:tc>
          <w:tcPr>
            <w:tcW w:w="1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Borders>
              <w:right w:val="single" w:sz="8" w:color="auto"/>
            </w:tcBorders>
          </w:tcPr>
          <w:p>
            <w:pPr>
              <w:jc w:val="right"/>
              <w:ind w:right="11"/>
              <w:spacing w:after="0"/>
              <w:rPr>
                <w:sz w:val="20"/>
                <w:szCs w:val="20"/>
                <w:color w:val="auto"/>
              </w:rPr>
            </w:pPr>
            <w:r>
              <w:rPr>
                <w:rFonts w:ascii="Arial" w:cs="Arial" w:eastAsia="Arial" w:hAnsi="Arial"/>
                <w:sz w:val="18"/>
                <w:szCs w:val="18"/>
                <w:color w:val="auto"/>
              </w:rPr>
              <w:t>-</w:t>
            </w:r>
          </w:p>
        </w:tc>
      </w:tr>
      <w:tr>
        <w:trPr>
          <w:trHeight w:val="214"/>
        </w:trPr>
        <w:tc>
          <w:tcPr>
            <w:tcW w:w="3320" w:type="dxa"/>
            <w:vAlign w:val="bottom"/>
          </w:tcPr>
          <w:p>
            <w:pPr>
              <w:spacing w:after="0"/>
              <w:rPr>
                <w:sz w:val="20"/>
                <w:szCs w:val="20"/>
                <w:color w:val="auto"/>
              </w:rPr>
            </w:pPr>
            <w:r>
              <w:rPr>
                <w:rFonts w:ascii="Arial" w:cs="Arial" w:eastAsia="Arial" w:hAnsi="Arial"/>
                <w:sz w:val="18"/>
                <w:szCs w:val="18"/>
                <w:color w:val="auto"/>
              </w:rPr>
              <w:t>Capitalized costs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55</w:t>
            </w:r>
          </w:p>
        </w:tc>
        <w:tc>
          <w:tcPr>
            <w:tcW w:w="14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Borders>
              <w:right w:val="single" w:sz="8" w:color="auto"/>
            </w:tcBorders>
          </w:tcPr>
          <w:p>
            <w:pPr>
              <w:jc w:val="right"/>
              <w:ind w:right="31"/>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415</w:t>
            </w:r>
          </w:p>
        </w:tc>
        <w:tc>
          <w:tcPr>
            <w:tcW w:w="1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Borders>
              <w:right w:val="single" w:sz="8" w:color="auto"/>
            </w:tcBorders>
          </w:tcPr>
          <w:p>
            <w:pPr>
              <w:jc w:val="right"/>
              <w:ind w:right="11"/>
              <w:spacing w:after="0"/>
              <w:rPr>
                <w:sz w:val="20"/>
                <w:szCs w:val="20"/>
                <w:color w:val="auto"/>
              </w:rPr>
            </w:pPr>
            <w:r>
              <w:rPr>
                <w:rFonts w:ascii="Arial" w:cs="Arial" w:eastAsia="Arial" w:hAnsi="Arial"/>
                <w:sz w:val="18"/>
                <w:szCs w:val="18"/>
                <w:color w:val="auto"/>
              </w:rPr>
              <w:t>415</w:t>
            </w:r>
          </w:p>
        </w:tc>
      </w:tr>
      <w:tr>
        <w:trPr>
          <w:trHeight w:val="214"/>
        </w:trPr>
        <w:tc>
          <w:tcPr>
            <w:tcW w:w="3320" w:type="dxa"/>
            <w:vAlign w:val="bottom"/>
          </w:tcPr>
          <w:p>
            <w:pPr>
              <w:spacing w:after="0"/>
              <w:rPr>
                <w:sz w:val="20"/>
                <w:szCs w:val="20"/>
                <w:color w:val="auto"/>
              </w:rPr>
            </w:pPr>
            <w:r>
              <w:rPr>
                <w:rFonts w:ascii="Arial" w:cs="Arial" w:eastAsia="Arial" w:hAnsi="Arial"/>
                <w:sz w:val="18"/>
                <w:szCs w:val="18"/>
                <w:color w:val="auto"/>
              </w:rPr>
              <w:t>Property sales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(17,972)</w:t>
            </w:r>
          </w:p>
        </w:tc>
        <w:tc>
          <w:tcPr>
            <w:tcW w:w="14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(17,972)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(10,461)</w:t>
            </w:r>
          </w:p>
        </w:tc>
        <w:tc>
          <w:tcPr>
            <w:tcW w:w="1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(10,461)</w:t>
            </w:r>
          </w:p>
        </w:tc>
      </w:tr>
      <w:tr>
        <w:trPr>
          <w:trHeight w:val="214"/>
        </w:trPr>
        <w:tc>
          <w:tcPr>
            <w:tcW w:w="3320" w:type="dxa"/>
            <w:vAlign w:val="bottom"/>
          </w:tcPr>
          <w:p>
            <w:pPr>
              <w:spacing w:after="0"/>
              <w:rPr>
                <w:sz w:val="20"/>
                <w:szCs w:val="20"/>
                <w:color w:val="auto"/>
              </w:rPr>
            </w:pPr>
            <w:r>
              <w:rPr>
                <w:rFonts w:ascii="Arial" w:cs="Arial" w:eastAsia="Arial" w:hAnsi="Arial"/>
                <w:sz w:val="18"/>
                <w:szCs w:val="18"/>
                <w:color w:val="auto"/>
              </w:rPr>
              <w:t>Write downs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(1,369)</w:t>
            </w:r>
          </w:p>
        </w:tc>
        <w:tc>
          <w:tcPr>
            <w:tcW w:w="14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(1,369)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(1,008)</w:t>
            </w:r>
          </w:p>
        </w:tc>
        <w:tc>
          <w:tcPr>
            <w:tcW w:w="1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(1,008)</w:t>
            </w:r>
          </w:p>
        </w:tc>
      </w:tr>
      <w:tr>
        <w:trPr>
          <w:trHeight w:val="235"/>
        </w:trPr>
        <w:tc>
          <w:tcPr>
            <w:tcW w:w="3320" w:type="dxa"/>
            <w:vAlign w:val="bottom"/>
          </w:tcPr>
          <w:p>
            <w:pPr>
              <w:spacing w:after="0"/>
              <w:rPr>
                <w:sz w:val="20"/>
                <w:szCs w:val="20"/>
                <w:color w:val="auto"/>
              </w:rPr>
            </w:pPr>
            <w:r>
              <w:rPr>
                <w:rFonts w:ascii="Arial" w:cs="Arial" w:eastAsia="Arial" w:hAnsi="Arial"/>
                <w:sz w:val="18"/>
                <w:szCs w:val="18"/>
                <w:color w:val="auto"/>
              </w:rPr>
              <w:t>Net losses on sales</w:t>
            </w:r>
          </w:p>
        </w:tc>
        <w:tc>
          <w:tcPr>
            <w:tcW w:w="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(2,945)</w:t>
            </w:r>
          </w:p>
        </w:tc>
        <w:tc>
          <w:tcPr>
            <w:tcW w:w="140" w:type="dxa"/>
            <w:vAlign w:val="bottom"/>
            <w:tcBorders>
              <w:right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(2,945)</w:t>
            </w:r>
          </w:p>
        </w:tc>
        <w:tc>
          <w:tcPr>
            <w:tcW w:w="1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269</w:t>
            </w:r>
          </w:p>
        </w:tc>
        <w:tc>
          <w:tcPr>
            <w:tcW w:w="140" w:type="dxa"/>
            <w:vAlign w:val="bottom"/>
            <w:tcBorders>
              <w:right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right w:val="single" w:sz="8" w:color="auto"/>
            </w:tcBorders>
          </w:tcPr>
          <w:p>
            <w:pPr>
              <w:jc w:val="right"/>
              <w:ind w:right="11"/>
              <w:spacing w:after="0"/>
              <w:rPr>
                <w:sz w:val="20"/>
                <w:szCs w:val="20"/>
                <w:color w:val="auto"/>
              </w:rPr>
            </w:pPr>
            <w:r>
              <w:rPr>
                <w:rFonts w:ascii="Arial" w:cs="Arial" w:eastAsia="Arial" w:hAnsi="Arial"/>
                <w:sz w:val="18"/>
                <w:szCs w:val="18"/>
                <w:color w:val="auto"/>
              </w:rPr>
              <w:t>269</w:t>
            </w:r>
          </w:p>
        </w:tc>
      </w:tr>
      <w:tr>
        <w:trPr>
          <w:trHeight w:val="214"/>
        </w:trPr>
        <w:tc>
          <w:tcPr>
            <w:tcW w:w="3320" w:type="dxa"/>
            <w:vAlign w:val="bottom"/>
          </w:tcPr>
          <w:p>
            <w:pPr>
              <w:ind w:left="240"/>
              <w:spacing w:after="0"/>
              <w:rPr>
                <w:sz w:val="20"/>
                <w:szCs w:val="20"/>
                <w:color w:val="auto"/>
              </w:rPr>
            </w:pPr>
            <w:r>
              <w:rPr>
                <w:rFonts w:ascii="Arial" w:cs="Arial" w:eastAsia="Arial" w:hAnsi="Arial"/>
                <w:sz w:val="18"/>
                <w:szCs w:val="18"/>
                <w:b w:val="1"/>
                <w:bCs w:val="1"/>
                <w:color w:val="auto"/>
              </w:rPr>
              <w:t>Ending Balance</w:t>
            </w:r>
          </w:p>
        </w:tc>
        <w:tc>
          <w:tcPr>
            <w:tcW w:w="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27,864</w:t>
            </w:r>
          </w:p>
        </w:tc>
        <w:tc>
          <w:tcPr>
            <w:tcW w:w="1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3,936</w:t>
            </w:r>
          </w:p>
        </w:tc>
        <w:tc>
          <w:tcPr>
            <w:tcW w:w="140" w:type="dxa"/>
            <w:vAlign w:val="bottom"/>
            <w:tcBorders>
              <w:right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right w:val="single" w:sz="8" w:color="auto"/>
            </w:tcBorders>
          </w:tcPr>
          <w:p>
            <w:pPr>
              <w:jc w:val="right"/>
              <w:ind w:right="31"/>
              <w:spacing w:after="0"/>
              <w:rPr>
                <w:sz w:val="20"/>
                <w:szCs w:val="20"/>
                <w:color w:val="auto"/>
              </w:rPr>
            </w:pPr>
            <w:r>
              <w:rPr>
                <w:rFonts w:ascii="Arial" w:cs="Arial" w:eastAsia="Arial" w:hAnsi="Arial"/>
                <w:sz w:val="18"/>
                <w:szCs w:val="18"/>
                <w:color w:val="auto"/>
              </w:rPr>
              <w:t>31,800</w:t>
            </w:r>
          </w:p>
        </w:tc>
        <w:tc>
          <w:tcPr>
            <w:tcW w:w="100" w:type="dxa"/>
            <w:vAlign w:val="bottom"/>
          </w:tcPr>
          <w:p>
            <w:pPr>
              <w:spacing w:after="0"/>
              <w:rPr>
                <w:sz w:val="18"/>
                <w:szCs w:val="18"/>
                <w:color w:val="auto"/>
              </w:rPr>
            </w:pPr>
          </w:p>
        </w:tc>
        <w:tc>
          <w:tcPr>
            <w:tcW w:w="28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115,340</w:t>
            </w:r>
          </w:p>
        </w:tc>
        <w:tc>
          <w:tcPr>
            <w:tcW w:w="1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30,421</w:t>
            </w:r>
          </w:p>
        </w:tc>
        <w:tc>
          <w:tcPr>
            <w:tcW w:w="140" w:type="dxa"/>
            <w:vAlign w:val="bottom"/>
            <w:tcBorders>
              <w:right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right w:val="single" w:sz="8" w:color="auto"/>
            </w:tcBorders>
          </w:tcPr>
          <w:p>
            <w:pPr>
              <w:jc w:val="right"/>
              <w:ind w:right="11"/>
              <w:spacing w:after="0"/>
              <w:rPr>
                <w:sz w:val="20"/>
                <w:szCs w:val="20"/>
                <w:color w:val="auto"/>
              </w:rPr>
            </w:pPr>
            <w:r>
              <w:rPr>
                <w:rFonts w:ascii="Arial" w:cs="Arial" w:eastAsia="Arial" w:hAnsi="Arial"/>
                <w:sz w:val="18"/>
                <w:szCs w:val="18"/>
                <w:color w:val="auto"/>
              </w:rPr>
              <w:t>145,761</w:t>
            </w:r>
          </w:p>
        </w:tc>
      </w:tr>
      <w:tr>
        <w:trPr>
          <w:trHeight w:val="20"/>
        </w:trPr>
        <w:tc>
          <w:tcPr>
            <w:tcW w:w="3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Borders>
              <w:bottom w:val="single" w:sz="8" w:color="auto"/>
            </w:tcBorders>
            <w:gridSpan w:val="2"/>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Borders>
              <w:bottom w:val="single" w:sz="8" w:color="auto"/>
            </w:tcBorders>
            <w:gridSpan w:val="2"/>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280" w:type="dxa"/>
            <w:vAlign w:val="bottom"/>
            <w:tcBorders>
              <w:bottom w:val="single" w:sz="8" w:color="auto"/>
            </w:tcBorders>
            <w:gridSpan w:val="2"/>
          </w:tcPr>
          <w:p>
            <w:pPr>
              <w:spacing w:after="0" w:line="20" w:lineRule="exact"/>
              <w:rPr>
                <w:sz w:val="1"/>
                <w:szCs w:val="1"/>
                <w:color w:val="auto"/>
              </w:rPr>
            </w:pPr>
          </w:p>
        </w:tc>
        <w:tc>
          <w:tcPr>
            <w:tcW w:w="940" w:type="dxa"/>
            <w:vAlign w:val="bottom"/>
            <w:tcBorders>
              <w:bottom w:val="single" w:sz="8" w:color="auto"/>
              <w:right w:val="single" w:sz="8" w:color="auto"/>
            </w:tcBorders>
          </w:tcPr>
          <w:p>
            <w:pPr>
              <w:spacing w:after="0" w:line="20" w:lineRule="exact"/>
              <w:rPr>
                <w:sz w:val="1"/>
                <w:szCs w:val="1"/>
                <w:color w:val="auto"/>
              </w:rPr>
            </w:pPr>
          </w:p>
        </w:tc>
      </w:tr>
      <w:tr>
        <w:trPr>
          <w:trHeight w:val="429"/>
        </w:trPr>
        <w:tc>
          <w:tcPr>
            <w:tcW w:w="3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gridSpan w:val="6"/>
          </w:tcPr>
          <w:p>
            <w:pPr>
              <w:jc w:val="center"/>
              <w:ind w:left="811"/>
              <w:spacing w:after="0"/>
              <w:rPr>
                <w:sz w:val="20"/>
                <w:szCs w:val="20"/>
                <w:color w:val="auto"/>
              </w:rPr>
            </w:pPr>
            <w:r>
              <w:rPr>
                <w:rFonts w:ascii="Arial" w:cs="Arial" w:eastAsia="Arial" w:hAnsi="Arial"/>
                <w:sz w:val="18"/>
                <w:szCs w:val="18"/>
                <w:b w:val="1"/>
                <w:bCs w:val="1"/>
                <w:color w:val="auto"/>
                <w:w w:val="89"/>
              </w:rPr>
              <w:t xml:space="preserve">First Six Months 2013 </w:t>
            </w:r>
            <w:r>
              <w:rPr>
                <w:rFonts w:ascii="Arial" w:cs="Arial" w:eastAsia="Arial" w:hAnsi="Arial"/>
                <w:sz w:val="24"/>
                <w:szCs w:val="24"/>
                <w:color w:val="auto"/>
                <w:w w:val="89"/>
                <w:vertAlign w:val="superscript"/>
              </w:rPr>
              <w:t>(1)</w:t>
            </w: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gridSpan w:val="7"/>
          </w:tcPr>
          <w:p>
            <w:pPr>
              <w:jc w:val="center"/>
              <w:ind w:left="471"/>
              <w:spacing w:after="0"/>
              <w:rPr>
                <w:sz w:val="20"/>
                <w:szCs w:val="20"/>
                <w:color w:val="auto"/>
              </w:rPr>
            </w:pPr>
            <w:r>
              <w:rPr>
                <w:rFonts w:ascii="Arial" w:cs="Arial" w:eastAsia="Arial" w:hAnsi="Arial"/>
                <w:sz w:val="18"/>
                <w:szCs w:val="18"/>
                <w:b w:val="1"/>
                <w:bCs w:val="1"/>
                <w:color w:val="auto"/>
                <w:w w:val="89"/>
              </w:rPr>
              <w:t xml:space="preserve">First Six Months 2012 </w:t>
            </w:r>
            <w:r>
              <w:rPr>
                <w:rFonts w:ascii="Arial" w:cs="Arial" w:eastAsia="Arial" w:hAnsi="Arial"/>
                <w:sz w:val="24"/>
                <w:szCs w:val="24"/>
                <w:color w:val="auto"/>
                <w:w w:val="89"/>
                <w:vertAlign w:val="superscript"/>
              </w:rPr>
              <w:t>(1)</w:t>
            </w:r>
          </w:p>
        </w:tc>
        <w:tc>
          <w:tcPr>
            <w:tcW w:w="940" w:type="dxa"/>
            <w:vAlign w:val="bottom"/>
            <w:tcBorders>
              <w:bottom w:val="single" w:sz="8" w:color="auto"/>
            </w:tcBorders>
          </w:tcPr>
          <w:p>
            <w:pPr>
              <w:spacing w:after="0"/>
              <w:rPr>
                <w:sz w:val="24"/>
                <w:szCs w:val="24"/>
                <w:color w:val="auto"/>
              </w:rPr>
            </w:pPr>
          </w:p>
        </w:tc>
      </w:tr>
      <w:tr>
        <w:trPr>
          <w:trHeight w:val="196"/>
        </w:trPr>
        <w:tc>
          <w:tcPr>
            <w:tcW w:w="3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jc w:val="center"/>
              <w:ind w:right="151"/>
              <w:spacing w:after="0" w:line="196" w:lineRule="exact"/>
              <w:rPr>
                <w:sz w:val="20"/>
                <w:szCs w:val="20"/>
                <w:color w:val="auto"/>
              </w:rPr>
            </w:pPr>
            <w:r>
              <w:rPr>
                <w:rFonts w:ascii="Arial" w:cs="Arial" w:eastAsia="Arial" w:hAnsi="Arial"/>
                <w:sz w:val="18"/>
                <w:szCs w:val="18"/>
                <w:b w:val="1"/>
                <w:bCs w:val="1"/>
                <w:color w:val="auto"/>
                <w:w w:val="89"/>
              </w:rPr>
              <w:t>Nonaccrual</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Borders>
              <w:right w:val="single" w:sz="8" w:color="auto"/>
            </w:tcBorders>
            <w:gridSpan w:val="2"/>
          </w:tcPr>
          <w:p>
            <w:pPr>
              <w:jc w:val="center"/>
              <w:ind w:right="420"/>
              <w:spacing w:after="0" w:line="196" w:lineRule="exact"/>
              <w:rPr>
                <w:sz w:val="20"/>
                <w:szCs w:val="20"/>
                <w:color w:val="auto"/>
              </w:rPr>
            </w:pPr>
            <w:r>
              <w:rPr>
                <w:rFonts w:ascii="Arial" w:cs="Arial" w:eastAsia="Arial" w:hAnsi="Arial"/>
                <w:sz w:val="18"/>
                <w:szCs w:val="18"/>
                <w:b w:val="1"/>
                <w:bCs w:val="1"/>
                <w:color w:val="auto"/>
                <w:w w:val="85"/>
              </w:rPr>
              <w:t>Foreclosed</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Borders>
              <w:right w:val="single" w:sz="8" w:color="auto"/>
            </w:tcBorders>
          </w:tcPr>
          <w:p>
            <w:pPr>
              <w:ind w:left="100"/>
              <w:spacing w:after="0" w:line="196" w:lineRule="exact"/>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17"/>
                <w:szCs w:val="17"/>
                <w:color w:val="auto"/>
              </w:rPr>
            </w:pPr>
          </w:p>
        </w:tc>
        <w:tc>
          <w:tcPr>
            <w:tcW w:w="1240" w:type="dxa"/>
            <w:vAlign w:val="bottom"/>
            <w:gridSpan w:val="2"/>
          </w:tcPr>
          <w:p>
            <w:pPr>
              <w:ind w:left="140"/>
              <w:spacing w:after="0" w:line="196" w:lineRule="exact"/>
              <w:rPr>
                <w:sz w:val="20"/>
                <w:szCs w:val="20"/>
                <w:color w:val="auto"/>
              </w:rPr>
            </w:pPr>
            <w:r>
              <w:rPr>
                <w:rFonts w:ascii="Arial" w:cs="Arial" w:eastAsia="Arial" w:hAnsi="Arial"/>
                <w:sz w:val="18"/>
                <w:szCs w:val="18"/>
                <w:b w:val="1"/>
                <w:bCs w:val="1"/>
                <w:color w:val="auto"/>
              </w:rPr>
              <w:t>Nonaccrual</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Borders>
              <w:right w:val="single" w:sz="8" w:color="auto"/>
            </w:tcBorders>
            <w:gridSpan w:val="2"/>
          </w:tcPr>
          <w:p>
            <w:pPr>
              <w:jc w:val="center"/>
              <w:ind w:right="380"/>
              <w:spacing w:after="0" w:line="196" w:lineRule="exact"/>
              <w:rPr>
                <w:sz w:val="20"/>
                <w:szCs w:val="20"/>
                <w:color w:val="auto"/>
              </w:rPr>
            </w:pPr>
            <w:r>
              <w:rPr>
                <w:rFonts w:ascii="Arial" w:cs="Arial" w:eastAsia="Arial" w:hAnsi="Arial"/>
                <w:sz w:val="18"/>
                <w:szCs w:val="18"/>
                <w:b w:val="1"/>
                <w:bCs w:val="1"/>
                <w:color w:val="auto"/>
                <w:w w:val="85"/>
              </w:rPr>
              <w:t>Foreclosed</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Borders>
              <w:right w:val="single" w:sz="8" w:color="auto"/>
            </w:tcBorders>
          </w:tcPr>
          <w:p>
            <w:pPr>
              <w:ind w:left="80"/>
              <w:spacing w:after="0" w:line="196" w:lineRule="exact"/>
              <w:rPr>
                <w:sz w:val="20"/>
                <w:szCs w:val="20"/>
                <w:color w:val="auto"/>
              </w:rPr>
            </w:pPr>
            <w:r>
              <w:rPr>
                <w:rFonts w:ascii="Arial" w:cs="Arial" w:eastAsia="Arial" w:hAnsi="Arial"/>
                <w:sz w:val="18"/>
                <w:szCs w:val="18"/>
                <w:b w:val="1"/>
                <w:bCs w:val="1"/>
                <w:color w:val="auto"/>
              </w:rPr>
              <w:t>Total</w:t>
            </w:r>
          </w:p>
        </w:tc>
      </w:tr>
      <w:tr>
        <w:trPr>
          <w:trHeight w:val="239"/>
        </w:trPr>
        <w:tc>
          <w:tcPr>
            <w:tcW w:w="3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center"/>
              <w:ind w:right="131"/>
              <w:spacing w:after="0"/>
              <w:rPr>
                <w:sz w:val="20"/>
                <w:szCs w:val="20"/>
                <w:color w:val="auto"/>
              </w:rPr>
            </w:pPr>
            <w:r>
              <w:rPr>
                <w:rFonts w:ascii="Arial" w:cs="Arial" w:eastAsia="Arial" w:hAnsi="Arial"/>
                <w:sz w:val="18"/>
                <w:szCs w:val="18"/>
                <w:b w:val="1"/>
                <w:bCs w:val="1"/>
                <w:color w:val="auto"/>
                <w:w w:val="86"/>
              </w:rPr>
              <w:t>Loans</w:t>
            </w: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right="171"/>
              <w:spacing w:after="0"/>
              <w:rPr>
                <w:sz w:val="20"/>
                <w:szCs w:val="20"/>
                <w:color w:val="auto"/>
              </w:rPr>
            </w:pPr>
            <w:r>
              <w:rPr>
                <w:rFonts w:ascii="Arial" w:cs="Arial" w:eastAsia="Arial" w:hAnsi="Arial"/>
                <w:sz w:val="18"/>
                <w:szCs w:val="18"/>
                <w:b w:val="1"/>
                <w:bCs w:val="1"/>
                <w:color w:val="auto"/>
                <w:w w:val="89"/>
              </w:rPr>
              <w:t>Properties</w:t>
            </w:r>
          </w:p>
        </w:tc>
        <w:tc>
          <w:tcPr>
            <w:tcW w:w="140" w:type="dxa"/>
            <w:vAlign w:val="bottom"/>
            <w:tcBorders>
              <w:right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b w:val="1"/>
                <w:bCs w:val="1"/>
                <w:color w:val="auto"/>
              </w:rPr>
              <w:t>NPAs</w:t>
            </w:r>
          </w:p>
        </w:tc>
        <w:tc>
          <w:tcPr>
            <w:tcW w:w="1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51"/>
              <w:spacing w:after="0"/>
              <w:rPr>
                <w:sz w:val="20"/>
                <w:szCs w:val="20"/>
                <w:color w:val="auto"/>
              </w:rPr>
            </w:pPr>
            <w:r>
              <w:rPr>
                <w:rFonts w:ascii="Arial" w:cs="Arial" w:eastAsia="Arial" w:hAnsi="Arial"/>
                <w:sz w:val="18"/>
                <w:szCs w:val="18"/>
                <w:b w:val="1"/>
                <w:bCs w:val="1"/>
                <w:color w:val="auto"/>
                <w:w w:val="94"/>
              </w:rPr>
              <w:t>Loans</w:t>
            </w: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right="131"/>
              <w:spacing w:after="0"/>
              <w:rPr>
                <w:sz w:val="20"/>
                <w:szCs w:val="20"/>
                <w:color w:val="auto"/>
              </w:rPr>
            </w:pPr>
            <w:r>
              <w:rPr>
                <w:rFonts w:ascii="Arial" w:cs="Arial" w:eastAsia="Arial" w:hAnsi="Arial"/>
                <w:sz w:val="18"/>
                <w:szCs w:val="18"/>
                <w:b w:val="1"/>
                <w:bCs w:val="1"/>
                <w:color w:val="auto"/>
                <w:w w:val="89"/>
              </w:rPr>
              <w:t>Properties</w:t>
            </w:r>
          </w:p>
        </w:tc>
        <w:tc>
          <w:tcPr>
            <w:tcW w:w="140" w:type="dxa"/>
            <w:vAlign w:val="bottom"/>
            <w:tcBorders>
              <w:right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b w:val="1"/>
                <w:bCs w:val="1"/>
                <w:color w:val="auto"/>
              </w:rPr>
              <w:t>NPAs</w:t>
            </w:r>
          </w:p>
        </w:tc>
      </w:tr>
      <w:tr>
        <w:trPr>
          <w:trHeight w:val="414"/>
        </w:trPr>
        <w:tc>
          <w:tcPr>
            <w:tcW w:w="3320" w:type="dxa"/>
            <w:vAlign w:val="bottom"/>
          </w:tcPr>
          <w:p>
            <w:pPr>
              <w:spacing w:after="0"/>
              <w:rPr>
                <w:sz w:val="20"/>
                <w:szCs w:val="20"/>
                <w:color w:val="auto"/>
              </w:rPr>
            </w:pPr>
            <w:r>
              <w:rPr>
                <w:rFonts w:ascii="Arial" w:cs="Arial" w:eastAsia="Arial" w:hAnsi="Arial"/>
                <w:sz w:val="18"/>
                <w:szCs w:val="18"/>
                <w:b w:val="1"/>
                <w:bCs w:val="1"/>
                <w:color w:val="auto"/>
              </w:rPr>
              <w:t>Beginning Balance</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109,894</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18,264</w:t>
            </w:r>
          </w:p>
        </w:tc>
        <w:tc>
          <w:tcPr>
            <w:tcW w:w="140" w:type="dxa"/>
            <w:vAlign w:val="bottom"/>
            <w:tcBorders>
              <w:righ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right w:val="single" w:sz="8" w:color="auto"/>
            </w:tcBorders>
          </w:tcPr>
          <w:p>
            <w:pPr>
              <w:jc w:val="right"/>
              <w:ind w:right="31"/>
              <w:spacing w:after="0"/>
              <w:rPr>
                <w:sz w:val="20"/>
                <w:szCs w:val="20"/>
                <w:color w:val="auto"/>
              </w:rPr>
            </w:pPr>
            <w:r>
              <w:rPr>
                <w:rFonts w:ascii="Arial" w:cs="Arial" w:eastAsia="Arial" w:hAnsi="Arial"/>
                <w:sz w:val="18"/>
                <w:szCs w:val="18"/>
                <w:color w:val="auto"/>
              </w:rPr>
              <w:t>128,158</w:t>
            </w:r>
          </w:p>
        </w:tc>
        <w:tc>
          <w:tcPr>
            <w:tcW w:w="3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127,479</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32,859</w:t>
            </w:r>
          </w:p>
        </w:tc>
        <w:tc>
          <w:tcPr>
            <w:tcW w:w="14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right w:val="single" w:sz="8" w:color="auto"/>
            </w:tcBorders>
          </w:tcPr>
          <w:p>
            <w:pPr>
              <w:jc w:val="right"/>
              <w:ind w:right="11"/>
              <w:spacing w:after="0"/>
              <w:rPr>
                <w:sz w:val="20"/>
                <w:szCs w:val="20"/>
                <w:color w:val="auto"/>
              </w:rPr>
            </w:pPr>
            <w:r>
              <w:rPr>
                <w:rFonts w:ascii="Arial" w:cs="Arial" w:eastAsia="Arial" w:hAnsi="Arial"/>
                <w:sz w:val="18"/>
                <w:szCs w:val="18"/>
                <w:color w:val="auto"/>
              </w:rPr>
              <w:t>160,338</w:t>
            </w:r>
          </w:p>
        </w:tc>
      </w:tr>
      <w:tr>
        <w:trPr>
          <w:trHeight w:val="214"/>
        </w:trPr>
        <w:tc>
          <w:tcPr>
            <w:tcW w:w="3320" w:type="dxa"/>
            <w:vAlign w:val="bottom"/>
          </w:tcPr>
          <w:p>
            <w:pPr>
              <w:spacing w:after="0"/>
              <w:rPr>
                <w:sz w:val="20"/>
                <w:szCs w:val="20"/>
                <w:color w:val="auto"/>
              </w:rPr>
            </w:pPr>
            <w:r>
              <w:rPr>
                <w:rFonts w:ascii="Arial" w:cs="Arial" w:eastAsia="Arial" w:hAnsi="Arial"/>
                <w:sz w:val="18"/>
                <w:szCs w:val="18"/>
                <w:color w:val="auto"/>
              </w:rPr>
              <w:t>Loans placed on non-accrual</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22,865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Borders>
              <w:right w:val="single" w:sz="8" w:color="auto"/>
            </w:tcBorders>
          </w:tcPr>
          <w:p>
            <w:pPr>
              <w:jc w:val="right"/>
              <w:ind w:right="31"/>
              <w:spacing w:after="0"/>
              <w:rPr>
                <w:sz w:val="20"/>
                <w:szCs w:val="20"/>
                <w:color w:val="auto"/>
              </w:rPr>
            </w:pPr>
            <w:r>
              <w:rPr>
                <w:rFonts w:ascii="Arial" w:cs="Arial" w:eastAsia="Arial" w:hAnsi="Arial"/>
                <w:sz w:val="18"/>
                <w:szCs w:val="18"/>
                <w:color w:val="auto"/>
              </w:rPr>
              <w:t>22,865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61,801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Borders>
              <w:right w:val="single" w:sz="8" w:color="auto"/>
            </w:tcBorders>
          </w:tcPr>
          <w:p>
            <w:pPr>
              <w:jc w:val="right"/>
              <w:ind w:right="11"/>
              <w:spacing w:after="0"/>
              <w:rPr>
                <w:sz w:val="20"/>
                <w:szCs w:val="20"/>
                <w:color w:val="auto"/>
              </w:rPr>
            </w:pPr>
            <w:r>
              <w:rPr>
                <w:rFonts w:ascii="Arial" w:cs="Arial" w:eastAsia="Arial" w:hAnsi="Arial"/>
                <w:sz w:val="18"/>
                <w:szCs w:val="18"/>
                <w:color w:val="auto"/>
              </w:rPr>
              <w:t>61,801</w:t>
            </w:r>
          </w:p>
        </w:tc>
      </w:tr>
      <w:tr>
        <w:trPr>
          <w:trHeight w:val="214"/>
        </w:trPr>
        <w:tc>
          <w:tcPr>
            <w:tcW w:w="3320" w:type="dxa"/>
            <w:vAlign w:val="bottom"/>
          </w:tcPr>
          <w:p>
            <w:pPr>
              <w:spacing w:after="0"/>
              <w:rPr>
                <w:sz w:val="20"/>
                <w:szCs w:val="20"/>
                <w:color w:val="auto"/>
              </w:rPr>
            </w:pPr>
            <w:r>
              <w:rPr>
                <w:rFonts w:ascii="Arial" w:cs="Arial" w:eastAsia="Arial" w:hAnsi="Arial"/>
                <w:sz w:val="18"/>
                <w:szCs w:val="18"/>
                <w:color w:val="auto"/>
              </w:rPr>
              <w:t>Payments received</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(54,746)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(54,746)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(20,972)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(20,972)</w:t>
            </w:r>
          </w:p>
        </w:tc>
      </w:tr>
      <w:tr>
        <w:trPr>
          <w:trHeight w:val="214"/>
        </w:trPr>
        <w:tc>
          <w:tcPr>
            <w:tcW w:w="3320" w:type="dxa"/>
            <w:vAlign w:val="bottom"/>
          </w:tcPr>
          <w:p>
            <w:pPr>
              <w:spacing w:after="0"/>
              <w:rPr>
                <w:sz w:val="20"/>
                <w:szCs w:val="20"/>
                <w:color w:val="auto"/>
              </w:rPr>
            </w:pPr>
            <w:r>
              <w:rPr>
                <w:rFonts w:ascii="Arial" w:cs="Arial" w:eastAsia="Arial" w:hAnsi="Arial"/>
                <w:sz w:val="18"/>
                <w:szCs w:val="18"/>
                <w:color w:val="auto"/>
              </w:rPr>
              <w:t>Loan charge-offs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(34,428)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(34,428)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(34,115)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(34,115)</w:t>
            </w:r>
          </w:p>
        </w:tc>
      </w:tr>
      <w:tr>
        <w:trPr>
          <w:trHeight w:val="214"/>
        </w:trPr>
        <w:tc>
          <w:tcPr>
            <w:tcW w:w="3320" w:type="dxa"/>
            <w:vAlign w:val="bottom"/>
          </w:tcPr>
          <w:p>
            <w:pPr>
              <w:spacing w:after="0"/>
              <w:rPr>
                <w:sz w:val="20"/>
                <w:szCs w:val="20"/>
                <w:color w:val="auto"/>
              </w:rPr>
            </w:pPr>
            <w:r>
              <w:rPr>
                <w:rFonts w:ascii="Arial" w:cs="Arial" w:eastAsia="Arial" w:hAnsi="Arial"/>
                <w:sz w:val="18"/>
                <w:szCs w:val="18"/>
                <w:color w:val="auto"/>
              </w:rPr>
              <w:t>Foreclosures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(15,721)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15,721</w:t>
            </w:r>
          </w:p>
        </w:tc>
        <w:tc>
          <w:tcPr>
            <w:tcW w:w="14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Borders>
              <w:right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(18,853)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18,853</w:t>
            </w:r>
          </w:p>
        </w:tc>
        <w:tc>
          <w:tcPr>
            <w:tcW w:w="1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Borders>
              <w:right w:val="single" w:sz="8" w:color="auto"/>
            </w:tcBorders>
          </w:tcPr>
          <w:p>
            <w:pPr>
              <w:jc w:val="right"/>
              <w:ind w:right="11"/>
              <w:spacing w:after="0"/>
              <w:rPr>
                <w:sz w:val="20"/>
                <w:szCs w:val="20"/>
                <w:color w:val="auto"/>
              </w:rPr>
            </w:pPr>
            <w:r>
              <w:rPr>
                <w:rFonts w:ascii="Arial" w:cs="Arial" w:eastAsia="Arial" w:hAnsi="Arial"/>
                <w:sz w:val="18"/>
                <w:szCs w:val="18"/>
                <w:color w:val="auto"/>
              </w:rPr>
              <w:t>-</w:t>
            </w:r>
          </w:p>
        </w:tc>
      </w:tr>
      <w:tr>
        <w:trPr>
          <w:trHeight w:val="214"/>
        </w:trPr>
        <w:tc>
          <w:tcPr>
            <w:tcW w:w="3320" w:type="dxa"/>
            <w:vAlign w:val="bottom"/>
          </w:tcPr>
          <w:p>
            <w:pPr>
              <w:spacing w:after="0"/>
              <w:rPr>
                <w:sz w:val="20"/>
                <w:szCs w:val="20"/>
                <w:color w:val="auto"/>
              </w:rPr>
            </w:pPr>
            <w:r>
              <w:rPr>
                <w:rFonts w:ascii="Arial" w:cs="Arial" w:eastAsia="Arial" w:hAnsi="Arial"/>
                <w:sz w:val="18"/>
                <w:szCs w:val="18"/>
                <w:color w:val="auto"/>
              </w:rPr>
              <w:t>Capitalized costs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109</w:t>
            </w:r>
          </w:p>
        </w:tc>
        <w:tc>
          <w:tcPr>
            <w:tcW w:w="14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Borders>
              <w:right w:val="single" w:sz="8" w:color="auto"/>
            </w:tcBorders>
          </w:tcPr>
          <w:p>
            <w:pPr>
              <w:jc w:val="right"/>
              <w:ind w:right="31"/>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744</w:t>
            </w:r>
          </w:p>
        </w:tc>
        <w:tc>
          <w:tcPr>
            <w:tcW w:w="1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Borders>
              <w:right w:val="single" w:sz="8" w:color="auto"/>
            </w:tcBorders>
          </w:tcPr>
          <w:p>
            <w:pPr>
              <w:jc w:val="right"/>
              <w:ind w:right="11"/>
              <w:spacing w:after="0"/>
              <w:rPr>
                <w:sz w:val="20"/>
                <w:szCs w:val="20"/>
                <w:color w:val="auto"/>
              </w:rPr>
            </w:pPr>
            <w:r>
              <w:rPr>
                <w:rFonts w:ascii="Arial" w:cs="Arial" w:eastAsia="Arial" w:hAnsi="Arial"/>
                <w:sz w:val="18"/>
                <w:szCs w:val="18"/>
                <w:color w:val="auto"/>
              </w:rPr>
              <w:t>744</w:t>
            </w:r>
          </w:p>
        </w:tc>
      </w:tr>
      <w:tr>
        <w:trPr>
          <w:trHeight w:val="214"/>
        </w:trPr>
        <w:tc>
          <w:tcPr>
            <w:tcW w:w="3320" w:type="dxa"/>
            <w:vAlign w:val="bottom"/>
          </w:tcPr>
          <w:p>
            <w:pPr>
              <w:spacing w:after="0"/>
              <w:rPr>
                <w:sz w:val="20"/>
                <w:szCs w:val="20"/>
                <w:color w:val="auto"/>
              </w:rPr>
            </w:pPr>
            <w:r>
              <w:rPr>
                <w:rFonts w:ascii="Arial" w:cs="Arial" w:eastAsia="Arial" w:hAnsi="Arial"/>
                <w:sz w:val="18"/>
                <w:szCs w:val="18"/>
                <w:color w:val="auto"/>
              </w:rPr>
              <w:t>Property sales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(24,698)</w:t>
            </w:r>
          </w:p>
        </w:tc>
        <w:tc>
          <w:tcPr>
            <w:tcW w:w="14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(24,698)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(19,092)</w:t>
            </w:r>
          </w:p>
        </w:tc>
        <w:tc>
          <w:tcPr>
            <w:tcW w:w="1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(19,092)</w:t>
            </w:r>
          </w:p>
        </w:tc>
      </w:tr>
      <w:tr>
        <w:trPr>
          <w:trHeight w:val="214"/>
        </w:trPr>
        <w:tc>
          <w:tcPr>
            <w:tcW w:w="3320" w:type="dxa"/>
            <w:vAlign w:val="bottom"/>
          </w:tcPr>
          <w:p>
            <w:pPr>
              <w:spacing w:after="0"/>
              <w:rPr>
                <w:sz w:val="20"/>
                <w:szCs w:val="20"/>
                <w:color w:val="auto"/>
              </w:rPr>
            </w:pPr>
            <w:r>
              <w:rPr>
                <w:rFonts w:ascii="Arial" w:cs="Arial" w:eastAsia="Arial" w:hAnsi="Arial"/>
                <w:sz w:val="18"/>
                <w:szCs w:val="18"/>
                <w:color w:val="auto"/>
              </w:rPr>
              <w:t>Write downs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(2,410)</w:t>
            </w:r>
          </w:p>
        </w:tc>
        <w:tc>
          <w:tcPr>
            <w:tcW w:w="14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(2,410)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(3,119)</w:t>
            </w:r>
          </w:p>
        </w:tc>
        <w:tc>
          <w:tcPr>
            <w:tcW w:w="14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(3,119)</w:t>
            </w:r>
          </w:p>
        </w:tc>
      </w:tr>
      <w:tr>
        <w:trPr>
          <w:trHeight w:val="235"/>
        </w:trPr>
        <w:tc>
          <w:tcPr>
            <w:tcW w:w="3320" w:type="dxa"/>
            <w:vAlign w:val="bottom"/>
          </w:tcPr>
          <w:p>
            <w:pPr>
              <w:spacing w:after="0"/>
              <w:rPr>
                <w:sz w:val="20"/>
                <w:szCs w:val="20"/>
                <w:color w:val="auto"/>
              </w:rPr>
            </w:pPr>
            <w:r>
              <w:rPr>
                <w:rFonts w:ascii="Arial" w:cs="Arial" w:eastAsia="Arial" w:hAnsi="Arial"/>
                <w:sz w:val="18"/>
                <w:szCs w:val="18"/>
                <w:color w:val="auto"/>
              </w:rPr>
              <w:t>Net losses on sales</w:t>
            </w:r>
          </w:p>
        </w:tc>
        <w:tc>
          <w:tcPr>
            <w:tcW w:w="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(3,050)</w:t>
            </w:r>
          </w:p>
        </w:tc>
        <w:tc>
          <w:tcPr>
            <w:tcW w:w="140" w:type="dxa"/>
            <w:vAlign w:val="bottom"/>
            <w:tcBorders>
              <w:right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(3,050)</w:t>
            </w:r>
          </w:p>
        </w:tc>
        <w:tc>
          <w:tcPr>
            <w:tcW w:w="1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176</w:t>
            </w:r>
          </w:p>
        </w:tc>
        <w:tc>
          <w:tcPr>
            <w:tcW w:w="140" w:type="dxa"/>
            <w:vAlign w:val="bottom"/>
            <w:tcBorders>
              <w:right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right w:val="single" w:sz="8" w:color="auto"/>
            </w:tcBorders>
          </w:tcPr>
          <w:p>
            <w:pPr>
              <w:jc w:val="right"/>
              <w:ind w:right="11"/>
              <w:spacing w:after="0"/>
              <w:rPr>
                <w:sz w:val="20"/>
                <w:szCs w:val="20"/>
                <w:color w:val="auto"/>
              </w:rPr>
            </w:pPr>
            <w:r>
              <w:rPr>
                <w:rFonts w:ascii="Arial" w:cs="Arial" w:eastAsia="Arial" w:hAnsi="Arial"/>
                <w:sz w:val="18"/>
                <w:szCs w:val="18"/>
                <w:color w:val="auto"/>
              </w:rPr>
              <w:t>176</w:t>
            </w:r>
          </w:p>
        </w:tc>
      </w:tr>
      <w:tr>
        <w:trPr>
          <w:trHeight w:val="214"/>
        </w:trPr>
        <w:tc>
          <w:tcPr>
            <w:tcW w:w="3320" w:type="dxa"/>
            <w:vAlign w:val="bottom"/>
          </w:tcPr>
          <w:p>
            <w:pPr>
              <w:ind w:left="240"/>
              <w:spacing w:after="0"/>
              <w:rPr>
                <w:sz w:val="20"/>
                <w:szCs w:val="20"/>
                <w:color w:val="auto"/>
              </w:rPr>
            </w:pPr>
            <w:r>
              <w:rPr>
                <w:rFonts w:ascii="Arial" w:cs="Arial" w:eastAsia="Arial" w:hAnsi="Arial"/>
                <w:sz w:val="18"/>
                <w:szCs w:val="18"/>
                <w:b w:val="1"/>
                <w:bCs w:val="1"/>
                <w:color w:val="auto"/>
              </w:rPr>
              <w:t>Ending Balance</w:t>
            </w: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27,864</w:t>
            </w:r>
          </w:p>
        </w:tc>
        <w:tc>
          <w:tcPr>
            <w:tcW w:w="1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3,936</w:t>
            </w:r>
          </w:p>
        </w:tc>
        <w:tc>
          <w:tcPr>
            <w:tcW w:w="140" w:type="dxa"/>
            <w:vAlign w:val="bottom"/>
            <w:tcBorders>
              <w:right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right w:val="single" w:sz="8" w:color="auto"/>
            </w:tcBorders>
          </w:tcPr>
          <w:p>
            <w:pPr>
              <w:jc w:val="right"/>
              <w:ind w:right="31"/>
              <w:spacing w:after="0"/>
              <w:rPr>
                <w:sz w:val="20"/>
                <w:szCs w:val="20"/>
                <w:color w:val="auto"/>
              </w:rPr>
            </w:pPr>
            <w:r>
              <w:rPr>
                <w:rFonts w:ascii="Arial" w:cs="Arial" w:eastAsia="Arial" w:hAnsi="Arial"/>
                <w:sz w:val="18"/>
                <w:szCs w:val="18"/>
                <w:color w:val="auto"/>
              </w:rPr>
              <w:t>31,800</w:t>
            </w:r>
          </w:p>
        </w:tc>
        <w:tc>
          <w:tcPr>
            <w:tcW w:w="100" w:type="dxa"/>
            <w:vAlign w:val="bottom"/>
          </w:tcPr>
          <w:p>
            <w:pPr>
              <w:spacing w:after="0"/>
              <w:rPr>
                <w:sz w:val="18"/>
                <w:szCs w:val="18"/>
                <w:color w:val="auto"/>
              </w:rPr>
            </w:pPr>
          </w:p>
        </w:tc>
        <w:tc>
          <w:tcPr>
            <w:tcW w:w="28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115,340</w:t>
            </w:r>
          </w:p>
        </w:tc>
        <w:tc>
          <w:tcPr>
            <w:tcW w:w="1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30,421</w:t>
            </w:r>
          </w:p>
        </w:tc>
        <w:tc>
          <w:tcPr>
            <w:tcW w:w="140" w:type="dxa"/>
            <w:vAlign w:val="bottom"/>
            <w:tcBorders>
              <w:right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right w:val="single" w:sz="8" w:color="auto"/>
            </w:tcBorders>
          </w:tcPr>
          <w:p>
            <w:pPr>
              <w:jc w:val="right"/>
              <w:ind w:right="11"/>
              <w:spacing w:after="0"/>
              <w:rPr>
                <w:sz w:val="20"/>
                <w:szCs w:val="20"/>
                <w:color w:val="auto"/>
              </w:rPr>
            </w:pPr>
            <w:r>
              <w:rPr>
                <w:rFonts w:ascii="Arial" w:cs="Arial" w:eastAsia="Arial" w:hAnsi="Arial"/>
                <w:sz w:val="18"/>
                <w:szCs w:val="18"/>
                <w:color w:val="auto"/>
              </w:rPr>
              <w:t>145,761</w:t>
            </w:r>
          </w:p>
        </w:tc>
      </w:tr>
      <w:tr>
        <w:trPr>
          <w:trHeight w:val="20"/>
        </w:trPr>
        <w:tc>
          <w:tcPr>
            <w:tcW w:w="3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right w:val="single" w:sz="8" w:color="auto"/>
            </w:tcBorders>
          </w:tcPr>
          <w:p>
            <w:pPr>
              <w:spacing w:after="0" w:line="20" w:lineRule="exact"/>
              <w:rPr>
                <w:sz w:val="1"/>
                <w:szCs w:val="1"/>
                <w:color w:val="auto"/>
              </w:rPr>
            </w:pPr>
          </w:p>
        </w:tc>
      </w:tr>
    </w:tbl>
    <w:p>
      <w:pPr>
        <w:spacing w:after="0" w:line="174" w:lineRule="exact"/>
        <w:rPr>
          <w:sz w:val="20"/>
          <w:szCs w:val="20"/>
          <w:color w:val="auto"/>
        </w:rPr>
      </w:pPr>
    </w:p>
    <w:p>
      <w:pPr>
        <w:ind w:left="560" w:hanging="553"/>
        <w:spacing w:after="0"/>
        <w:tabs>
          <w:tab w:leader="none" w:pos="560" w:val="left"/>
        </w:tabs>
        <w:numPr>
          <w:ilvl w:val="0"/>
          <w:numId w:val="11"/>
        </w:numPr>
        <w:rPr>
          <w:rFonts w:ascii="Arial" w:cs="Arial" w:eastAsia="Arial" w:hAnsi="Arial"/>
          <w:sz w:val="22"/>
          <w:szCs w:val="22"/>
          <w:color w:val="auto"/>
          <w:vertAlign w:val="superscript"/>
        </w:rPr>
      </w:pPr>
      <w:r>
        <w:rPr>
          <w:rFonts w:ascii="Arial" w:cs="Arial" w:eastAsia="Arial" w:hAnsi="Arial"/>
          <w:sz w:val="16"/>
          <w:szCs w:val="16"/>
          <w:color w:val="auto"/>
        </w:rPr>
        <w:t>Excludes non-performing loans and foreclosed properties covered by the loss-sharing agreement with the FDIC, related to the acquisition of SCB.</w:t>
      </w:r>
    </w:p>
    <w:p>
      <w:pPr>
        <w:spacing w:after="0" w:line="201" w:lineRule="exact"/>
        <w:rPr>
          <w:rFonts w:ascii="Arial" w:cs="Arial" w:eastAsia="Arial" w:hAnsi="Arial"/>
          <w:sz w:val="22"/>
          <w:szCs w:val="22"/>
          <w:color w:val="auto"/>
          <w:vertAlign w:val="superscript"/>
        </w:rPr>
      </w:pPr>
    </w:p>
    <w:p>
      <w:pPr>
        <w:ind w:left="5620"/>
        <w:spacing w:after="0"/>
        <w:rPr>
          <w:rFonts w:ascii="Arial" w:cs="Arial" w:eastAsia="Arial" w:hAnsi="Arial"/>
          <w:sz w:val="22"/>
          <w:szCs w:val="22"/>
          <w:color w:val="auto"/>
          <w:vertAlign w:val="superscript"/>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13970</wp:posOffset>
            </wp:positionV>
            <wp:extent cx="724789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7890" cy="8255"/>
                    </a:xfrm>
                    <a:prstGeom prst="rect">
                      <a:avLst/>
                    </a:prstGeom>
                    <a:noFill/>
                  </pic:spPr>
                </pic:pic>
              </a:graphicData>
            </a:graphic>
          </wp:anchor>
        </w:drawing>
      </w:r>
    </w:p>
    <w:p>
      <w:pPr>
        <w:sectPr>
          <w:pgSz w:w="11900" w:h="16838" w:orient="portrait"/>
          <w:cols w:equalWidth="0" w:num="1">
            <w:col w:w="11420"/>
          </w:cols>
          <w:pgMar w:left="240" w:top="915" w:right="239" w:bottom="1440" w:gutter="0" w:footer="0" w:header="0"/>
        </w:sectPr>
      </w:pPr>
    </w:p>
    <w:bookmarkStart w:id="59" w:name="page60"/>
    <w:bookmarkEnd w:id="59"/>
    <w:p>
      <w:pPr>
        <w:jc w:val="both"/>
        <w:spacing w:after="0" w:line="269" w:lineRule="auto"/>
        <w:rPr>
          <w:sz w:val="20"/>
          <w:szCs w:val="20"/>
          <w:color w:val="auto"/>
        </w:rPr>
      </w:pPr>
      <w:r>
        <w:rPr>
          <w:rFonts w:ascii="Arial" w:cs="Arial" w:eastAsia="Arial" w:hAnsi="Arial"/>
          <w:sz w:val="17"/>
          <w:szCs w:val="17"/>
          <w:color w:val="auto"/>
        </w:rPr>
        <w:t xml:space="preserve">Foreclosed property is initially recorded at fair value, less estimated costs to sell. If the fair value, less estimated costs to sell at the time of foreclosure, is less than the loan balance, the deficiency is charged against the allowance for loan losses. If the lesser of fair value, less estimated costs to sell or the listed selling price, less the costs to sell, of the foreclosed property decreases during the holding period, a valuation allowance is established with a charge to foreclosed property expense. When the foreclosed property is sold, a gain or loss is recognized on the sale for the difference between the sales proceeds and the carrying amount of the property. Financed sales of foreclosed property are accounted for in accordance with ASC 360-20, </w:t>
      </w:r>
      <w:r>
        <w:rPr>
          <w:rFonts w:ascii="Arial" w:cs="Arial" w:eastAsia="Arial" w:hAnsi="Arial"/>
          <w:sz w:val="17"/>
          <w:szCs w:val="17"/>
          <w:i w:val="1"/>
          <w:iCs w:val="1"/>
          <w:color w:val="auto"/>
        </w:rPr>
        <w:t>Real Estate Sales</w:t>
      </w:r>
      <w:r>
        <w:rPr>
          <w:rFonts w:ascii="Arial" w:cs="Arial" w:eastAsia="Arial" w:hAnsi="Arial"/>
          <w:sz w:val="17"/>
          <w:szCs w:val="17"/>
          <w:color w:val="auto"/>
        </w:rPr>
        <w:t>. For the second quarter of 2013, United transferred $25.0 million of loans into foreclosed property through foreclosures. During the same period, proceeds from sales of foreclosed property were $33.6 million, which includes $1.89 million in sales that were financed by United.</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Securities</w:t>
      </w:r>
    </w:p>
    <w:p>
      <w:pPr>
        <w:spacing w:after="0" w:line="24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composition of the investment securities portfolio reflects United’s investment strategy of maintaining an appropriate level of liquidity while providing a relatively stable source of revenue. The investment securities portfolio also provides a balance to interest rate risk and credit risk in other categories of the balance sheet while providing a vehicle for the investment of available funds, furnishing liquidity, and supplying securities to pledge as required collateral for certain deposits. Total investment securities at June 30, 2013 increased $168 million from a year ago.</w:t>
      </w:r>
    </w:p>
    <w:p>
      <w:pPr>
        <w:spacing w:after="0" w:line="199" w:lineRule="exact"/>
        <w:rPr>
          <w:sz w:val="20"/>
          <w:szCs w:val="20"/>
          <w:color w:val="auto"/>
        </w:rPr>
      </w:pPr>
    </w:p>
    <w:p>
      <w:pPr>
        <w:jc w:val="both"/>
        <w:spacing w:after="0" w:line="335" w:lineRule="auto"/>
        <w:rPr>
          <w:sz w:val="20"/>
          <w:szCs w:val="20"/>
          <w:color w:val="auto"/>
        </w:rPr>
      </w:pPr>
      <w:r>
        <w:rPr>
          <w:rFonts w:ascii="Arial" w:cs="Arial" w:eastAsia="Arial" w:hAnsi="Arial"/>
          <w:sz w:val="16"/>
          <w:szCs w:val="16"/>
          <w:color w:val="auto"/>
        </w:rPr>
        <w:t>At June 30, 2013, United had securities held-to-maturity with a carrying amount of $215 million and securities available-for-sale totaling $1.94 billion. At June 30, 2013, December 31, 2012, and June 30, 2012, the securities portfolio represented approximately 30%, 31% and 29% of total assets, respectively.</w:t>
      </w:r>
    </w:p>
    <w:p>
      <w:pPr>
        <w:spacing w:after="0" w:line="156"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The investment securities portfolio primarily consists of U.S. government sponsored agency mortgage-backed securities, non-agency mortgage-backed securities, corporate bonds, municipal securities and asset-backed securities. Mortgage-backed securities rely on the underlying pools of mortgage loans to provide a cash flow of principal and interest. The actual maturities of these securities will differ from contractual maturities because loans underlying the securities can prepay. Decreases in interest rates will generally cause an acceleration of prepayment levels. In a declining or prolonged low interest rate environment, United may not be able to reinvest the proceeds from these prepayments in assets that have comparable yields. In a rising rate environment, the opposite occurs - prepayments tend to slow and the weighted average life extends. This is referred to as extension risk which can lead to lower levels of liquidity due to the delay of cash receipts and can result in the holding of a below market yielding asset for a longer period of time. United’s asset-backed securities include securities that are backed by student loans and collateralized loan obligations.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Intangible Assets</w:t>
      </w:r>
    </w:p>
    <w:p>
      <w:pPr>
        <w:spacing w:after="0" w:line="248"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Other intangible assets, primarily core deposit intangibles representing the value of United’s acquired deposit base, are amortizing intangible assets that are required to be tested for impairment only when events or circumstances indicate that impairment may exist. There were no events or circumstances that led management to believe that any impairment exists in United’s other intangible assets.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Deposits</w:t>
      </w:r>
    </w:p>
    <w:p>
      <w:pPr>
        <w:spacing w:after="0" w:line="24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United initiated several programs in early 2009 to improve core earnings by growing customer transaction deposit accounts and lowering overall pricing on deposit accounts to improve its net interest margin and increase net interest revenue. The programs were successful in increasing core transaction deposit accounts and allowing for the reduction of more costly time deposit balances as United’s funding needs decreased due to lower loan demand. United has continued to pursue customer transaction deposits by stressing its high customer satisfaction scores.</w:t>
      </w:r>
    </w:p>
    <w:p>
      <w:pPr>
        <w:spacing w:after="0" w:line="199"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Total customer deposits, excluding brokered deposits, as of June 30, 2013 were $5.64 billion, an increase of $25.3 million from June 30, 2012. Total core deposits (demand, NOW, money market and savings deposits, excluding public funds deposits) of $3.32 billion increased $256 million, or 8%, from a year ago. Total non-interest-bearing demand deposit accounts of $1.35 billion increased $199 million, or 17%, due to the success of core deposit programs. Also impacted by the programs were NOW, money market and savings accounts of $2.64 billion, which increased $109 million, or 4%, from June 30, 2012.</w:t>
      </w:r>
    </w:p>
    <w:p>
      <w:pPr>
        <w:spacing w:after="0" w:line="18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Total time deposits, excluding brokered deposits, as of June 30, 2013 were $1.65 billion, down $283 million from June 30, 2012. Time deposits less than $100,000 totaled $982 million, a decrease of $182 million, or 16%, from a year ago. Time deposits of $100,000 and greater totaled $664 million as of June 30, 2013, a decrease of $100 million, or 13%, from June 30, 2012. United continued to offer low rates on certificates of deposit, allowing balances to decline as United’s funding needs declined due to weak loan demand and a shift to lower cost transaction account deposits.</w:t>
      </w:r>
    </w:p>
    <w:p>
      <w:pPr>
        <w:spacing w:after="0" w:line="199"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Brokered deposits totaled $375 million as of June 30, 2013, an increase of $164 million from a year ago. We have actively added long-term deposits which are swapped to LIBOR minus a spread to diversify our deposit base with low cost funding.</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Wholesale Funding</w:t>
      </w:r>
    </w:p>
    <w:p>
      <w:pPr>
        <w:spacing w:after="0" w:line="24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Bank is a shareholder in the Federal Home Loan Bank (“FHLB”) of Atlanta. Through this affiliation, FHLB secured advances totaled $70.1 and $125 million, respectively, as of June 30, 2013 and 2012. United anticipates continued use of this short and long-term source of funds. Additional information regarding FHLB advances is provided in Note 12 to the consolidated financial statements included in United’s Annual Report on Form 10-K for the year ended December 31, 2012.</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13970</wp:posOffset>
            </wp:positionV>
            <wp:extent cx="724789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7890" cy="8255"/>
                    </a:xfrm>
                    <a:prstGeom prst="rect">
                      <a:avLst/>
                    </a:prstGeom>
                    <a:noFill/>
                  </pic:spPr>
                </pic:pic>
              </a:graphicData>
            </a:graphic>
          </wp:anchor>
        </w:drawing>
      </w:r>
    </w:p>
    <w:p>
      <w:pPr>
        <w:sectPr>
          <w:pgSz w:w="11900" w:h="16838" w:orient="portrait"/>
          <w:cols w:equalWidth="0" w:num="1">
            <w:col w:w="11420"/>
          </w:cols>
          <w:pgMar w:left="240" w:top="889" w:right="239" w:bottom="1440" w:gutter="0" w:footer="0" w:header="0"/>
        </w:sectPr>
      </w:pPr>
    </w:p>
    <w:bookmarkStart w:id="60" w:name="page61"/>
    <w:bookmarkEnd w:id="60"/>
    <w:p>
      <w:pPr>
        <w:jc w:val="both"/>
        <w:spacing w:after="0" w:line="260" w:lineRule="auto"/>
        <w:rPr>
          <w:sz w:val="20"/>
          <w:szCs w:val="20"/>
          <w:color w:val="auto"/>
        </w:rPr>
      </w:pPr>
      <w:r>
        <w:rPr>
          <w:rFonts w:ascii="Arial" w:cs="Arial" w:eastAsia="Arial" w:hAnsi="Arial"/>
          <w:sz w:val="18"/>
          <w:szCs w:val="18"/>
          <w:color w:val="auto"/>
        </w:rPr>
        <w:t>At June 30, 2013 and 2012, United had $54.2 million and $53.7 million, respectively, in other short-term borrowings outstanding. United takes advantage of these additional sources of liquidity when rates are favorable compared to other forms of short-term borrowings, such as FHLB advances and brokered deposits.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There have not been any material changes to United’s contractual obligations since December 31, 2012.</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Sensitivity Management</w:t>
      </w:r>
    </w:p>
    <w:p>
      <w:pPr>
        <w:spacing w:after="0" w:line="25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absolute level and volatility of interest rates can have a significant effect on United’s profitability. The objective of interest rate risk management is to identify and manage the sensitivity of net interest revenue to changing interest rates, in order to achieve United’s overall financial goals. Based on economic conditions, asset quality and various other considerations, management establishes tolerance ranges for interest rate sensitivity and manages within these ranges.</w:t>
      </w:r>
    </w:p>
    <w:p>
      <w:pPr>
        <w:spacing w:after="0" w:line="21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United’s net interest revenue, and the fair value of its financial instruments, are influenced by changes in the level of interest rates. United limits its exposure to fluctuations in interest rates through policies developed by the Asset/Liability Management Committee (“ALCO”) and approved by the Board of Directors. ALCO meets periodically and has responsibility for formulating and recommending asset/liability management policies to the Board of Directors, formulating and implementing strategies to improve balance sheet positioning and/or earnings, and reviewing United’s interest rate sensitivity.</w:t>
      </w:r>
    </w:p>
    <w:p>
      <w:pPr>
        <w:spacing w:after="0" w:line="199"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One of the tools management uses to estimate and manage the sensitivity of net interest revenue to changes in interest rates is an asset/liability simulation model. Resulting estimates are based upon a number of assumptions for each scenario, including the level of balance sheet growth, loan and deposit re-pricing characteristics and the rate of prepayments. ALCO periodically reviews the assumptions for accuracy based on historical data and future expectations; however, actual net interest revenue may differ from model results. The primary objective of the simulation model is to measure the potential change in net interest revenue over time using multiple interest rate scenarios. The base scenario assumes rates remain flat and is the scenario to which all others are compared in order to measure the change in net interest revenue. Policy limits are based on immediate rate shock scenarios, as well as gradually rising and falling rate scenarios, which are all compared to the base scenario. Another commonly analyzed scenario is a most-likely scenario that projects the expected change in rates based on the slope of the forward yield curve. Other scenarios analyzed may include delayed rate shocks, yield curve steepening or flattening, or other variations in rate movements. While the primary policy scenarios focus on a twelve month time frame, longer time horizons are also modeled. All policy scenarios assume a static balance sheet.</w:t>
      </w:r>
    </w:p>
    <w:p>
      <w:pPr>
        <w:spacing w:after="0" w:line="21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United’s policy is based on the 12-month impact on net interest revenue of interest rate shocks and ramps that increase or decrease from 100 to 300 basis points from the base scenario. In the shock scenarios, rates immediately change the full amount at the scenario onset. In the ramp scenarios, rates change by 25 basis points per month. United’s policy limits the change in net interest revenue over the first 12 months to a 5% decrease for each 100 basis point change in the increasing and decreasing rate ramp and shock scenarios. Historically low rates on June 30, 2013 and 2012 made use of the down scenarios problematic. The following table presents United’s interest sensitivity position at June 30, 2013 and 2012.</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3900" w:type="dxa"/>
            <w:vAlign w:val="bottom"/>
            <w:gridSpan w:val="2"/>
          </w:tcPr>
          <w:p>
            <w:pPr>
              <w:spacing w:after="0"/>
              <w:rPr>
                <w:sz w:val="20"/>
                <w:szCs w:val="20"/>
                <w:color w:val="auto"/>
              </w:rPr>
            </w:pPr>
            <w:r>
              <w:rPr>
                <w:rFonts w:ascii="Arial" w:cs="Arial" w:eastAsia="Arial" w:hAnsi="Arial"/>
                <w:sz w:val="18"/>
                <w:szCs w:val="18"/>
                <w:b w:val="1"/>
                <w:bCs w:val="1"/>
                <w:color w:val="auto"/>
              </w:rPr>
              <w:t>Table 13 - Interest Sensitivity</w:t>
            </w:r>
          </w:p>
        </w:tc>
        <w:tc>
          <w:tcPr>
            <w:tcW w:w="1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492"/>
        </w:trPr>
        <w:tc>
          <w:tcPr>
            <w:tcW w:w="3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0" w:type="dxa"/>
            <w:vAlign w:val="bottom"/>
            <w:gridSpan w:val="10"/>
          </w:tcPr>
          <w:p>
            <w:pPr>
              <w:jc w:val="right"/>
              <w:ind w:right="371"/>
              <w:spacing w:after="0"/>
              <w:rPr>
                <w:sz w:val="20"/>
                <w:szCs w:val="20"/>
                <w:color w:val="auto"/>
              </w:rPr>
            </w:pPr>
            <w:r>
              <w:rPr>
                <w:rFonts w:ascii="Arial" w:cs="Arial" w:eastAsia="Arial" w:hAnsi="Arial"/>
                <w:sz w:val="18"/>
                <w:szCs w:val="18"/>
                <w:b w:val="1"/>
                <w:bCs w:val="1"/>
                <w:color w:val="auto"/>
                <w:w w:val="93"/>
              </w:rPr>
              <w:t>Increase (Decrease) in Net Interest Revenue from Base Scenario at</w:t>
            </w:r>
          </w:p>
        </w:tc>
      </w:tr>
      <w:tr>
        <w:trPr>
          <w:trHeight w:val="239"/>
        </w:trPr>
        <w:tc>
          <w:tcPr>
            <w:tcW w:w="3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3"/>
          </w:tcPr>
          <w:p>
            <w:pPr>
              <w:ind w:left="880"/>
              <w:spacing w:after="0"/>
              <w:rPr>
                <w:sz w:val="20"/>
                <w:szCs w:val="20"/>
                <w:color w:val="auto"/>
              </w:rPr>
            </w:pPr>
            <w:r>
              <w:rPr>
                <w:rFonts w:ascii="Arial" w:cs="Arial" w:eastAsia="Arial" w:hAnsi="Arial"/>
                <w:sz w:val="18"/>
                <w:szCs w:val="18"/>
                <w:b w:val="1"/>
                <w:bCs w:val="1"/>
                <w:color w:val="auto"/>
                <w:w w:val="94"/>
              </w:rPr>
              <w:t>June 30,</w:t>
            </w:r>
          </w:p>
        </w:tc>
        <w:tc>
          <w:tcPr>
            <w:tcW w:w="10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r>
      <w:tr>
        <w:trPr>
          <w:trHeight w:val="221"/>
        </w:trPr>
        <w:tc>
          <w:tcPr>
            <w:tcW w:w="3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6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8"/>
                <w:szCs w:val="18"/>
                <w:b w:val="1"/>
                <w:bCs w:val="1"/>
                <w:color w:val="auto"/>
              </w:rPr>
              <w:t>2013</w:t>
            </w:r>
          </w:p>
        </w:tc>
        <w:tc>
          <w:tcPr>
            <w:tcW w:w="112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8"/>
                <w:szCs w:val="18"/>
                <w:b w:val="1"/>
                <w:bCs w:val="1"/>
                <w:color w:val="auto"/>
              </w:rPr>
              <w:t>2012</w:t>
            </w:r>
          </w:p>
        </w:tc>
        <w:tc>
          <w:tcPr>
            <w:tcW w:w="1120" w:type="dxa"/>
            <w:vAlign w:val="bottom"/>
            <w:tcBorders>
              <w:bottom w:val="single" w:sz="8" w:color="auto"/>
            </w:tcBorders>
          </w:tcPr>
          <w:p>
            <w:pPr>
              <w:spacing w:after="0"/>
              <w:rPr>
                <w:sz w:val="19"/>
                <w:szCs w:val="19"/>
                <w:color w:val="auto"/>
              </w:rPr>
            </w:pPr>
          </w:p>
        </w:tc>
      </w:tr>
      <w:tr>
        <w:trPr>
          <w:trHeight w:val="221"/>
        </w:trPr>
        <w:tc>
          <w:tcPr>
            <w:tcW w:w="3900" w:type="dxa"/>
            <w:vAlign w:val="bottom"/>
            <w:gridSpan w:val="2"/>
          </w:tcPr>
          <w:p>
            <w:pPr>
              <w:ind w:left="1220"/>
              <w:spacing w:after="0"/>
              <w:rPr>
                <w:sz w:val="20"/>
                <w:szCs w:val="20"/>
                <w:color w:val="auto"/>
              </w:rPr>
            </w:pPr>
            <w:r>
              <w:rPr>
                <w:rFonts w:ascii="Arial" w:cs="Arial" w:eastAsia="Arial" w:hAnsi="Arial"/>
                <w:sz w:val="18"/>
                <w:szCs w:val="18"/>
                <w:b w:val="1"/>
                <w:bCs w:val="1"/>
                <w:color w:val="auto"/>
              </w:rPr>
              <w:t>Change in Rates</w:t>
            </w:r>
          </w:p>
        </w:tc>
        <w:tc>
          <w:tcPr>
            <w:tcW w:w="1660" w:type="dxa"/>
            <w:vAlign w:val="bottom"/>
            <w:gridSpan w:val="3"/>
          </w:tcPr>
          <w:p>
            <w:pPr>
              <w:jc w:val="right"/>
              <w:ind w:right="880"/>
              <w:spacing w:after="0"/>
              <w:rPr>
                <w:sz w:val="20"/>
                <w:szCs w:val="20"/>
                <w:color w:val="auto"/>
              </w:rPr>
            </w:pPr>
            <w:r>
              <w:rPr>
                <w:rFonts w:ascii="Arial" w:cs="Arial" w:eastAsia="Arial" w:hAnsi="Arial"/>
                <w:sz w:val="18"/>
                <w:szCs w:val="18"/>
                <w:b w:val="1"/>
                <w:bCs w:val="1"/>
                <w:color w:val="auto"/>
              </w:rPr>
              <w:t>Shock</w:t>
            </w:r>
          </w:p>
        </w:tc>
        <w:tc>
          <w:tcPr>
            <w:tcW w:w="1120" w:type="dxa"/>
            <w:vAlign w:val="bottom"/>
          </w:tcPr>
          <w:p>
            <w:pPr>
              <w:jc w:val="right"/>
              <w:ind w:right="411"/>
              <w:spacing w:after="0"/>
              <w:rPr>
                <w:sz w:val="20"/>
                <w:szCs w:val="20"/>
                <w:color w:val="auto"/>
              </w:rPr>
            </w:pPr>
            <w:r>
              <w:rPr>
                <w:rFonts w:ascii="Arial" w:cs="Arial" w:eastAsia="Arial" w:hAnsi="Arial"/>
                <w:sz w:val="18"/>
                <w:szCs w:val="18"/>
                <w:b w:val="1"/>
                <w:bCs w:val="1"/>
                <w:color w:val="auto"/>
              </w:rPr>
              <w:t>Ramp</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gridSpan w:val="3"/>
          </w:tcPr>
          <w:p>
            <w:pPr>
              <w:jc w:val="right"/>
              <w:ind w:right="900"/>
              <w:spacing w:after="0"/>
              <w:rPr>
                <w:sz w:val="20"/>
                <w:szCs w:val="20"/>
                <w:color w:val="auto"/>
              </w:rPr>
            </w:pPr>
            <w:r>
              <w:rPr>
                <w:rFonts w:ascii="Arial" w:cs="Arial" w:eastAsia="Arial" w:hAnsi="Arial"/>
                <w:sz w:val="18"/>
                <w:szCs w:val="18"/>
                <w:b w:val="1"/>
                <w:bCs w:val="1"/>
                <w:color w:val="auto"/>
                <w:w w:val="96"/>
              </w:rPr>
              <w:t>Shock</w:t>
            </w:r>
          </w:p>
        </w:tc>
        <w:tc>
          <w:tcPr>
            <w:tcW w:w="1120" w:type="dxa"/>
            <w:vAlign w:val="bottom"/>
          </w:tcPr>
          <w:p>
            <w:pPr>
              <w:jc w:val="right"/>
              <w:ind w:right="431"/>
              <w:spacing w:after="0"/>
              <w:rPr>
                <w:sz w:val="20"/>
                <w:szCs w:val="20"/>
                <w:color w:val="auto"/>
              </w:rPr>
            </w:pPr>
            <w:r>
              <w:rPr>
                <w:rFonts w:ascii="Arial" w:cs="Arial" w:eastAsia="Arial" w:hAnsi="Arial"/>
                <w:sz w:val="18"/>
                <w:szCs w:val="18"/>
                <w:b w:val="1"/>
                <w:bCs w:val="1"/>
                <w:color w:val="auto"/>
              </w:rPr>
              <w:t>Ramp</w:t>
            </w:r>
          </w:p>
        </w:tc>
      </w:tr>
      <w:tr>
        <w:trPr>
          <w:trHeight w:val="200"/>
        </w:trPr>
        <w:tc>
          <w:tcPr>
            <w:tcW w:w="3680" w:type="dxa"/>
            <w:vAlign w:val="bottom"/>
            <w:tcBorders>
              <w:top w:val="single" w:sz="8" w:color="auto"/>
            </w:tcBorders>
          </w:tcPr>
          <w:p>
            <w:pPr>
              <w:ind w:left="160"/>
              <w:spacing w:after="0" w:line="200" w:lineRule="exact"/>
              <w:rPr>
                <w:sz w:val="20"/>
                <w:szCs w:val="20"/>
                <w:color w:val="auto"/>
              </w:rPr>
            </w:pPr>
            <w:r>
              <w:rPr>
                <w:rFonts w:ascii="Arial" w:cs="Arial" w:eastAsia="Arial" w:hAnsi="Arial"/>
                <w:sz w:val="18"/>
                <w:szCs w:val="18"/>
                <w:color w:val="auto"/>
              </w:rPr>
              <w:t>200 basis point increase</w:t>
            </w:r>
          </w:p>
        </w:tc>
        <w:tc>
          <w:tcPr>
            <w:tcW w:w="220" w:type="dxa"/>
            <w:vAlign w:val="bottom"/>
          </w:tcPr>
          <w:p>
            <w:pPr>
              <w:spacing w:after="0"/>
              <w:rPr>
                <w:sz w:val="17"/>
                <w:szCs w:val="17"/>
                <w:color w:val="auto"/>
              </w:rPr>
            </w:pPr>
          </w:p>
        </w:tc>
        <w:tc>
          <w:tcPr>
            <w:tcW w:w="1280" w:type="dxa"/>
            <w:vAlign w:val="bottom"/>
            <w:tcBorders>
              <w:top w:val="single" w:sz="8" w:color="auto"/>
            </w:tcBorders>
          </w:tcPr>
          <w:p>
            <w:pPr>
              <w:jc w:val="right"/>
              <w:spacing w:after="0" w:line="200" w:lineRule="exact"/>
              <w:rPr>
                <w:sz w:val="20"/>
                <w:szCs w:val="20"/>
                <w:color w:val="auto"/>
              </w:rPr>
            </w:pPr>
            <w:r>
              <w:rPr>
                <w:rFonts w:ascii="Arial" w:cs="Arial" w:eastAsia="Arial" w:hAnsi="Arial"/>
                <w:sz w:val="18"/>
                <w:szCs w:val="18"/>
                <w:color w:val="auto"/>
              </w:rPr>
              <w:t>3.7%</w:t>
            </w:r>
          </w:p>
        </w:tc>
        <w:tc>
          <w:tcPr>
            <w:tcW w:w="2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right"/>
              <w:spacing w:after="0" w:line="200" w:lineRule="exact"/>
              <w:rPr>
                <w:sz w:val="20"/>
                <w:szCs w:val="20"/>
                <w:color w:val="auto"/>
              </w:rPr>
            </w:pPr>
            <w:r>
              <w:rPr>
                <w:rFonts w:ascii="Arial" w:cs="Arial" w:eastAsia="Arial" w:hAnsi="Arial"/>
                <w:sz w:val="18"/>
                <w:szCs w:val="18"/>
                <w:color w:val="auto"/>
              </w:rPr>
              <w:t>4.4%</w:t>
            </w:r>
          </w:p>
        </w:tc>
        <w:tc>
          <w:tcPr>
            <w:tcW w:w="22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right"/>
              <w:spacing w:after="0" w:line="200" w:lineRule="exact"/>
              <w:rPr>
                <w:sz w:val="20"/>
                <w:szCs w:val="20"/>
                <w:color w:val="auto"/>
              </w:rPr>
            </w:pPr>
            <w:r>
              <w:rPr>
                <w:rFonts w:ascii="Arial" w:cs="Arial" w:eastAsia="Arial" w:hAnsi="Arial"/>
                <w:sz w:val="18"/>
                <w:szCs w:val="18"/>
                <w:color w:val="auto"/>
              </w:rPr>
              <w:t>4.5%</w:t>
            </w:r>
          </w:p>
        </w:tc>
        <w:tc>
          <w:tcPr>
            <w:tcW w:w="2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right"/>
              <w:spacing w:after="0" w:line="200" w:lineRule="exact"/>
              <w:rPr>
                <w:sz w:val="20"/>
                <w:szCs w:val="20"/>
                <w:color w:val="auto"/>
              </w:rPr>
            </w:pPr>
            <w:r>
              <w:rPr>
                <w:rFonts w:ascii="Arial" w:cs="Arial" w:eastAsia="Arial" w:hAnsi="Arial"/>
                <w:sz w:val="18"/>
                <w:szCs w:val="18"/>
                <w:color w:val="auto"/>
              </w:rPr>
              <w:t>1.2%</w:t>
            </w:r>
          </w:p>
        </w:tc>
      </w:tr>
      <w:tr>
        <w:trPr>
          <w:trHeight w:val="227"/>
        </w:trPr>
        <w:tc>
          <w:tcPr>
            <w:tcW w:w="3900" w:type="dxa"/>
            <w:vAlign w:val="bottom"/>
            <w:gridSpan w:val="2"/>
          </w:tcPr>
          <w:p>
            <w:pPr>
              <w:ind w:left="160"/>
              <w:spacing w:after="0"/>
              <w:rPr>
                <w:sz w:val="20"/>
                <w:szCs w:val="20"/>
                <w:color w:val="auto"/>
              </w:rPr>
            </w:pPr>
            <w:r>
              <w:rPr>
                <w:rFonts w:ascii="Arial" w:cs="Arial" w:eastAsia="Arial" w:hAnsi="Arial"/>
                <w:sz w:val="18"/>
                <w:szCs w:val="18"/>
                <w:color w:val="auto"/>
              </w:rPr>
              <w:t>25 basis point decrease</w:t>
            </w:r>
          </w:p>
        </w:tc>
        <w:tc>
          <w:tcPr>
            <w:tcW w:w="1280" w:type="dxa"/>
            <w:vAlign w:val="bottom"/>
          </w:tcPr>
          <w:p>
            <w:pPr>
              <w:jc w:val="right"/>
              <w:ind w:right="31"/>
              <w:spacing w:after="0"/>
              <w:rPr>
                <w:sz w:val="20"/>
                <w:szCs w:val="20"/>
                <w:color w:val="auto"/>
              </w:rPr>
            </w:pPr>
            <w:r>
              <w:rPr>
                <w:rFonts w:ascii="Arial" w:cs="Arial" w:eastAsia="Arial" w:hAnsi="Arial"/>
                <w:sz w:val="18"/>
                <w:szCs w:val="18"/>
                <w:color w:val="auto"/>
              </w:rPr>
              <w:t>(1.9)</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(1.9)</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(1.2)</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(1.2)</w:t>
            </w:r>
          </w:p>
        </w:tc>
      </w:tr>
    </w:tbl>
    <w:p>
      <w:pPr>
        <w:spacing w:after="0" w:line="228"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Interest rate sensitivity is a function of the repricing characteristics of the portfolio of assets and liabilities. These repricing characteristics are the time frames within which the interest-earning assets and interest-bearing liabilities are subject to change in interest rates either at replacement, repricing or maturity during the life of the instruments. Interest rate sensitivity management focuses on the maturity structure of assets and liabilities and their repricing characteristics during periods of changes in market interest rates. Effective interest rate sensitivity management seeks to ensure that both assets and liabilities respond to changes in interest rates on a net basis within an acceptable timeframe, thereby minimizing the effect of interest rate changes on net interest revenue.</w:t>
      </w:r>
    </w:p>
    <w:p>
      <w:pPr>
        <w:spacing w:after="0" w:line="190"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United may have some discretion in the extent and timing of deposit repricing depending upon the competitive pressures in the markets in which it operates. Changes in the mix of earning assets or supporting liabilities can either increase or decrease the net interest margin without affecting interest rate sensitivity. The interest rate spread between an asset and its supporting liability can vary significantly even when the timing of repricing for both the asset and the liability remains the same, due to the two instruments repricing according to different indices. This is commonly referred to as Basis risk.</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13970</wp:posOffset>
            </wp:positionV>
            <wp:extent cx="724789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7890" cy="8255"/>
                    </a:xfrm>
                    <a:prstGeom prst="rect">
                      <a:avLst/>
                    </a:prstGeom>
                    <a:noFill/>
                  </pic:spPr>
                </pic:pic>
              </a:graphicData>
            </a:graphic>
          </wp:anchor>
        </w:drawing>
      </w:r>
    </w:p>
    <w:p>
      <w:pPr>
        <w:sectPr>
          <w:pgSz w:w="11900" w:h="16838" w:orient="portrait"/>
          <w:cols w:equalWidth="0" w:num="1">
            <w:col w:w="11420"/>
          </w:cols>
          <w:pgMar w:left="240" w:top="674" w:right="239" w:bottom="1440" w:gutter="0" w:footer="0" w:header="0"/>
        </w:sectPr>
      </w:pPr>
    </w:p>
    <w:bookmarkStart w:id="61" w:name="page62"/>
    <w:bookmarkEnd w:id="61"/>
    <w:p>
      <w:pPr>
        <w:jc w:val="both"/>
        <w:spacing w:after="0" w:line="256" w:lineRule="auto"/>
        <w:rPr>
          <w:sz w:val="20"/>
          <w:szCs w:val="20"/>
          <w:color w:val="auto"/>
        </w:rPr>
      </w:pPr>
      <w:r>
        <w:rPr>
          <w:rFonts w:ascii="Arial" w:cs="Arial" w:eastAsia="Arial" w:hAnsi="Arial"/>
          <w:sz w:val="18"/>
          <w:szCs w:val="18"/>
          <w:color w:val="auto"/>
        </w:rPr>
        <w:t>In order to manage interest rate sensitivity, United periodically enters into off-balance sheet contracts that are considered derivative financial instruments. Derivative financial instruments can be a cost-effective and capital-effective means of modifying the repricing characteristics of on-balance sheet assets and liabilities. These contracts generally consist of interest rate swaps under which United pays a variable rate (or fixed rate, as may be the case) and receives a fixed rate (or variable rate, as may be the case).</w:t>
      </w:r>
    </w:p>
    <w:p>
      <w:pPr>
        <w:spacing w:after="0" w:line="21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United’s derivative financial instruments are classified as either cash flow or fair value hedges. The change in fair value of cash flow hedges is recognized in other comprehensive income. Fair value hedges recognize currently in earnings both the effect of the change in the fair value of the derivative financial instrument and the offsetting effect of the change in fair value of the hedged asset or liability associated with the particular risk of that asset or liability being hedged.</w:t>
      </w:r>
    </w:p>
    <w:p>
      <w:pPr>
        <w:spacing w:after="0" w:line="215"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In addition to derivative instruments, United uses a variety of balance sheet instruments to manage interest rate risk such as Investment Portfolio holdings, wholesale funding, and bank-issued deposits.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United’s active derivative contracts used for hedging purposes.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14 - Derivative Financial Instruments Designated as</w:t>
      </w:r>
    </w:p>
    <w:p>
      <w:pPr>
        <w:spacing w:after="0" w:line="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Hedges</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thousands)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900" w:type="dxa"/>
            <w:vAlign w:val="bottom"/>
            <w:vMerge w:val="restart"/>
          </w:tcPr>
          <w:p>
            <w:pPr>
              <w:ind w:left="360"/>
              <w:spacing w:after="0"/>
              <w:rPr>
                <w:sz w:val="20"/>
                <w:szCs w:val="20"/>
                <w:color w:val="auto"/>
              </w:rPr>
            </w:pPr>
            <w:r>
              <w:rPr>
                <w:rFonts w:ascii="Arial" w:cs="Arial" w:eastAsia="Arial" w:hAnsi="Arial"/>
                <w:sz w:val="14"/>
                <w:szCs w:val="14"/>
                <w:b w:val="1"/>
                <w:bCs w:val="1"/>
                <w:color w:val="auto"/>
              </w:rPr>
              <w:t>Type of Instrument</w:t>
            </w:r>
          </w:p>
        </w:tc>
        <w:tc>
          <w:tcPr>
            <w:tcW w:w="6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88"/>
              </w:rPr>
              <w:t>Hedge</w:t>
            </w:r>
          </w:p>
        </w:tc>
        <w:tc>
          <w:tcPr>
            <w:tcW w:w="80" w:type="dxa"/>
            <w:vAlign w:val="bottom"/>
          </w:tcPr>
          <w:p>
            <w:pPr>
              <w:spacing w:after="0"/>
              <w:rPr>
                <w:sz w:val="14"/>
                <w:szCs w:val="14"/>
                <w:color w:val="auto"/>
              </w:rPr>
            </w:pPr>
          </w:p>
        </w:tc>
        <w:tc>
          <w:tcPr>
            <w:tcW w:w="16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Hedged Item</w:t>
            </w:r>
          </w:p>
        </w:tc>
        <w:tc>
          <w:tcPr>
            <w:tcW w:w="80" w:type="dxa"/>
            <w:vAlign w:val="bottom"/>
          </w:tcPr>
          <w:p>
            <w:pPr>
              <w:spacing w:after="0"/>
              <w:rPr>
                <w:sz w:val="14"/>
                <w:szCs w:val="14"/>
                <w:color w:val="auto"/>
              </w:rPr>
            </w:pPr>
          </w:p>
        </w:tc>
        <w:tc>
          <w:tcPr>
            <w:tcW w:w="660" w:type="dxa"/>
            <w:vAlign w:val="bottom"/>
            <w:gridSpan w:val="2"/>
          </w:tcPr>
          <w:p>
            <w:pPr>
              <w:jc w:val="right"/>
              <w:ind w:right="49"/>
              <w:spacing w:after="0"/>
              <w:rPr>
                <w:sz w:val="20"/>
                <w:szCs w:val="20"/>
                <w:color w:val="auto"/>
              </w:rPr>
            </w:pPr>
            <w:r>
              <w:rPr>
                <w:rFonts w:ascii="Arial" w:cs="Arial" w:eastAsia="Arial" w:hAnsi="Arial"/>
                <w:sz w:val="14"/>
                <w:szCs w:val="14"/>
                <w:b w:val="1"/>
                <w:bCs w:val="1"/>
                <w:color w:val="auto"/>
              </w:rPr>
              <w:t>Current</w:t>
            </w:r>
          </w:p>
        </w:tc>
        <w:tc>
          <w:tcPr>
            <w:tcW w:w="80" w:type="dxa"/>
            <w:vAlign w:val="bottom"/>
          </w:tcPr>
          <w:p>
            <w:pPr>
              <w:spacing w:after="0"/>
              <w:rPr>
                <w:sz w:val="14"/>
                <w:szCs w:val="14"/>
                <w:color w:val="auto"/>
              </w:rPr>
            </w:pPr>
          </w:p>
        </w:tc>
        <w:tc>
          <w:tcPr>
            <w:tcW w:w="540" w:type="dxa"/>
            <w:vAlign w:val="bottom"/>
          </w:tcPr>
          <w:p>
            <w:pPr>
              <w:jc w:val="center"/>
              <w:spacing w:after="0"/>
              <w:rPr>
                <w:sz w:val="20"/>
                <w:szCs w:val="20"/>
                <w:color w:val="auto"/>
              </w:rPr>
            </w:pPr>
            <w:r>
              <w:rPr>
                <w:rFonts w:ascii="Arial" w:cs="Arial" w:eastAsia="Arial" w:hAnsi="Arial"/>
                <w:sz w:val="14"/>
                <w:szCs w:val="14"/>
                <w:b w:val="1"/>
                <w:bCs w:val="1"/>
                <w:color w:val="auto"/>
                <w:w w:val="94"/>
              </w:rPr>
              <w:t>Trade</w:t>
            </w:r>
          </w:p>
        </w:tc>
        <w:tc>
          <w:tcPr>
            <w:tcW w:w="80" w:type="dxa"/>
            <w:vAlign w:val="bottom"/>
          </w:tcPr>
          <w:p>
            <w:pPr>
              <w:spacing w:after="0"/>
              <w:rPr>
                <w:sz w:val="14"/>
                <w:szCs w:val="14"/>
                <w:color w:val="auto"/>
              </w:rPr>
            </w:pPr>
          </w:p>
        </w:tc>
        <w:tc>
          <w:tcPr>
            <w:tcW w:w="580" w:type="dxa"/>
            <w:vAlign w:val="bottom"/>
          </w:tcPr>
          <w:p>
            <w:pPr>
              <w:ind w:left="40"/>
              <w:spacing w:after="0"/>
              <w:rPr>
                <w:sz w:val="20"/>
                <w:szCs w:val="20"/>
                <w:color w:val="auto"/>
              </w:rPr>
            </w:pPr>
            <w:r>
              <w:rPr>
                <w:rFonts w:ascii="Arial" w:cs="Arial" w:eastAsia="Arial" w:hAnsi="Arial"/>
                <w:sz w:val="14"/>
                <w:szCs w:val="14"/>
                <w:b w:val="1"/>
                <w:bCs w:val="1"/>
                <w:color w:val="auto"/>
                <w:w w:val="89"/>
              </w:rPr>
              <w:t>Effective</w:t>
            </w:r>
          </w:p>
        </w:tc>
        <w:tc>
          <w:tcPr>
            <w:tcW w:w="80" w:type="dxa"/>
            <w:vAlign w:val="bottom"/>
          </w:tcPr>
          <w:p>
            <w:pPr>
              <w:spacing w:after="0"/>
              <w:rPr>
                <w:sz w:val="14"/>
                <w:szCs w:val="14"/>
                <w:color w:val="auto"/>
              </w:rPr>
            </w:pPr>
          </w:p>
        </w:tc>
        <w:tc>
          <w:tcPr>
            <w:tcW w:w="600" w:type="dxa"/>
            <w:vAlign w:val="bottom"/>
          </w:tcPr>
          <w:p>
            <w:pPr>
              <w:ind w:left="40"/>
              <w:spacing w:after="0"/>
              <w:rPr>
                <w:sz w:val="20"/>
                <w:szCs w:val="20"/>
                <w:color w:val="auto"/>
              </w:rPr>
            </w:pPr>
            <w:r>
              <w:rPr>
                <w:rFonts w:ascii="Arial" w:cs="Arial" w:eastAsia="Arial" w:hAnsi="Arial"/>
                <w:sz w:val="14"/>
                <w:szCs w:val="14"/>
                <w:b w:val="1"/>
                <w:bCs w:val="1"/>
                <w:color w:val="auto"/>
                <w:w w:val="99"/>
              </w:rPr>
              <w:t>Maturity</w:t>
            </w:r>
          </w:p>
        </w:tc>
        <w:tc>
          <w:tcPr>
            <w:tcW w:w="80" w:type="dxa"/>
            <w:vAlign w:val="bottom"/>
          </w:tcPr>
          <w:p>
            <w:pPr>
              <w:spacing w:after="0"/>
              <w:rPr>
                <w:sz w:val="14"/>
                <w:szCs w:val="14"/>
                <w:color w:val="auto"/>
              </w:rPr>
            </w:pPr>
          </w:p>
        </w:tc>
        <w:tc>
          <w:tcPr>
            <w:tcW w:w="1480" w:type="dxa"/>
            <w:vAlign w:val="bottom"/>
            <w:vMerge w:val="restart"/>
          </w:tcPr>
          <w:p>
            <w:pPr>
              <w:jc w:val="right"/>
              <w:ind w:right="369"/>
              <w:spacing w:after="0"/>
              <w:rPr>
                <w:sz w:val="20"/>
                <w:szCs w:val="20"/>
                <w:color w:val="auto"/>
              </w:rPr>
            </w:pPr>
            <w:r>
              <w:rPr>
                <w:rFonts w:ascii="Arial" w:cs="Arial" w:eastAsia="Arial" w:hAnsi="Arial"/>
                <w:sz w:val="14"/>
                <w:szCs w:val="14"/>
                <w:b w:val="1"/>
                <w:bCs w:val="1"/>
                <w:color w:val="auto"/>
              </w:rPr>
              <w:t>Pay Rate</w:t>
            </w:r>
          </w:p>
        </w:tc>
        <w:tc>
          <w:tcPr>
            <w:tcW w:w="80" w:type="dxa"/>
            <w:vAlign w:val="bottom"/>
          </w:tcPr>
          <w:p>
            <w:pPr>
              <w:spacing w:after="0"/>
              <w:rPr>
                <w:sz w:val="14"/>
                <w:szCs w:val="14"/>
                <w:color w:val="auto"/>
              </w:rPr>
            </w:pPr>
          </w:p>
        </w:tc>
        <w:tc>
          <w:tcPr>
            <w:tcW w:w="1160" w:type="dxa"/>
            <w:vAlign w:val="bottom"/>
            <w:vMerge w:val="restart"/>
          </w:tcPr>
          <w:p>
            <w:pPr>
              <w:ind w:left="220"/>
              <w:spacing w:after="0"/>
              <w:rPr>
                <w:sz w:val="20"/>
                <w:szCs w:val="20"/>
                <w:color w:val="auto"/>
              </w:rPr>
            </w:pPr>
            <w:r>
              <w:rPr>
                <w:rFonts w:ascii="Arial" w:cs="Arial" w:eastAsia="Arial" w:hAnsi="Arial"/>
                <w:sz w:val="14"/>
                <w:szCs w:val="14"/>
                <w:b w:val="1"/>
                <w:bCs w:val="1"/>
                <w:color w:val="auto"/>
              </w:rPr>
              <w:t>Receive Rate</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5"/>
          </w:tcPr>
          <w:p>
            <w:pPr>
              <w:jc w:val="right"/>
              <w:ind w:right="189"/>
              <w:spacing w:after="0"/>
              <w:rPr>
                <w:sz w:val="20"/>
                <w:szCs w:val="20"/>
                <w:color w:val="auto"/>
              </w:rPr>
            </w:pPr>
            <w:r>
              <w:rPr>
                <w:rFonts w:ascii="Arial" w:cs="Arial" w:eastAsia="Arial" w:hAnsi="Arial"/>
                <w:sz w:val="14"/>
                <w:szCs w:val="14"/>
                <w:b w:val="1"/>
                <w:bCs w:val="1"/>
                <w:color w:val="auto"/>
              </w:rPr>
              <w:t xml:space="preserve">Fair Value </w:t>
            </w:r>
            <w:r>
              <w:rPr>
                <w:rFonts w:ascii="Arial" w:cs="Arial" w:eastAsia="Arial" w:hAnsi="Arial"/>
                <w:sz w:val="9"/>
                <w:szCs w:val="9"/>
                <w:color w:val="auto"/>
              </w:rPr>
              <w:t>(D)</w:t>
            </w:r>
          </w:p>
        </w:tc>
        <w:tc>
          <w:tcPr>
            <w:tcW w:w="0" w:type="dxa"/>
            <w:vAlign w:val="bottom"/>
          </w:tcPr>
          <w:p>
            <w:pPr>
              <w:spacing w:after="0"/>
              <w:rPr>
                <w:sz w:val="1"/>
                <w:szCs w:val="1"/>
                <w:color w:val="auto"/>
              </w:rPr>
            </w:pPr>
          </w:p>
        </w:tc>
      </w:tr>
      <w:tr>
        <w:trPr>
          <w:trHeight w:val="177"/>
        </w:trPr>
        <w:tc>
          <w:tcPr>
            <w:tcW w:w="1900" w:type="dxa"/>
            <w:vAlign w:val="bottom"/>
            <w:tcBorders>
              <w:bottom w:val="single" w:sz="8" w:color="auto"/>
            </w:tcBorders>
            <w:vMerge w:val="continue"/>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Designation</w:t>
            </w:r>
          </w:p>
        </w:tc>
        <w:tc>
          <w:tcPr>
            <w:tcW w:w="80" w:type="dxa"/>
            <w:vAlign w:val="bottom"/>
          </w:tcPr>
          <w:p>
            <w:pPr>
              <w:spacing w:after="0"/>
              <w:rPr>
                <w:sz w:val="15"/>
                <w:szCs w:val="15"/>
                <w:color w:val="auto"/>
              </w:rPr>
            </w:pPr>
          </w:p>
        </w:tc>
        <w:tc>
          <w:tcPr>
            <w:tcW w:w="1660" w:type="dxa"/>
            <w:vAlign w:val="bottom"/>
            <w:tcBorders>
              <w:bottom w:val="single" w:sz="8" w:color="auto"/>
            </w:tcBorders>
            <w:vMerge w:val="continue"/>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Borders>
              <w:bottom w:val="single" w:sz="8" w:color="auto"/>
            </w:tcBorders>
            <w:gridSpan w:val="2"/>
          </w:tcPr>
          <w:p>
            <w:pPr>
              <w:jc w:val="right"/>
              <w:ind w:right="29"/>
              <w:spacing w:after="0"/>
              <w:rPr>
                <w:sz w:val="20"/>
                <w:szCs w:val="20"/>
                <w:color w:val="auto"/>
              </w:rPr>
            </w:pPr>
            <w:r>
              <w:rPr>
                <w:rFonts w:ascii="Arial" w:cs="Arial" w:eastAsia="Arial" w:hAnsi="Arial"/>
                <w:sz w:val="14"/>
                <w:szCs w:val="14"/>
                <w:b w:val="1"/>
                <w:bCs w:val="1"/>
                <w:color w:val="auto"/>
                <w:w w:val="96"/>
              </w:rPr>
              <w:t>Notional</w:t>
            </w:r>
          </w:p>
        </w:tc>
        <w:tc>
          <w:tcPr>
            <w:tcW w:w="80" w:type="dxa"/>
            <w:vAlign w:val="bottom"/>
          </w:tcPr>
          <w:p>
            <w:pPr>
              <w:spacing w:after="0"/>
              <w:rPr>
                <w:sz w:val="15"/>
                <w:szCs w:val="15"/>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c>
          <w:tcPr>
            <w:tcW w:w="80" w:type="dxa"/>
            <w:vAlign w:val="bottom"/>
          </w:tcPr>
          <w:p>
            <w:pPr>
              <w:spacing w:after="0"/>
              <w:rPr>
                <w:sz w:val="15"/>
                <w:szCs w:val="15"/>
                <w:color w:val="auto"/>
              </w:rPr>
            </w:pPr>
          </w:p>
        </w:tc>
        <w:tc>
          <w:tcPr>
            <w:tcW w:w="58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Date</w:t>
            </w:r>
          </w:p>
        </w:tc>
        <w:tc>
          <w:tcPr>
            <w:tcW w:w="80" w:type="dxa"/>
            <w:vAlign w:val="bottom"/>
          </w:tcPr>
          <w:p>
            <w:pPr>
              <w:spacing w:after="0"/>
              <w:rPr>
                <w:sz w:val="15"/>
                <w:szCs w:val="15"/>
                <w:color w:val="auto"/>
              </w:rPr>
            </w:pPr>
          </w:p>
        </w:tc>
        <w:tc>
          <w:tcPr>
            <w:tcW w:w="60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Date</w:t>
            </w:r>
          </w:p>
        </w:tc>
        <w:tc>
          <w:tcPr>
            <w:tcW w:w="80" w:type="dxa"/>
            <w:vAlign w:val="bottom"/>
          </w:tcPr>
          <w:p>
            <w:pPr>
              <w:spacing w:after="0"/>
              <w:rPr>
                <w:sz w:val="15"/>
                <w:szCs w:val="15"/>
                <w:color w:val="auto"/>
              </w:rPr>
            </w:pPr>
          </w:p>
        </w:tc>
        <w:tc>
          <w:tcPr>
            <w:tcW w:w="1480" w:type="dxa"/>
            <w:vAlign w:val="bottom"/>
            <w:tcBorders>
              <w:bottom w:val="single" w:sz="8" w:color="auto"/>
            </w:tcBorders>
            <w:vMerge w:val="continue"/>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tcBorders>
              <w:bottom w:val="single" w:sz="8" w:color="auto"/>
            </w:tcBorders>
            <w:vMerge w:val="continue"/>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w w:val="94"/>
              </w:rPr>
              <w:t>Asset</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b w:val="1"/>
                <w:bCs w:val="1"/>
                <w:color w:val="auto"/>
                <w:w w:val="98"/>
              </w:rPr>
              <w:t>Liability</w:t>
            </w:r>
          </w:p>
        </w:tc>
        <w:tc>
          <w:tcPr>
            <w:tcW w:w="0" w:type="dxa"/>
            <w:vAlign w:val="bottom"/>
          </w:tcPr>
          <w:p>
            <w:pPr>
              <w:spacing w:after="0"/>
              <w:rPr>
                <w:sz w:val="1"/>
                <w:szCs w:val="1"/>
                <w:color w:val="auto"/>
              </w:rPr>
            </w:pPr>
          </w:p>
        </w:tc>
      </w:tr>
      <w:tr>
        <w:trPr>
          <w:trHeight w:val="276"/>
        </w:trPr>
        <w:tc>
          <w:tcPr>
            <w:tcW w:w="1900" w:type="dxa"/>
            <w:vAlign w:val="bottom"/>
          </w:tcPr>
          <w:p>
            <w:pPr>
              <w:spacing w:after="0"/>
              <w:rPr>
                <w:sz w:val="20"/>
                <w:szCs w:val="20"/>
                <w:color w:val="auto"/>
              </w:rPr>
            </w:pPr>
            <w:r>
              <w:rPr>
                <w:rFonts w:ascii="Arial" w:cs="Arial" w:eastAsia="Arial" w:hAnsi="Arial"/>
                <w:sz w:val="14"/>
                <w:szCs w:val="14"/>
                <w:color w:val="auto"/>
                <w:w w:val="91"/>
              </w:rPr>
              <w:t>Receive Fixed Cancellable Swap</w:t>
            </w:r>
          </w:p>
        </w:tc>
        <w:tc>
          <w:tcPr>
            <w:tcW w:w="60" w:type="dxa"/>
            <w:vAlign w:val="bottom"/>
          </w:tcPr>
          <w:p>
            <w:pPr>
              <w:spacing w:after="0"/>
              <w:rPr>
                <w:sz w:val="24"/>
                <w:szCs w:val="24"/>
                <w:color w:val="auto"/>
              </w:rPr>
            </w:pPr>
          </w:p>
        </w:tc>
        <w:tc>
          <w:tcPr>
            <w:tcW w:w="760" w:type="dxa"/>
            <w:vAlign w:val="bottom"/>
          </w:tcPr>
          <w:p>
            <w:pPr>
              <w:jc w:val="center"/>
              <w:spacing w:after="0"/>
              <w:rPr>
                <w:sz w:val="20"/>
                <w:szCs w:val="20"/>
                <w:color w:val="auto"/>
              </w:rPr>
            </w:pPr>
            <w:r>
              <w:rPr>
                <w:rFonts w:ascii="Arial" w:cs="Arial" w:eastAsia="Arial" w:hAnsi="Arial"/>
                <w:sz w:val="14"/>
                <w:szCs w:val="14"/>
                <w:color w:val="auto"/>
                <w:w w:val="93"/>
              </w:rPr>
              <w:t>Fair Value</w:t>
            </w:r>
          </w:p>
        </w:tc>
        <w:tc>
          <w:tcPr>
            <w:tcW w:w="80" w:type="dxa"/>
            <w:vAlign w:val="bottom"/>
          </w:tcPr>
          <w:p>
            <w:pPr>
              <w:spacing w:after="0"/>
              <w:rPr>
                <w:sz w:val="24"/>
                <w:szCs w:val="24"/>
                <w:color w:val="auto"/>
              </w:rPr>
            </w:pPr>
          </w:p>
        </w:tc>
        <w:tc>
          <w:tcPr>
            <w:tcW w:w="1660" w:type="dxa"/>
            <w:vAlign w:val="bottom"/>
          </w:tcPr>
          <w:p>
            <w:pPr>
              <w:jc w:val="center"/>
              <w:spacing w:after="0"/>
              <w:rPr>
                <w:sz w:val="20"/>
                <w:szCs w:val="20"/>
                <w:color w:val="auto"/>
              </w:rPr>
            </w:pPr>
            <w:r>
              <w:rPr>
                <w:rFonts w:ascii="Arial" w:cs="Arial" w:eastAsia="Arial" w:hAnsi="Arial"/>
                <w:sz w:val="14"/>
                <w:szCs w:val="14"/>
                <w:color w:val="auto"/>
                <w:w w:val="96"/>
              </w:rPr>
              <w:t>Brokered CD</w:t>
            </w: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60" w:type="dxa"/>
            <w:vAlign w:val="bottom"/>
          </w:tcPr>
          <w:p>
            <w:pPr>
              <w:jc w:val="right"/>
              <w:ind w:right="9"/>
              <w:spacing w:after="0"/>
              <w:rPr>
                <w:sz w:val="20"/>
                <w:szCs w:val="20"/>
                <w:color w:val="auto"/>
              </w:rPr>
            </w:pPr>
            <w:r>
              <w:rPr>
                <w:rFonts w:ascii="Arial" w:cs="Arial" w:eastAsia="Arial" w:hAnsi="Arial"/>
                <w:sz w:val="14"/>
                <w:szCs w:val="14"/>
                <w:color w:val="auto"/>
              </w:rPr>
              <w:t>15,000</w:t>
            </w:r>
          </w:p>
        </w:tc>
        <w:tc>
          <w:tcPr>
            <w:tcW w:w="620" w:type="dxa"/>
            <w:vAlign w:val="bottom"/>
            <w:gridSpan w:val="2"/>
          </w:tcPr>
          <w:p>
            <w:pPr>
              <w:jc w:val="center"/>
              <w:ind w:left="9"/>
              <w:spacing w:after="0"/>
              <w:rPr>
                <w:sz w:val="20"/>
                <w:szCs w:val="20"/>
                <w:color w:val="auto"/>
              </w:rPr>
            </w:pPr>
            <w:r>
              <w:rPr>
                <w:rFonts w:ascii="Arial" w:cs="Arial" w:eastAsia="Arial" w:hAnsi="Arial"/>
                <w:sz w:val="14"/>
                <w:szCs w:val="14"/>
                <w:color w:val="auto"/>
                <w:w w:val="91"/>
              </w:rPr>
              <w:t>10/12/11</w:t>
            </w:r>
          </w:p>
        </w:tc>
        <w:tc>
          <w:tcPr>
            <w:tcW w:w="660" w:type="dxa"/>
            <w:vAlign w:val="bottom"/>
            <w:gridSpan w:val="2"/>
          </w:tcPr>
          <w:p>
            <w:pPr>
              <w:ind w:left="120"/>
              <w:spacing w:after="0"/>
              <w:rPr>
                <w:sz w:val="20"/>
                <w:szCs w:val="20"/>
                <w:color w:val="auto"/>
              </w:rPr>
            </w:pPr>
            <w:r>
              <w:rPr>
                <w:rFonts w:ascii="Arial" w:cs="Arial" w:eastAsia="Arial" w:hAnsi="Arial"/>
                <w:sz w:val="14"/>
                <w:szCs w:val="14"/>
                <w:color w:val="auto"/>
                <w:w w:val="95"/>
              </w:rPr>
              <w:t>11/10/11</w:t>
            </w:r>
          </w:p>
        </w:tc>
        <w:tc>
          <w:tcPr>
            <w:tcW w:w="80" w:type="dxa"/>
            <w:vAlign w:val="bottom"/>
          </w:tcPr>
          <w:p>
            <w:pPr>
              <w:spacing w:after="0"/>
              <w:rPr>
                <w:sz w:val="24"/>
                <w:szCs w:val="24"/>
                <w:color w:val="auto"/>
              </w:rPr>
            </w:pPr>
          </w:p>
        </w:tc>
        <w:tc>
          <w:tcPr>
            <w:tcW w:w="2160" w:type="dxa"/>
            <w:vAlign w:val="bottom"/>
            <w:gridSpan w:val="3"/>
          </w:tcPr>
          <w:p>
            <w:pPr>
              <w:ind w:left="40"/>
              <w:spacing w:after="0"/>
              <w:rPr>
                <w:sz w:val="20"/>
                <w:szCs w:val="20"/>
                <w:color w:val="auto"/>
              </w:rPr>
            </w:pPr>
            <w:r>
              <w:rPr>
                <w:rFonts w:ascii="Arial" w:cs="Arial" w:eastAsia="Arial" w:hAnsi="Arial"/>
                <w:sz w:val="14"/>
                <w:szCs w:val="14"/>
                <w:color w:val="auto"/>
              </w:rPr>
              <w:t>11/10/31   3 mo. LIBOR - 60 bps</w:t>
            </w:r>
          </w:p>
        </w:tc>
        <w:tc>
          <w:tcPr>
            <w:tcW w:w="80" w:type="dxa"/>
            <w:vAlign w:val="bottom"/>
          </w:tcPr>
          <w:p>
            <w:pPr>
              <w:spacing w:after="0"/>
              <w:rPr>
                <w:sz w:val="24"/>
                <w:szCs w:val="24"/>
                <w:color w:val="auto"/>
              </w:rPr>
            </w:pPr>
          </w:p>
        </w:tc>
        <w:tc>
          <w:tcPr>
            <w:tcW w:w="1160" w:type="dxa"/>
            <w:vAlign w:val="bottom"/>
          </w:tcPr>
          <w:p>
            <w:pPr>
              <w:jc w:val="center"/>
              <w:spacing w:after="0"/>
              <w:rPr>
                <w:sz w:val="20"/>
                <w:szCs w:val="20"/>
                <w:color w:val="auto"/>
              </w:rPr>
            </w:pPr>
            <w:r>
              <w:rPr>
                <w:rFonts w:ascii="Arial" w:cs="Arial" w:eastAsia="Arial" w:hAnsi="Arial"/>
                <w:sz w:val="14"/>
                <w:szCs w:val="14"/>
                <w:color w:val="auto"/>
                <w:w w:val="91"/>
              </w:rPr>
              <w:t xml:space="preserve">Steepener </w:t>
            </w:r>
            <w:r>
              <w:rPr>
                <w:rFonts w:ascii="Arial" w:cs="Arial" w:eastAsia="Arial" w:hAnsi="Arial"/>
                <w:sz w:val="9"/>
                <w:szCs w:val="9"/>
                <w:color w:val="auto"/>
                <w:w w:val="91"/>
              </w:rPr>
              <w:t>(A)</w:t>
            </w: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4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8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29"/>
              <w:spacing w:after="0"/>
              <w:rPr>
                <w:sz w:val="20"/>
                <w:szCs w:val="20"/>
                <w:color w:val="auto"/>
              </w:rPr>
            </w:pPr>
            <w:r>
              <w:rPr>
                <w:rFonts w:ascii="Arial" w:cs="Arial" w:eastAsia="Arial" w:hAnsi="Arial"/>
                <w:sz w:val="14"/>
                <w:szCs w:val="14"/>
                <w:color w:val="auto"/>
              </w:rPr>
              <w:t>1,901</w:t>
            </w:r>
          </w:p>
        </w:tc>
        <w:tc>
          <w:tcPr>
            <w:tcW w:w="0" w:type="dxa"/>
            <w:vAlign w:val="bottom"/>
          </w:tcPr>
          <w:p>
            <w:pPr>
              <w:spacing w:after="0"/>
              <w:rPr>
                <w:sz w:val="1"/>
                <w:szCs w:val="1"/>
                <w:color w:val="auto"/>
              </w:rPr>
            </w:pPr>
          </w:p>
        </w:tc>
      </w:tr>
      <w:tr>
        <w:trPr>
          <w:trHeight w:val="147"/>
        </w:trPr>
        <w:tc>
          <w:tcPr>
            <w:tcW w:w="1900" w:type="dxa"/>
            <w:vAlign w:val="bottom"/>
          </w:tcPr>
          <w:p>
            <w:pPr>
              <w:spacing w:after="0" w:line="147" w:lineRule="exact"/>
              <w:rPr>
                <w:sz w:val="20"/>
                <w:szCs w:val="20"/>
                <w:color w:val="auto"/>
              </w:rPr>
            </w:pPr>
            <w:r>
              <w:rPr>
                <w:rFonts w:ascii="Arial" w:cs="Arial" w:eastAsia="Arial" w:hAnsi="Arial"/>
                <w:sz w:val="14"/>
                <w:szCs w:val="14"/>
                <w:color w:val="auto"/>
                <w:w w:val="91"/>
              </w:rPr>
              <w:t>Receive Fixed Cancellable Swap</w:t>
            </w:r>
          </w:p>
        </w:tc>
        <w:tc>
          <w:tcPr>
            <w:tcW w:w="60" w:type="dxa"/>
            <w:vAlign w:val="bottom"/>
          </w:tcPr>
          <w:p>
            <w:pPr>
              <w:spacing w:after="0"/>
              <w:rPr>
                <w:sz w:val="12"/>
                <w:szCs w:val="12"/>
                <w:color w:val="auto"/>
              </w:rPr>
            </w:pPr>
          </w:p>
        </w:tc>
        <w:tc>
          <w:tcPr>
            <w:tcW w:w="760" w:type="dxa"/>
            <w:vAlign w:val="bottom"/>
          </w:tcPr>
          <w:p>
            <w:pPr>
              <w:jc w:val="center"/>
              <w:spacing w:after="0" w:line="147" w:lineRule="exact"/>
              <w:rPr>
                <w:sz w:val="20"/>
                <w:szCs w:val="20"/>
                <w:color w:val="auto"/>
              </w:rPr>
            </w:pPr>
            <w:r>
              <w:rPr>
                <w:rFonts w:ascii="Arial" w:cs="Arial" w:eastAsia="Arial" w:hAnsi="Arial"/>
                <w:sz w:val="14"/>
                <w:szCs w:val="14"/>
                <w:color w:val="auto"/>
                <w:w w:val="93"/>
              </w:rPr>
              <w:t>Fair Value</w:t>
            </w:r>
          </w:p>
        </w:tc>
        <w:tc>
          <w:tcPr>
            <w:tcW w:w="80" w:type="dxa"/>
            <w:vAlign w:val="bottom"/>
          </w:tcPr>
          <w:p>
            <w:pPr>
              <w:spacing w:after="0"/>
              <w:rPr>
                <w:sz w:val="12"/>
                <w:szCs w:val="12"/>
                <w:color w:val="auto"/>
              </w:rPr>
            </w:pPr>
          </w:p>
        </w:tc>
        <w:tc>
          <w:tcPr>
            <w:tcW w:w="1660" w:type="dxa"/>
            <w:vAlign w:val="bottom"/>
          </w:tcPr>
          <w:p>
            <w:pPr>
              <w:jc w:val="center"/>
              <w:spacing w:after="0" w:line="147" w:lineRule="exact"/>
              <w:rPr>
                <w:sz w:val="20"/>
                <w:szCs w:val="20"/>
                <w:color w:val="auto"/>
              </w:rPr>
            </w:pPr>
            <w:r>
              <w:rPr>
                <w:rFonts w:ascii="Arial" w:cs="Arial" w:eastAsia="Arial" w:hAnsi="Arial"/>
                <w:sz w:val="14"/>
                <w:szCs w:val="14"/>
                <w:color w:val="auto"/>
                <w:w w:val="96"/>
              </w:rPr>
              <w:t>Brokered CD</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ind w:right="9"/>
              <w:spacing w:after="0" w:line="147" w:lineRule="exact"/>
              <w:rPr>
                <w:sz w:val="20"/>
                <w:szCs w:val="20"/>
                <w:color w:val="auto"/>
              </w:rPr>
            </w:pPr>
            <w:r>
              <w:rPr>
                <w:rFonts w:ascii="Arial" w:cs="Arial" w:eastAsia="Arial" w:hAnsi="Arial"/>
                <w:sz w:val="14"/>
                <w:szCs w:val="14"/>
                <w:color w:val="auto"/>
              </w:rPr>
              <w:t>17,000</w:t>
            </w:r>
          </w:p>
        </w:tc>
        <w:tc>
          <w:tcPr>
            <w:tcW w:w="620" w:type="dxa"/>
            <w:vAlign w:val="bottom"/>
            <w:gridSpan w:val="2"/>
          </w:tcPr>
          <w:p>
            <w:pPr>
              <w:jc w:val="center"/>
              <w:ind w:left="9"/>
              <w:spacing w:after="0" w:line="147" w:lineRule="exact"/>
              <w:rPr>
                <w:sz w:val="20"/>
                <w:szCs w:val="20"/>
                <w:color w:val="auto"/>
              </w:rPr>
            </w:pPr>
            <w:r>
              <w:rPr>
                <w:rFonts w:ascii="Arial" w:cs="Arial" w:eastAsia="Arial" w:hAnsi="Arial"/>
                <w:sz w:val="14"/>
                <w:szCs w:val="14"/>
                <w:color w:val="auto"/>
                <w:w w:val="91"/>
              </w:rPr>
              <w:t>02/14/12</w:t>
            </w:r>
          </w:p>
        </w:tc>
        <w:tc>
          <w:tcPr>
            <w:tcW w:w="660" w:type="dxa"/>
            <w:vAlign w:val="bottom"/>
            <w:gridSpan w:val="2"/>
          </w:tcPr>
          <w:p>
            <w:pPr>
              <w:ind w:left="120"/>
              <w:spacing w:after="0" w:line="147" w:lineRule="exact"/>
              <w:rPr>
                <w:sz w:val="20"/>
                <w:szCs w:val="20"/>
                <w:color w:val="auto"/>
              </w:rPr>
            </w:pPr>
            <w:r>
              <w:rPr>
                <w:rFonts w:ascii="Arial" w:cs="Arial" w:eastAsia="Arial" w:hAnsi="Arial"/>
                <w:sz w:val="14"/>
                <w:szCs w:val="14"/>
                <w:color w:val="auto"/>
                <w:w w:val="95"/>
              </w:rPr>
              <w:t>02/27/12</w:t>
            </w:r>
          </w:p>
        </w:tc>
        <w:tc>
          <w:tcPr>
            <w:tcW w:w="80" w:type="dxa"/>
            <w:vAlign w:val="bottom"/>
          </w:tcPr>
          <w:p>
            <w:pPr>
              <w:spacing w:after="0"/>
              <w:rPr>
                <w:sz w:val="12"/>
                <w:szCs w:val="12"/>
                <w:color w:val="auto"/>
              </w:rPr>
            </w:pPr>
          </w:p>
        </w:tc>
        <w:tc>
          <w:tcPr>
            <w:tcW w:w="2160" w:type="dxa"/>
            <w:vAlign w:val="bottom"/>
            <w:gridSpan w:val="3"/>
          </w:tcPr>
          <w:p>
            <w:pPr>
              <w:ind w:left="40"/>
              <w:spacing w:after="0" w:line="147" w:lineRule="exact"/>
              <w:rPr>
                <w:sz w:val="20"/>
                <w:szCs w:val="20"/>
                <w:color w:val="auto"/>
              </w:rPr>
            </w:pPr>
            <w:r>
              <w:rPr>
                <w:rFonts w:ascii="Arial" w:cs="Arial" w:eastAsia="Arial" w:hAnsi="Arial"/>
                <w:sz w:val="14"/>
                <w:szCs w:val="14"/>
                <w:color w:val="auto"/>
              </w:rPr>
              <w:t>08/27/27   3 mo. LIBOR - 45 bps</w:t>
            </w:r>
          </w:p>
        </w:tc>
        <w:tc>
          <w:tcPr>
            <w:tcW w:w="80" w:type="dxa"/>
            <w:vAlign w:val="bottom"/>
          </w:tcPr>
          <w:p>
            <w:pPr>
              <w:spacing w:after="0"/>
              <w:rPr>
                <w:sz w:val="12"/>
                <w:szCs w:val="12"/>
                <w:color w:val="auto"/>
              </w:rPr>
            </w:pPr>
          </w:p>
        </w:tc>
        <w:tc>
          <w:tcPr>
            <w:tcW w:w="1160" w:type="dxa"/>
            <w:vAlign w:val="bottom"/>
          </w:tcPr>
          <w:p>
            <w:pPr>
              <w:jc w:val="center"/>
              <w:spacing w:after="0" w:line="147" w:lineRule="exact"/>
              <w:rPr>
                <w:sz w:val="20"/>
                <w:szCs w:val="20"/>
                <w:color w:val="auto"/>
              </w:rPr>
            </w:pPr>
            <w:r>
              <w:rPr>
                <w:rFonts w:ascii="Arial" w:cs="Arial" w:eastAsia="Arial" w:hAnsi="Arial"/>
                <w:sz w:val="14"/>
                <w:szCs w:val="14"/>
                <w:color w:val="auto"/>
                <w:w w:val="94"/>
              </w:rPr>
              <w:t xml:space="preserve">2.00% to 10.00% </w:t>
            </w:r>
            <w:r>
              <w:rPr>
                <w:rFonts w:ascii="Arial" w:cs="Arial" w:eastAsia="Arial" w:hAnsi="Arial"/>
                <w:sz w:val="9"/>
                <w:szCs w:val="9"/>
                <w:color w:val="auto"/>
                <w:w w:val="94"/>
              </w:rPr>
              <w:t>(B)</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gridSpan w:val="2"/>
          </w:tcPr>
          <w:p>
            <w:pPr>
              <w:jc w:val="right"/>
              <w:ind w:right="100"/>
              <w:spacing w:after="0" w:line="147"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ind w:right="29"/>
              <w:spacing w:after="0" w:line="147" w:lineRule="exact"/>
              <w:rPr>
                <w:sz w:val="20"/>
                <w:szCs w:val="20"/>
                <w:color w:val="auto"/>
              </w:rPr>
            </w:pPr>
            <w:r>
              <w:rPr>
                <w:rFonts w:ascii="Arial" w:cs="Arial" w:eastAsia="Arial" w:hAnsi="Arial"/>
                <w:sz w:val="14"/>
                <w:szCs w:val="14"/>
                <w:color w:val="auto"/>
              </w:rPr>
              <w:t>751</w:t>
            </w:r>
          </w:p>
        </w:tc>
        <w:tc>
          <w:tcPr>
            <w:tcW w:w="0" w:type="dxa"/>
            <w:vAlign w:val="bottom"/>
          </w:tcPr>
          <w:p>
            <w:pPr>
              <w:spacing w:after="0"/>
              <w:rPr>
                <w:sz w:val="1"/>
                <w:szCs w:val="1"/>
                <w:color w:val="auto"/>
              </w:rPr>
            </w:pPr>
          </w:p>
        </w:tc>
      </w:tr>
      <w:tr>
        <w:trPr>
          <w:trHeight w:val="147"/>
        </w:trPr>
        <w:tc>
          <w:tcPr>
            <w:tcW w:w="1900" w:type="dxa"/>
            <w:vAlign w:val="bottom"/>
          </w:tcPr>
          <w:p>
            <w:pPr>
              <w:spacing w:after="0" w:line="147" w:lineRule="exact"/>
              <w:rPr>
                <w:sz w:val="20"/>
                <w:szCs w:val="20"/>
                <w:color w:val="auto"/>
              </w:rPr>
            </w:pPr>
            <w:r>
              <w:rPr>
                <w:rFonts w:ascii="Arial" w:cs="Arial" w:eastAsia="Arial" w:hAnsi="Arial"/>
                <w:sz w:val="14"/>
                <w:szCs w:val="14"/>
                <w:color w:val="auto"/>
                <w:w w:val="91"/>
              </w:rPr>
              <w:t>Receive Fixed Cancellable Swap</w:t>
            </w:r>
          </w:p>
        </w:tc>
        <w:tc>
          <w:tcPr>
            <w:tcW w:w="60" w:type="dxa"/>
            <w:vAlign w:val="bottom"/>
          </w:tcPr>
          <w:p>
            <w:pPr>
              <w:spacing w:after="0"/>
              <w:rPr>
                <w:sz w:val="12"/>
                <w:szCs w:val="12"/>
                <w:color w:val="auto"/>
              </w:rPr>
            </w:pPr>
          </w:p>
        </w:tc>
        <w:tc>
          <w:tcPr>
            <w:tcW w:w="760" w:type="dxa"/>
            <w:vAlign w:val="bottom"/>
          </w:tcPr>
          <w:p>
            <w:pPr>
              <w:jc w:val="center"/>
              <w:spacing w:after="0" w:line="147" w:lineRule="exact"/>
              <w:rPr>
                <w:sz w:val="20"/>
                <w:szCs w:val="20"/>
                <w:color w:val="auto"/>
              </w:rPr>
            </w:pPr>
            <w:r>
              <w:rPr>
                <w:rFonts w:ascii="Arial" w:cs="Arial" w:eastAsia="Arial" w:hAnsi="Arial"/>
                <w:sz w:val="14"/>
                <w:szCs w:val="14"/>
                <w:color w:val="auto"/>
                <w:w w:val="93"/>
              </w:rPr>
              <w:t>Fair Value</w:t>
            </w:r>
          </w:p>
        </w:tc>
        <w:tc>
          <w:tcPr>
            <w:tcW w:w="80" w:type="dxa"/>
            <w:vAlign w:val="bottom"/>
          </w:tcPr>
          <w:p>
            <w:pPr>
              <w:spacing w:after="0"/>
              <w:rPr>
                <w:sz w:val="12"/>
                <w:szCs w:val="12"/>
                <w:color w:val="auto"/>
              </w:rPr>
            </w:pPr>
          </w:p>
        </w:tc>
        <w:tc>
          <w:tcPr>
            <w:tcW w:w="1660" w:type="dxa"/>
            <w:vAlign w:val="bottom"/>
          </w:tcPr>
          <w:p>
            <w:pPr>
              <w:jc w:val="center"/>
              <w:spacing w:after="0" w:line="147" w:lineRule="exact"/>
              <w:rPr>
                <w:sz w:val="20"/>
                <w:szCs w:val="20"/>
                <w:color w:val="auto"/>
              </w:rPr>
            </w:pPr>
            <w:r>
              <w:rPr>
                <w:rFonts w:ascii="Arial" w:cs="Arial" w:eastAsia="Arial" w:hAnsi="Arial"/>
                <w:sz w:val="14"/>
                <w:szCs w:val="14"/>
                <w:color w:val="auto"/>
                <w:w w:val="96"/>
              </w:rPr>
              <w:t>Brokered CD</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ind w:right="9"/>
              <w:spacing w:after="0" w:line="147" w:lineRule="exact"/>
              <w:rPr>
                <w:sz w:val="20"/>
                <w:szCs w:val="20"/>
                <w:color w:val="auto"/>
              </w:rPr>
            </w:pPr>
            <w:r>
              <w:rPr>
                <w:rFonts w:ascii="Arial" w:cs="Arial" w:eastAsia="Arial" w:hAnsi="Arial"/>
                <w:sz w:val="14"/>
                <w:szCs w:val="14"/>
                <w:color w:val="auto"/>
              </w:rPr>
              <w:t>15,500</w:t>
            </w:r>
          </w:p>
        </w:tc>
        <w:tc>
          <w:tcPr>
            <w:tcW w:w="620" w:type="dxa"/>
            <w:vAlign w:val="bottom"/>
            <w:gridSpan w:val="2"/>
          </w:tcPr>
          <w:p>
            <w:pPr>
              <w:jc w:val="center"/>
              <w:ind w:left="9"/>
              <w:spacing w:after="0" w:line="147" w:lineRule="exact"/>
              <w:rPr>
                <w:sz w:val="20"/>
                <w:szCs w:val="20"/>
                <w:color w:val="auto"/>
              </w:rPr>
            </w:pPr>
            <w:r>
              <w:rPr>
                <w:rFonts w:ascii="Arial" w:cs="Arial" w:eastAsia="Arial" w:hAnsi="Arial"/>
                <w:sz w:val="14"/>
                <w:szCs w:val="14"/>
                <w:color w:val="auto"/>
                <w:w w:val="91"/>
              </w:rPr>
              <w:t>03/05/12</w:t>
            </w:r>
          </w:p>
        </w:tc>
        <w:tc>
          <w:tcPr>
            <w:tcW w:w="660" w:type="dxa"/>
            <w:vAlign w:val="bottom"/>
            <w:gridSpan w:val="2"/>
          </w:tcPr>
          <w:p>
            <w:pPr>
              <w:ind w:left="120"/>
              <w:spacing w:after="0" w:line="147" w:lineRule="exact"/>
              <w:rPr>
                <w:sz w:val="20"/>
                <w:szCs w:val="20"/>
                <w:color w:val="auto"/>
              </w:rPr>
            </w:pPr>
            <w:r>
              <w:rPr>
                <w:rFonts w:ascii="Arial" w:cs="Arial" w:eastAsia="Arial" w:hAnsi="Arial"/>
                <w:sz w:val="14"/>
                <w:szCs w:val="14"/>
                <w:color w:val="auto"/>
                <w:w w:val="95"/>
              </w:rPr>
              <w:t>03/23/12</w:t>
            </w:r>
          </w:p>
        </w:tc>
        <w:tc>
          <w:tcPr>
            <w:tcW w:w="80" w:type="dxa"/>
            <w:vAlign w:val="bottom"/>
          </w:tcPr>
          <w:p>
            <w:pPr>
              <w:spacing w:after="0"/>
              <w:rPr>
                <w:sz w:val="12"/>
                <w:szCs w:val="12"/>
                <w:color w:val="auto"/>
              </w:rPr>
            </w:pPr>
          </w:p>
        </w:tc>
        <w:tc>
          <w:tcPr>
            <w:tcW w:w="2160" w:type="dxa"/>
            <w:vAlign w:val="bottom"/>
            <w:gridSpan w:val="3"/>
          </w:tcPr>
          <w:p>
            <w:pPr>
              <w:ind w:left="40"/>
              <w:spacing w:after="0" w:line="147" w:lineRule="exact"/>
              <w:rPr>
                <w:sz w:val="20"/>
                <w:szCs w:val="20"/>
                <w:color w:val="auto"/>
              </w:rPr>
            </w:pPr>
            <w:r>
              <w:rPr>
                <w:rFonts w:ascii="Arial" w:cs="Arial" w:eastAsia="Arial" w:hAnsi="Arial"/>
                <w:sz w:val="14"/>
                <w:szCs w:val="14"/>
                <w:color w:val="auto"/>
              </w:rPr>
              <w:t>09/23/27   3 mo. LIBOR - 45 bps</w:t>
            </w:r>
          </w:p>
        </w:tc>
        <w:tc>
          <w:tcPr>
            <w:tcW w:w="80" w:type="dxa"/>
            <w:vAlign w:val="bottom"/>
          </w:tcPr>
          <w:p>
            <w:pPr>
              <w:spacing w:after="0"/>
              <w:rPr>
                <w:sz w:val="12"/>
                <w:szCs w:val="12"/>
                <w:color w:val="auto"/>
              </w:rPr>
            </w:pPr>
          </w:p>
        </w:tc>
        <w:tc>
          <w:tcPr>
            <w:tcW w:w="1160" w:type="dxa"/>
            <w:vAlign w:val="bottom"/>
          </w:tcPr>
          <w:p>
            <w:pPr>
              <w:jc w:val="center"/>
              <w:spacing w:after="0" w:line="147" w:lineRule="exact"/>
              <w:rPr>
                <w:sz w:val="20"/>
                <w:szCs w:val="20"/>
                <w:color w:val="auto"/>
              </w:rPr>
            </w:pPr>
            <w:r>
              <w:rPr>
                <w:rFonts w:ascii="Arial" w:cs="Arial" w:eastAsia="Arial" w:hAnsi="Arial"/>
                <w:sz w:val="14"/>
                <w:szCs w:val="14"/>
                <w:color w:val="auto"/>
                <w:w w:val="94"/>
              </w:rPr>
              <w:t xml:space="preserve">2.25% to 10.00% </w:t>
            </w:r>
            <w:r>
              <w:rPr>
                <w:rFonts w:ascii="Arial" w:cs="Arial" w:eastAsia="Arial" w:hAnsi="Arial"/>
                <w:sz w:val="9"/>
                <w:szCs w:val="9"/>
                <w:color w:val="auto"/>
                <w:w w:val="94"/>
              </w:rPr>
              <w:t>(B)</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gridSpan w:val="2"/>
          </w:tcPr>
          <w:p>
            <w:pPr>
              <w:jc w:val="right"/>
              <w:ind w:right="100"/>
              <w:spacing w:after="0" w:line="147"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ind w:right="29"/>
              <w:spacing w:after="0" w:line="147" w:lineRule="exact"/>
              <w:rPr>
                <w:sz w:val="20"/>
                <w:szCs w:val="20"/>
                <w:color w:val="auto"/>
              </w:rPr>
            </w:pPr>
            <w:r>
              <w:rPr>
                <w:rFonts w:ascii="Arial" w:cs="Arial" w:eastAsia="Arial" w:hAnsi="Arial"/>
                <w:sz w:val="14"/>
                <w:szCs w:val="14"/>
                <w:color w:val="auto"/>
              </w:rPr>
              <w:t>651</w:t>
            </w:r>
          </w:p>
        </w:tc>
        <w:tc>
          <w:tcPr>
            <w:tcW w:w="0" w:type="dxa"/>
            <w:vAlign w:val="bottom"/>
          </w:tcPr>
          <w:p>
            <w:pPr>
              <w:spacing w:after="0"/>
              <w:rPr>
                <w:sz w:val="1"/>
                <w:szCs w:val="1"/>
                <w:color w:val="auto"/>
              </w:rPr>
            </w:pPr>
          </w:p>
        </w:tc>
      </w:tr>
      <w:tr>
        <w:trPr>
          <w:trHeight w:val="147"/>
        </w:trPr>
        <w:tc>
          <w:tcPr>
            <w:tcW w:w="1900" w:type="dxa"/>
            <w:vAlign w:val="bottom"/>
          </w:tcPr>
          <w:p>
            <w:pPr>
              <w:spacing w:after="0" w:line="147" w:lineRule="exact"/>
              <w:rPr>
                <w:sz w:val="20"/>
                <w:szCs w:val="20"/>
                <w:color w:val="auto"/>
              </w:rPr>
            </w:pPr>
            <w:r>
              <w:rPr>
                <w:rFonts w:ascii="Arial" w:cs="Arial" w:eastAsia="Arial" w:hAnsi="Arial"/>
                <w:sz w:val="14"/>
                <w:szCs w:val="14"/>
                <w:color w:val="auto"/>
                <w:w w:val="91"/>
              </w:rPr>
              <w:t>Receive Fixed Cancellable Swap</w:t>
            </w:r>
          </w:p>
        </w:tc>
        <w:tc>
          <w:tcPr>
            <w:tcW w:w="60" w:type="dxa"/>
            <w:vAlign w:val="bottom"/>
          </w:tcPr>
          <w:p>
            <w:pPr>
              <w:spacing w:after="0"/>
              <w:rPr>
                <w:sz w:val="12"/>
                <w:szCs w:val="12"/>
                <w:color w:val="auto"/>
              </w:rPr>
            </w:pPr>
          </w:p>
        </w:tc>
        <w:tc>
          <w:tcPr>
            <w:tcW w:w="760" w:type="dxa"/>
            <w:vAlign w:val="bottom"/>
          </w:tcPr>
          <w:p>
            <w:pPr>
              <w:jc w:val="center"/>
              <w:spacing w:after="0" w:line="147" w:lineRule="exact"/>
              <w:rPr>
                <w:sz w:val="20"/>
                <w:szCs w:val="20"/>
                <w:color w:val="auto"/>
              </w:rPr>
            </w:pPr>
            <w:r>
              <w:rPr>
                <w:rFonts w:ascii="Arial" w:cs="Arial" w:eastAsia="Arial" w:hAnsi="Arial"/>
                <w:sz w:val="14"/>
                <w:szCs w:val="14"/>
                <w:color w:val="auto"/>
                <w:w w:val="93"/>
              </w:rPr>
              <w:t>Fair Value</w:t>
            </w:r>
          </w:p>
        </w:tc>
        <w:tc>
          <w:tcPr>
            <w:tcW w:w="80" w:type="dxa"/>
            <w:vAlign w:val="bottom"/>
          </w:tcPr>
          <w:p>
            <w:pPr>
              <w:spacing w:after="0"/>
              <w:rPr>
                <w:sz w:val="12"/>
                <w:szCs w:val="12"/>
                <w:color w:val="auto"/>
              </w:rPr>
            </w:pPr>
          </w:p>
        </w:tc>
        <w:tc>
          <w:tcPr>
            <w:tcW w:w="1660" w:type="dxa"/>
            <w:vAlign w:val="bottom"/>
          </w:tcPr>
          <w:p>
            <w:pPr>
              <w:jc w:val="center"/>
              <w:spacing w:after="0" w:line="147" w:lineRule="exact"/>
              <w:rPr>
                <w:sz w:val="20"/>
                <w:szCs w:val="20"/>
                <w:color w:val="auto"/>
              </w:rPr>
            </w:pPr>
            <w:r>
              <w:rPr>
                <w:rFonts w:ascii="Arial" w:cs="Arial" w:eastAsia="Arial" w:hAnsi="Arial"/>
                <w:sz w:val="14"/>
                <w:szCs w:val="14"/>
                <w:color w:val="auto"/>
                <w:w w:val="96"/>
              </w:rPr>
              <w:t>Brokered CD</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ind w:right="9"/>
              <w:spacing w:after="0" w:line="147" w:lineRule="exact"/>
              <w:rPr>
                <w:sz w:val="20"/>
                <w:szCs w:val="20"/>
                <w:color w:val="auto"/>
              </w:rPr>
            </w:pPr>
            <w:r>
              <w:rPr>
                <w:rFonts w:ascii="Arial" w:cs="Arial" w:eastAsia="Arial" w:hAnsi="Arial"/>
                <w:sz w:val="14"/>
                <w:szCs w:val="14"/>
                <w:color w:val="auto"/>
              </w:rPr>
              <w:t>12,500</w:t>
            </w:r>
          </w:p>
        </w:tc>
        <w:tc>
          <w:tcPr>
            <w:tcW w:w="620" w:type="dxa"/>
            <w:vAlign w:val="bottom"/>
            <w:gridSpan w:val="2"/>
          </w:tcPr>
          <w:p>
            <w:pPr>
              <w:jc w:val="center"/>
              <w:ind w:left="9"/>
              <w:spacing w:after="0" w:line="147" w:lineRule="exact"/>
              <w:rPr>
                <w:sz w:val="20"/>
                <w:szCs w:val="20"/>
                <w:color w:val="auto"/>
              </w:rPr>
            </w:pPr>
            <w:r>
              <w:rPr>
                <w:rFonts w:ascii="Arial" w:cs="Arial" w:eastAsia="Arial" w:hAnsi="Arial"/>
                <w:sz w:val="14"/>
                <w:szCs w:val="14"/>
                <w:color w:val="auto"/>
                <w:w w:val="91"/>
              </w:rPr>
              <w:t>05/16/12</w:t>
            </w:r>
          </w:p>
        </w:tc>
        <w:tc>
          <w:tcPr>
            <w:tcW w:w="660" w:type="dxa"/>
            <w:vAlign w:val="bottom"/>
            <w:gridSpan w:val="2"/>
          </w:tcPr>
          <w:p>
            <w:pPr>
              <w:ind w:left="120"/>
              <w:spacing w:after="0" w:line="147" w:lineRule="exact"/>
              <w:rPr>
                <w:sz w:val="20"/>
                <w:szCs w:val="20"/>
                <w:color w:val="auto"/>
              </w:rPr>
            </w:pPr>
            <w:r>
              <w:rPr>
                <w:rFonts w:ascii="Arial" w:cs="Arial" w:eastAsia="Arial" w:hAnsi="Arial"/>
                <w:sz w:val="14"/>
                <w:szCs w:val="14"/>
                <w:color w:val="auto"/>
                <w:w w:val="95"/>
              </w:rPr>
              <w:t>06/08/12</w:t>
            </w:r>
          </w:p>
        </w:tc>
        <w:tc>
          <w:tcPr>
            <w:tcW w:w="80" w:type="dxa"/>
            <w:vAlign w:val="bottom"/>
          </w:tcPr>
          <w:p>
            <w:pPr>
              <w:spacing w:after="0"/>
              <w:rPr>
                <w:sz w:val="12"/>
                <w:szCs w:val="12"/>
                <w:color w:val="auto"/>
              </w:rPr>
            </w:pPr>
          </w:p>
        </w:tc>
        <w:tc>
          <w:tcPr>
            <w:tcW w:w="2160" w:type="dxa"/>
            <w:vAlign w:val="bottom"/>
            <w:gridSpan w:val="3"/>
          </w:tcPr>
          <w:p>
            <w:pPr>
              <w:ind w:left="40"/>
              <w:spacing w:after="0" w:line="147" w:lineRule="exact"/>
              <w:rPr>
                <w:sz w:val="20"/>
                <w:szCs w:val="20"/>
                <w:color w:val="auto"/>
              </w:rPr>
            </w:pPr>
            <w:r>
              <w:rPr>
                <w:rFonts w:ascii="Arial" w:cs="Arial" w:eastAsia="Arial" w:hAnsi="Arial"/>
                <w:sz w:val="14"/>
                <w:szCs w:val="14"/>
                <w:color w:val="auto"/>
              </w:rPr>
              <w:t>06/08/32   3 mo. LIBOR - 43 bps</w:t>
            </w:r>
          </w:p>
        </w:tc>
        <w:tc>
          <w:tcPr>
            <w:tcW w:w="80" w:type="dxa"/>
            <w:vAlign w:val="bottom"/>
          </w:tcPr>
          <w:p>
            <w:pPr>
              <w:spacing w:after="0"/>
              <w:rPr>
                <w:sz w:val="12"/>
                <w:szCs w:val="12"/>
                <w:color w:val="auto"/>
              </w:rPr>
            </w:pPr>
          </w:p>
        </w:tc>
        <w:tc>
          <w:tcPr>
            <w:tcW w:w="1160" w:type="dxa"/>
            <w:vAlign w:val="bottom"/>
          </w:tcPr>
          <w:p>
            <w:pPr>
              <w:jc w:val="center"/>
              <w:spacing w:after="0" w:line="147" w:lineRule="exact"/>
              <w:rPr>
                <w:sz w:val="20"/>
                <w:szCs w:val="20"/>
                <w:color w:val="auto"/>
              </w:rPr>
            </w:pPr>
            <w:r>
              <w:rPr>
                <w:rFonts w:ascii="Arial" w:cs="Arial" w:eastAsia="Arial" w:hAnsi="Arial"/>
                <w:sz w:val="14"/>
                <w:szCs w:val="14"/>
                <w:color w:val="auto"/>
                <w:w w:val="94"/>
              </w:rPr>
              <w:t xml:space="preserve">2.25% to 10.00% </w:t>
            </w:r>
            <w:r>
              <w:rPr>
                <w:rFonts w:ascii="Arial" w:cs="Arial" w:eastAsia="Arial" w:hAnsi="Arial"/>
                <w:sz w:val="9"/>
                <w:szCs w:val="9"/>
                <w:color w:val="auto"/>
                <w:w w:val="94"/>
              </w:rPr>
              <w:t>(B)</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gridSpan w:val="2"/>
          </w:tcPr>
          <w:p>
            <w:pPr>
              <w:jc w:val="right"/>
              <w:ind w:right="100"/>
              <w:spacing w:after="0" w:line="147"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ind w:right="29"/>
              <w:spacing w:after="0" w:line="147" w:lineRule="exact"/>
              <w:rPr>
                <w:sz w:val="20"/>
                <w:szCs w:val="20"/>
                <w:color w:val="auto"/>
              </w:rPr>
            </w:pPr>
            <w:r>
              <w:rPr>
                <w:rFonts w:ascii="Arial" w:cs="Arial" w:eastAsia="Arial" w:hAnsi="Arial"/>
                <w:sz w:val="14"/>
                <w:szCs w:val="14"/>
                <w:color w:val="auto"/>
              </w:rPr>
              <w:t>735</w:t>
            </w:r>
          </w:p>
        </w:tc>
        <w:tc>
          <w:tcPr>
            <w:tcW w:w="0" w:type="dxa"/>
            <w:vAlign w:val="bottom"/>
          </w:tcPr>
          <w:p>
            <w:pPr>
              <w:spacing w:after="0"/>
              <w:rPr>
                <w:sz w:val="1"/>
                <w:szCs w:val="1"/>
                <w:color w:val="auto"/>
              </w:rPr>
            </w:pPr>
          </w:p>
        </w:tc>
      </w:tr>
      <w:tr>
        <w:trPr>
          <w:trHeight w:val="147"/>
        </w:trPr>
        <w:tc>
          <w:tcPr>
            <w:tcW w:w="1900" w:type="dxa"/>
            <w:vAlign w:val="bottom"/>
          </w:tcPr>
          <w:p>
            <w:pPr>
              <w:spacing w:after="0" w:line="147" w:lineRule="exact"/>
              <w:rPr>
                <w:sz w:val="20"/>
                <w:szCs w:val="20"/>
                <w:color w:val="auto"/>
              </w:rPr>
            </w:pPr>
            <w:r>
              <w:rPr>
                <w:rFonts w:ascii="Arial" w:cs="Arial" w:eastAsia="Arial" w:hAnsi="Arial"/>
                <w:sz w:val="14"/>
                <w:szCs w:val="14"/>
                <w:color w:val="auto"/>
                <w:w w:val="91"/>
              </w:rPr>
              <w:t>Receive Fixed Cancellable Swap</w:t>
            </w:r>
          </w:p>
        </w:tc>
        <w:tc>
          <w:tcPr>
            <w:tcW w:w="60" w:type="dxa"/>
            <w:vAlign w:val="bottom"/>
          </w:tcPr>
          <w:p>
            <w:pPr>
              <w:spacing w:after="0"/>
              <w:rPr>
                <w:sz w:val="12"/>
                <w:szCs w:val="12"/>
                <w:color w:val="auto"/>
              </w:rPr>
            </w:pPr>
          </w:p>
        </w:tc>
        <w:tc>
          <w:tcPr>
            <w:tcW w:w="760" w:type="dxa"/>
            <w:vAlign w:val="bottom"/>
          </w:tcPr>
          <w:p>
            <w:pPr>
              <w:jc w:val="center"/>
              <w:spacing w:after="0" w:line="147" w:lineRule="exact"/>
              <w:rPr>
                <w:sz w:val="20"/>
                <w:szCs w:val="20"/>
                <w:color w:val="auto"/>
              </w:rPr>
            </w:pPr>
            <w:r>
              <w:rPr>
                <w:rFonts w:ascii="Arial" w:cs="Arial" w:eastAsia="Arial" w:hAnsi="Arial"/>
                <w:sz w:val="14"/>
                <w:szCs w:val="14"/>
                <w:color w:val="auto"/>
                <w:w w:val="93"/>
              </w:rPr>
              <w:t>Fair Value</w:t>
            </w:r>
          </w:p>
        </w:tc>
        <w:tc>
          <w:tcPr>
            <w:tcW w:w="80" w:type="dxa"/>
            <w:vAlign w:val="bottom"/>
          </w:tcPr>
          <w:p>
            <w:pPr>
              <w:spacing w:after="0"/>
              <w:rPr>
                <w:sz w:val="12"/>
                <w:szCs w:val="12"/>
                <w:color w:val="auto"/>
              </w:rPr>
            </w:pPr>
          </w:p>
        </w:tc>
        <w:tc>
          <w:tcPr>
            <w:tcW w:w="1660" w:type="dxa"/>
            <w:vAlign w:val="bottom"/>
          </w:tcPr>
          <w:p>
            <w:pPr>
              <w:jc w:val="center"/>
              <w:spacing w:after="0" w:line="147" w:lineRule="exact"/>
              <w:rPr>
                <w:sz w:val="20"/>
                <w:szCs w:val="20"/>
                <w:color w:val="auto"/>
              </w:rPr>
            </w:pPr>
            <w:r>
              <w:rPr>
                <w:rFonts w:ascii="Arial" w:cs="Arial" w:eastAsia="Arial" w:hAnsi="Arial"/>
                <w:sz w:val="14"/>
                <w:szCs w:val="14"/>
                <w:color w:val="auto"/>
                <w:w w:val="96"/>
              </w:rPr>
              <w:t>Brokered CD</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ind w:right="9"/>
              <w:spacing w:after="0" w:line="147" w:lineRule="exact"/>
              <w:rPr>
                <w:sz w:val="20"/>
                <w:szCs w:val="20"/>
                <w:color w:val="auto"/>
              </w:rPr>
            </w:pPr>
            <w:r>
              <w:rPr>
                <w:rFonts w:ascii="Arial" w:cs="Arial" w:eastAsia="Arial" w:hAnsi="Arial"/>
                <w:sz w:val="14"/>
                <w:szCs w:val="14"/>
                <w:color w:val="auto"/>
              </w:rPr>
              <w:t>13,000</w:t>
            </w:r>
          </w:p>
        </w:tc>
        <w:tc>
          <w:tcPr>
            <w:tcW w:w="620" w:type="dxa"/>
            <w:vAlign w:val="bottom"/>
            <w:gridSpan w:val="2"/>
          </w:tcPr>
          <w:p>
            <w:pPr>
              <w:jc w:val="center"/>
              <w:ind w:left="9"/>
              <w:spacing w:after="0" w:line="147" w:lineRule="exact"/>
              <w:rPr>
                <w:sz w:val="20"/>
                <w:szCs w:val="20"/>
                <w:color w:val="auto"/>
              </w:rPr>
            </w:pPr>
            <w:r>
              <w:rPr>
                <w:rFonts w:ascii="Arial" w:cs="Arial" w:eastAsia="Arial" w:hAnsi="Arial"/>
                <w:sz w:val="14"/>
                <w:szCs w:val="14"/>
                <w:color w:val="auto"/>
                <w:w w:val="91"/>
              </w:rPr>
              <w:t>06/12/12</w:t>
            </w:r>
          </w:p>
        </w:tc>
        <w:tc>
          <w:tcPr>
            <w:tcW w:w="660" w:type="dxa"/>
            <w:vAlign w:val="bottom"/>
            <w:gridSpan w:val="2"/>
          </w:tcPr>
          <w:p>
            <w:pPr>
              <w:ind w:left="120"/>
              <w:spacing w:after="0" w:line="147" w:lineRule="exact"/>
              <w:rPr>
                <w:sz w:val="20"/>
                <w:szCs w:val="20"/>
                <w:color w:val="auto"/>
              </w:rPr>
            </w:pPr>
            <w:r>
              <w:rPr>
                <w:rFonts w:ascii="Arial" w:cs="Arial" w:eastAsia="Arial" w:hAnsi="Arial"/>
                <w:sz w:val="14"/>
                <w:szCs w:val="14"/>
                <w:color w:val="auto"/>
                <w:w w:val="95"/>
              </w:rPr>
              <w:t>06/28/12</w:t>
            </w:r>
          </w:p>
        </w:tc>
        <w:tc>
          <w:tcPr>
            <w:tcW w:w="80" w:type="dxa"/>
            <w:vAlign w:val="bottom"/>
          </w:tcPr>
          <w:p>
            <w:pPr>
              <w:spacing w:after="0"/>
              <w:rPr>
                <w:sz w:val="12"/>
                <w:szCs w:val="12"/>
                <w:color w:val="auto"/>
              </w:rPr>
            </w:pPr>
          </w:p>
        </w:tc>
        <w:tc>
          <w:tcPr>
            <w:tcW w:w="2160" w:type="dxa"/>
            <w:vAlign w:val="bottom"/>
            <w:gridSpan w:val="3"/>
          </w:tcPr>
          <w:p>
            <w:pPr>
              <w:ind w:left="40"/>
              <w:spacing w:after="0" w:line="147" w:lineRule="exact"/>
              <w:rPr>
                <w:sz w:val="20"/>
                <w:szCs w:val="20"/>
                <w:color w:val="auto"/>
              </w:rPr>
            </w:pPr>
            <w:r>
              <w:rPr>
                <w:rFonts w:ascii="Arial" w:cs="Arial" w:eastAsia="Arial" w:hAnsi="Arial"/>
                <w:sz w:val="14"/>
                <w:szCs w:val="14"/>
                <w:color w:val="auto"/>
                <w:w w:val="98"/>
              </w:rPr>
              <w:t>06/28/32   3 mo. LIBOR - 38.5 bps</w:t>
            </w:r>
          </w:p>
        </w:tc>
        <w:tc>
          <w:tcPr>
            <w:tcW w:w="80" w:type="dxa"/>
            <w:vAlign w:val="bottom"/>
          </w:tcPr>
          <w:p>
            <w:pPr>
              <w:spacing w:after="0"/>
              <w:rPr>
                <w:sz w:val="12"/>
                <w:szCs w:val="12"/>
                <w:color w:val="auto"/>
              </w:rPr>
            </w:pPr>
          </w:p>
        </w:tc>
        <w:tc>
          <w:tcPr>
            <w:tcW w:w="1160" w:type="dxa"/>
            <w:vAlign w:val="bottom"/>
          </w:tcPr>
          <w:p>
            <w:pPr>
              <w:jc w:val="center"/>
              <w:spacing w:after="0" w:line="147" w:lineRule="exact"/>
              <w:rPr>
                <w:sz w:val="20"/>
                <w:szCs w:val="20"/>
                <w:color w:val="auto"/>
              </w:rPr>
            </w:pPr>
            <w:r>
              <w:rPr>
                <w:rFonts w:ascii="Arial" w:cs="Arial" w:eastAsia="Arial" w:hAnsi="Arial"/>
                <w:sz w:val="14"/>
                <w:szCs w:val="14"/>
                <w:color w:val="auto"/>
                <w:w w:val="94"/>
              </w:rPr>
              <w:t xml:space="preserve">2.30% to 10.00% </w:t>
            </w:r>
            <w:r>
              <w:rPr>
                <w:rFonts w:ascii="Arial" w:cs="Arial" w:eastAsia="Arial" w:hAnsi="Arial"/>
                <w:sz w:val="9"/>
                <w:szCs w:val="9"/>
                <w:color w:val="auto"/>
                <w:w w:val="94"/>
              </w:rPr>
              <w:t>(B)</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gridSpan w:val="2"/>
          </w:tcPr>
          <w:p>
            <w:pPr>
              <w:jc w:val="right"/>
              <w:ind w:right="100"/>
              <w:spacing w:after="0" w:line="147"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ind w:right="29"/>
              <w:spacing w:after="0" w:line="147" w:lineRule="exact"/>
              <w:rPr>
                <w:sz w:val="20"/>
                <w:szCs w:val="20"/>
                <w:color w:val="auto"/>
              </w:rPr>
            </w:pPr>
            <w:r>
              <w:rPr>
                <w:rFonts w:ascii="Arial" w:cs="Arial" w:eastAsia="Arial" w:hAnsi="Arial"/>
                <w:sz w:val="14"/>
                <w:szCs w:val="14"/>
                <w:color w:val="auto"/>
              </w:rPr>
              <w:t>913</w:t>
            </w:r>
          </w:p>
        </w:tc>
        <w:tc>
          <w:tcPr>
            <w:tcW w:w="0" w:type="dxa"/>
            <w:vAlign w:val="bottom"/>
          </w:tcPr>
          <w:p>
            <w:pPr>
              <w:spacing w:after="0"/>
              <w:rPr>
                <w:sz w:val="1"/>
                <w:szCs w:val="1"/>
                <w:color w:val="auto"/>
              </w:rPr>
            </w:pPr>
          </w:p>
        </w:tc>
      </w:tr>
      <w:tr>
        <w:trPr>
          <w:trHeight w:val="147"/>
        </w:trPr>
        <w:tc>
          <w:tcPr>
            <w:tcW w:w="1900" w:type="dxa"/>
            <w:vAlign w:val="bottom"/>
          </w:tcPr>
          <w:p>
            <w:pPr>
              <w:spacing w:after="0" w:line="147" w:lineRule="exact"/>
              <w:rPr>
                <w:sz w:val="20"/>
                <w:szCs w:val="20"/>
                <w:color w:val="auto"/>
              </w:rPr>
            </w:pPr>
            <w:r>
              <w:rPr>
                <w:rFonts w:ascii="Arial" w:cs="Arial" w:eastAsia="Arial" w:hAnsi="Arial"/>
                <w:sz w:val="14"/>
                <w:szCs w:val="14"/>
                <w:color w:val="auto"/>
                <w:w w:val="91"/>
              </w:rPr>
              <w:t>Receive Fixed Cancellable Swap</w:t>
            </w:r>
          </w:p>
        </w:tc>
        <w:tc>
          <w:tcPr>
            <w:tcW w:w="60" w:type="dxa"/>
            <w:vAlign w:val="bottom"/>
          </w:tcPr>
          <w:p>
            <w:pPr>
              <w:spacing w:after="0"/>
              <w:rPr>
                <w:sz w:val="12"/>
                <w:szCs w:val="12"/>
                <w:color w:val="auto"/>
              </w:rPr>
            </w:pPr>
          </w:p>
        </w:tc>
        <w:tc>
          <w:tcPr>
            <w:tcW w:w="760" w:type="dxa"/>
            <w:vAlign w:val="bottom"/>
          </w:tcPr>
          <w:p>
            <w:pPr>
              <w:jc w:val="center"/>
              <w:spacing w:after="0" w:line="147" w:lineRule="exact"/>
              <w:rPr>
                <w:sz w:val="20"/>
                <w:szCs w:val="20"/>
                <w:color w:val="auto"/>
              </w:rPr>
            </w:pPr>
            <w:r>
              <w:rPr>
                <w:rFonts w:ascii="Arial" w:cs="Arial" w:eastAsia="Arial" w:hAnsi="Arial"/>
                <w:sz w:val="14"/>
                <w:szCs w:val="14"/>
                <w:color w:val="auto"/>
                <w:w w:val="93"/>
              </w:rPr>
              <w:t>Fair Value</w:t>
            </w:r>
          </w:p>
        </w:tc>
        <w:tc>
          <w:tcPr>
            <w:tcW w:w="80" w:type="dxa"/>
            <w:vAlign w:val="bottom"/>
          </w:tcPr>
          <w:p>
            <w:pPr>
              <w:spacing w:after="0"/>
              <w:rPr>
                <w:sz w:val="12"/>
                <w:szCs w:val="12"/>
                <w:color w:val="auto"/>
              </w:rPr>
            </w:pPr>
          </w:p>
        </w:tc>
        <w:tc>
          <w:tcPr>
            <w:tcW w:w="1660" w:type="dxa"/>
            <w:vAlign w:val="bottom"/>
          </w:tcPr>
          <w:p>
            <w:pPr>
              <w:jc w:val="center"/>
              <w:spacing w:after="0" w:line="147" w:lineRule="exact"/>
              <w:rPr>
                <w:sz w:val="20"/>
                <w:szCs w:val="20"/>
                <w:color w:val="auto"/>
              </w:rPr>
            </w:pPr>
            <w:r>
              <w:rPr>
                <w:rFonts w:ascii="Arial" w:cs="Arial" w:eastAsia="Arial" w:hAnsi="Arial"/>
                <w:sz w:val="14"/>
                <w:szCs w:val="14"/>
                <w:color w:val="auto"/>
                <w:w w:val="96"/>
              </w:rPr>
              <w:t>Brokered CD</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ind w:right="9"/>
              <w:spacing w:after="0" w:line="147" w:lineRule="exact"/>
              <w:rPr>
                <w:sz w:val="20"/>
                <w:szCs w:val="20"/>
                <w:color w:val="auto"/>
              </w:rPr>
            </w:pPr>
            <w:r>
              <w:rPr>
                <w:rFonts w:ascii="Arial" w:cs="Arial" w:eastAsia="Arial" w:hAnsi="Arial"/>
                <w:sz w:val="14"/>
                <w:szCs w:val="14"/>
                <w:color w:val="auto"/>
              </w:rPr>
              <w:t>12,500</w:t>
            </w:r>
          </w:p>
        </w:tc>
        <w:tc>
          <w:tcPr>
            <w:tcW w:w="620" w:type="dxa"/>
            <w:vAlign w:val="bottom"/>
            <w:gridSpan w:val="2"/>
          </w:tcPr>
          <w:p>
            <w:pPr>
              <w:jc w:val="center"/>
              <w:ind w:left="9"/>
              <w:spacing w:after="0" w:line="147" w:lineRule="exact"/>
              <w:rPr>
                <w:sz w:val="20"/>
                <w:szCs w:val="20"/>
                <w:color w:val="auto"/>
              </w:rPr>
            </w:pPr>
            <w:r>
              <w:rPr>
                <w:rFonts w:ascii="Arial" w:cs="Arial" w:eastAsia="Arial" w:hAnsi="Arial"/>
                <w:sz w:val="14"/>
                <w:szCs w:val="14"/>
                <w:color w:val="auto"/>
                <w:w w:val="91"/>
              </w:rPr>
              <w:t>07/03/12</w:t>
            </w:r>
          </w:p>
        </w:tc>
        <w:tc>
          <w:tcPr>
            <w:tcW w:w="660" w:type="dxa"/>
            <w:vAlign w:val="bottom"/>
            <w:gridSpan w:val="2"/>
          </w:tcPr>
          <w:p>
            <w:pPr>
              <w:ind w:left="120"/>
              <w:spacing w:after="0" w:line="147" w:lineRule="exact"/>
              <w:rPr>
                <w:sz w:val="20"/>
                <w:szCs w:val="20"/>
                <w:color w:val="auto"/>
              </w:rPr>
            </w:pPr>
            <w:r>
              <w:rPr>
                <w:rFonts w:ascii="Arial" w:cs="Arial" w:eastAsia="Arial" w:hAnsi="Arial"/>
                <w:sz w:val="14"/>
                <w:szCs w:val="14"/>
                <w:color w:val="auto"/>
                <w:w w:val="95"/>
              </w:rPr>
              <w:t>07/27/12</w:t>
            </w:r>
          </w:p>
        </w:tc>
        <w:tc>
          <w:tcPr>
            <w:tcW w:w="80" w:type="dxa"/>
            <w:vAlign w:val="bottom"/>
          </w:tcPr>
          <w:p>
            <w:pPr>
              <w:spacing w:after="0"/>
              <w:rPr>
                <w:sz w:val="12"/>
                <w:szCs w:val="12"/>
                <w:color w:val="auto"/>
              </w:rPr>
            </w:pPr>
          </w:p>
        </w:tc>
        <w:tc>
          <w:tcPr>
            <w:tcW w:w="2160" w:type="dxa"/>
            <w:vAlign w:val="bottom"/>
            <w:gridSpan w:val="3"/>
          </w:tcPr>
          <w:p>
            <w:pPr>
              <w:ind w:left="40"/>
              <w:spacing w:after="0" w:line="147" w:lineRule="exact"/>
              <w:rPr>
                <w:sz w:val="20"/>
                <w:szCs w:val="20"/>
                <w:color w:val="auto"/>
              </w:rPr>
            </w:pPr>
            <w:r>
              <w:rPr>
                <w:rFonts w:ascii="Arial" w:cs="Arial" w:eastAsia="Arial" w:hAnsi="Arial"/>
                <w:sz w:val="14"/>
                <w:szCs w:val="14"/>
                <w:color w:val="auto"/>
                <w:w w:val="98"/>
              </w:rPr>
              <w:t>07/27/32   3 mo. LIBOR - 38.5 bps</w:t>
            </w:r>
          </w:p>
        </w:tc>
        <w:tc>
          <w:tcPr>
            <w:tcW w:w="80" w:type="dxa"/>
            <w:vAlign w:val="bottom"/>
          </w:tcPr>
          <w:p>
            <w:pPr>
              <w:spacing w:after="0"/>
              <w:rPr>
                <w:sz w:val="12"/>
                <w:szCs w:val="12"/>
                <w:color w:val="auto"/>
              </w:rPr>
            </w:pPr>
          </w:p>
        </w:tc>
        <w:tc>
          <w:tcPr>
            <w:tcW w:w="1160" w:type="dxa"/>
            <w:vAlign w:val="bottom"/>
          </w:tcPr>
          <w:p>
            <w:pPr>
              <w:jc w:val="center"/>
              <w:spacing w:after="0" w:line="147" w:lineRule="exact"/>
              <w:rPr>
                <w:sz w:val="20"/>
                <w:szCs w:val="20"/>
                <w:color w:val="auto"/>
              </w:rPr>
            </w:pPr>
            <w:r>
              <w:rPr>
                <w:rFonts w:ascii="Arial" w:cs="Arial" w:eastAsia="Arial" w:hAnsi="Arial"/>
                <w:sz w:val="14"/>
                <w:szCs w:val="14"/>
                <w:color w:val="auto"/>
                <w:w w:val="94"/>
              </w:rPr>
              <w:t xml:space="preserve">2.25% to 10.00% </w:t>
            </w:r>
            <w:r>
              <w:rPr>
                <w:rFonts w:ascii="Arial" w:cs="Arial" w:eastAsia="Arial" w:hAnsi="Arial"/>
                <w:sz w:val="9"/>
                <w:szCs w:val="9"/>
                <w:color w:val="auto"/>
                <w:w w:val="94"/>
              </w:rPr>
              <w:t>(B)</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gridSpan w:val="2"/>
          </w:tcPr>
          <w:p>
            <w:pPr>
              <w:jc w:val="right"/>
              <w:ind w:right="100"/>
              <w:spacing w:after="0" w:line="147"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ind w:right="29"/>
              <w:spacing w:after="0" w:line="147" w:lineRule="exact"/>
              <w:rPr>
                <w:sz w:val="20"/>
                <w:szCs w:val="20"/>
                <w:color w:val="auto"/>
              </w:rPr>
            </w:pPr>
            <w:r>
              <w:rPr>
                <w:rFonts w:ascii="Arial" w:cs="Arial" w:eastAsia="Arial" w:hAnsi="Arial"/>
                <w:sz w:val="14"/>
                <w:szCs w:val="14"/>
                <w:color w:val="auto"/>
              </w:rPr>
              <w:t>894</w:t>
            </w:r>
          </w:p>
        </w:tc>
        <w:tc>
          <w:tcPr>
            <w:tcW w:w="0" w:type="dxa"/>
            <w:vAlign w:val="bottom"/>
          </w:tcPr>
          <w:p>
            <w:pPr>
              <w:spacing w:after="0"/>
              <w:rPr>
                <w:sz w:val="1"/>
                <w:szCs w:val="1"/>
                <w:color w:val="auto"/>
              </w:rPr>
            </w:pPr>
          </w:p>
        </w:tc>
      </w:tr>
      <w:tr>
        <w:trPr>
          <w:trHeight w:val="147"/>
        </w:trPr>
        <w:tc>
          <w:tcPr>
            <w:tcW w:w="1900" w:type="dxa"/>
            <w:vAlign w:val="bottom"/>
          </w:tcPr>
          <w:p>
            <w:pPr>
              <w:spacing w:after="0" w:line="147" w:lineRule="exact"/>
              <w:rPr>
                <w:sz w:val="20"/>
                <w:szCs w:val="20"/>
                <w:color w:val="auto"/>
              </w:rPr>
            </w:pPr>
            <w:r>
              <w:rPr>
                <w:rFonts w:ascii="Arial" w:cs="Arial" w:eastAsia="Arial" w:hAnsi="Arial"/>
                <w:sz w:val="14"/>
                <w:szCs w:val="14"/>
                <w:color w:val="auto"/>
                <w:w w:val="91"/>
              </w:rPr>
              <w:t>Receive Fixed Cancellable Swap</w:t>
            </w:r>
          </w:p>
        </w:tc>
        <w:tc>
          <w:tcPr>
            <w:tcW w:w="60" w:type="dxa"/>
            <w:vAlign w:val="bottom"/>
          </w:tcPr>
          <w:p>
            <w:pPr>
              <w:spacing w:after="0"/>
              <w:rPr>
                <w:sz w:val="12"/>
                <w:szCs w:val="12"/>
                <w:color w:val="auto"/>
              </w:rPr>
            </w:pPr>
          </w:p>
        </w:tc>
        <w:tc>
          <w:tcPr>
            <w:tcW w:w="760" w:type="dxa"/>
            <w:vAlign w:val="bottom"/>
          </w:tcPr>
          <w:p>
            <w:pPr>
              <w:jc w:val="center"/>
              <w:spacing w:after="0" w:line="147" w:lineRule="exact"/>
              <w:rPr>
                <w:sz w:val="20"/>
                <w:szCs w:val="20"/>
                <w:color w:val="auto"/>
              </w:rPr>
            </w:pPr>
            <w:r>
              <w:rPr>
                <w:rFonts w:ascii="Arial" w:cs="Arial" w:eastAsia="Arial" w:hAnsi="Arial"/>
                <w:sz w:val="14"/>
                <w:szCs w:val="14"/>
                <w:color w:val="auto"/>
                <w:w w:val="93"/>
              </w:rPr>
              <w:t>Fair Value</w:t>
            </w:r>
          </w:p>
        </w:tc>
        <w:tc>
          <w:tcPr>
            <w:tcW w:w="80" w:type="dxa"/>
            <w:vAlign w:val="bottom"/>
          </w:tcPr>
          <w:p>
            <w:pPr>
              <w:spacing w:after="0"/>
              <w:rPr>
                <w:sz w:val="12"/>
                <w:szCs w:val="12"/>
                <w:color w:val="auto"/>
              </w:rPr>
            </w:pPr>
          </w:p>
        </w:tc>
        <w:tc>
          <w:tcPr>
            <w:tcW w:w="1660" w:type="dxa"/>
            <w:vAlign w:val="bottom"/>
          </w:tcPr>
          <w:p>
            <w:pPr>
              <w:jc w:val="center"/>
              <w:spacing w:after="0" w:line="147" w:lineRule="exact"/>
              <w:rPr>
                <w:sz w:val="20"/>
                <w:szCs w:val="20"/>
                <w:color w:val="auto"/>
              </w:rPr>
            </w:pPr>
            <w:r>
              <w:rPr>
                <w:rFonts w:ascii="Arial" w:cs="Arial" w:eastAsia="Arial" w:hAnsi="Arial"/>
                <w:sz w:val="14"/>
                <w:szCs w:val="14"/>
                <w:color w:val="auto"/>
                <w:w w:val="96"/>
              </w:rPr>
              <w:t>Brokered CD</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ind w:right="9"/>
              <w:spacing w:after="0" w:line="147" w:lineRule="exact"/>
              <w:rPr>
                <w:sz w:val="20"/>
                <w:szCs w:val="20"/>
                <w:color w:val="auto"/>
              </w:rPr>
            </w:pPr>
            <w:r>
              <w:rPr>
                <w:rFonts w:ascii="Arial" w:cs="Arial" w:eastAsia="Arial" w:hAnsi="Arial"/>
                <w:sz w:val="14"/>
                <w:szCs w:val="14"/>
                <w:color w:val="auto"/>
              </w:rPr>
              <w:t>12,000</w:t>
            </w:r>
          </w:p>
        </w:tc>
        <w:tc>
          <w:tcPr>
            <w:tcW w:w="620" w:type="dxa"/>
            <w:vAlign w:val="bottom"/>
            <w:gridSpan w:val="2"/>
          </w:tcPr>
          <w:p>
            <w:pPr>
              <w:jc w:val="center"/>
              <w:ind w:left="9"/>
              <w:spacing w:after="0" w:line="147" w:lineRule="exact"/>
              <w:rPr>
                <w:sz w:val="20"/>
                <w:szCs w:val="20"/>
                <w:color w:val="auto"/>
              </w:rPr>
            </w:pPr>
            <w:r>
              <w:rPr>
                <w:rFonts w:ascii="Arial" w:cs="Arial" w:eastAsia="Arial" w:hAnsi="Arial"/>
                <w:sz w:val="14"/>
                <w:szCs w:val="14"/>
                <w:color w:val="auto"/>
                <w:w w:val="91"/>
              </w:rPr>
              <w:t>08/01/12</w:t>
            </w:r>
          </w:p>
        </w:tc>
        <w:tc>
          <w:tcPr>
            <w:tcW w:w="660" w:type="dxa"/>
            <w:vAlign w:val="bottom"/>
            <w:gridSpan w:val="2"/>
          </w:tcPr>
          <w:p>
            <w:pPr>
              <w:ind w:left="120"/>
              <w:spacing w:after="0" w:line="147" w:lineRule="exact"/>
              <w:rPr>
                <w:sz w:val="20"/>
                <w:szCs w:val="20"/>
                <w:color w:val="auto"/>
              </w:rPr>
            </w:pPr>
            <w:r>
              <w:rPr>
                <w:rFonts w:ascii="Arial" w:cs="Arial" w:eastAsia="Arial" w:hAnsi="Arial"/>
                <w:sz w:val="14"/>
                <w:szCs w:val="14"/>
                <w:color w:val="auto"/>
                <w:w w:val="95"/>
              </w:rPr>
              <w:t>08/23/12</w:t>
            </w:r>
          </w:p>
        </w:tc>
        <w:tc>
          <w:tcPr>
            <w:tcW w:w="80" w:type="dxa"/>
            <w:vAlign w:val="bottom"/>
          </w:tcPr>
          <w:p>
            <w:pPr>
              <w:spacing w:after="0"/>
              <w:rPr>
                <w:sz w:val="12"/>
                <w:szCs w:val="12"/>
                <w:color w:val="auto"/>
              </w:rPr>
            </w:pPr>
          </w:p>
        </w:tc>
        <w:tc>
          <w:tcPr>
            <w:tcW w:w="2160" w:type="dxa"/>
            <w:vAlign w:val="bottom"/>
            <w:gridSpan w:val="3"/>
          </w:tcPr>
          <w:p>
            <w:pPr>
              <w:ind w:left="40"/>
              <w:spacing w:after="0" w:line="147" w:lineRule="exact"/>
              <w:rPr>
                <w:sz w:val="20"/>
                <w:szCs w:val="20"/>
                <w:color w:val="auto"/>
              </w:rPr>
            </w:pPr>
            <w:r>
              <w:rPr>
                <w:rFonts w:ascii="Arial" w:cs="Arial" w:eastAsia="Arial" w:hAnsi="Arial"/>
                <w:sz w:val="14"/>
                <w:szCs w:val="14"/>
                <w:color w:val="auto"/>
                <w:w w:val="96"/>
              </w:rPr>
              <w:t>08/23/32  3 mo. LIBOR - 38.25 bps</w:t>
            </w:r>
          </w:p>
        </w:tc>
        <w:tc>
          <w:tcPr>
            <w:tcW w:w="80" w:type="dxa"/>
            <w:vAlign w:val="bottom"/>
          </w:tcPr>
          <w:p>
            <w:pPr>
              <w:spacing w:after="0"/>
              <w:rPr>
                <w:sz w:val="12"/>
                <w:szCs w:val="12"/>
                <w:color w:val="auto"/>
              </w:rPr>
            </w:pPr>
          </w:p>
        </w:tc>
        <w:tc>
          <w:tcPr>
            <w:tcW w:w="1160" w:type="dxa"/>
            <w:vAlign w:val="bottom"/>
          </w:tcPr>
          <w:p>
            <w:pPr>
              <w:jc w:val="center"/>
              <w:spacing w:after="0" w:line="147" w:lineRule="exact"/>
              <w:rPr>
                <w:sz w:val="20"/>
                <w:szCs w:val="20"/>
                <w:color w:val="auto"/>
              </w:rPr>
            </w:pPr>
            <w:r>
              <w:rPr>
                <w:rFonts w:ascii="Arial" w:cs="Arial" w:eastAsia="Arial" w:hAnsi="Arial"/>
                <w:sz w:val="14"/>
                <w:szCs w:val="14"/>
                <w:color w:val="auto"/>
                <w:w w:val="94"/>
              </w:rPr>
              <w:t xml:space="preserve">2.30% to 11.00% </w:t>
            </w:r>
            <w:r>
              <w:rPr>
                <w:rFonts w:ascii="Arial" w:cs="Arial" w:eastAsia="Arial" w:hAnsi="Arial"/>
                <w:sz w:val="9"/>
                <w:szCs w:val="9"/>
                <w:color w:val="auto"/>
                <w:w w:val="94"/>
              </w:rPr>
              <w:t>(B)</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gridSpan w:val="2"/>
          </w:tcPr>
          <w:p>
            <w:pPr>
              <w:jc w:val="right"/>
              <w:ind w:right="100"/>
              <w:spacing w:after="0" w:line="147"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ind w:right="29"/>
              <w:spacing w:after="0" w:line="147" w:lineRule="exact"/>
              <w:rPr>
                <w:sz w:val="20"/>
                <w:szCs w:val="20"/>
                <w:color w:val="auto"/>
              </w:rPr>
            </w:pPr>
            <w:r>
              <w:rPr>
                <w:rFonts w:ascii="Arial" w:cs="Arial" w:eastAsia="Arial" w:hAnsi="Arial"/>
                <w:sz w:val="14"/>
                <w:szCs w:val="14"/>
                <w:color w:val="auto"/>
              </w:rPr>
              <w:t>1,127</w:t>
            </w:r>
          </w:p>
        </w:tc>
        <w:tc>
          <w:tcPr>
            <w:tcW w:w="0" w:type="dxa"/>
            <w:vAlign w:val="bottom"/>
          </w:tcPr>
          <w:p>
            <w:pPr>
              <w:spacing w:after="0"/>
              <w:rPr>
                <w:sz w:val="1"/>
                <w:szCs w:val="1"/>
                <w:color w:val="auto"/>
              </w:rPr>
            </w:pPr>
          </w:p>
        </w:tc>
      </w:tr>
      <w:tr>
        <w:trPr>
          <w:trHeight w:val="147"/>
        </w:trPr>
        <w:tc>
          <w:tcPr>
            <w:tcW w:w="1900" w:type="dxa"/>
            <w:vAlign w:val="bottom"/>
          </w:tcPr>
          <w:p>
            <w:pPr>
              <w:spacing w:after="0" w:line="147" w:lineRule="exact"/>
              <w:rPr>
                <w:sz w:val="20"/>
                <w:szCs w:val="20"/>
                <w:color w:val="auto"/>
              </w:rPr>
            </w:pPr>
            <w:r>
              <w:rPr>
                <w:rFonts w:ascii="Arial" w:cs="Arial" w:eastAsia="Arial" w:hAnsi="Arial"/>
                <w:sz w:val="14"/>
                <w:szCs w:val="14"/>
                <w:color w:val="auto"/>
                <w:w w:val="91"/>
              </w:rPr>
              <w:t>Receive Fixed Cancellable Swap</w:t>
            </w:r>
          </w:p>
        </w:tc>
        <w:tc>
          <w:tcPr>
            <w:tcW w:w="60" w:type="dxa"/>
            <w:vAlign w:val="bottom"/>
          </w:tcPr>
          <w:p>
            <w:pPr>
              <w:spacing w:after="0"/>
              <w:rPr>
                <w:sz w:val="12"/>
                <w:szCs w:val="12"/>
                <w:color w:val="auto"/>
              </w:rPr>
            </w:pPr>
          </w:p>
        </w:tc>
        <w:tc>
          <w:tcPr>
            <w:tcW w:w="760" w:type="dxa"/>
            <w:vAlign w:val="bottom"/>
          </w:tcPr>
          <w:p>
            <w:pPr>
              <w:jc w:val="center"/>
              <w:spacing w:after="0" w:line="147" w:lineRule="exact"/>
              <w:rPr>
                <w:sz w:val="20"/>
                <w:szCs w:val="20"/>
                <w:color w:val="auto"/>
              </w:rPr>
            </w:pPr>
            <w:r>
              <w:rPr>
                <w:rFonts w:ascii="Arial" w:cs="Arial" w:eastAsia="Arial" w:hAnsi="Arial"/>
                <w:sz w:val="14"/>
                <w:szCs w:val="14"/>
                <w:color w:val="auto"/>
                <w:w w:val="93"/>
              </w:rPr>
              <w:t>Fair Value</w:t>
            </w:r>
          </w:p>
        </w:tc>
        <w:tc>
          <w:tcPr>
            <w:tcW w:w="80" w:type="dxa"/>
            <w:vAlign w:val="bottom"/>
          </w:tcPr>
          <w:p>
            <w:pPr>
              <w:spacing w:after="0"/>
              <w:rPr>
                <w:sz w:val="12"/>
                <w:szCs w:val="12"/>
                <w:color w:val="auto"/>
              </w:rPr>
            </w:pPr>
          </w:p>
        </w:tc>
        <w:tc>
          <w:tcPr>
            <w:tcW w:w="1660" w:type="dxa"/>
            <w:vAlign w:val="bottom"/>
          </w:tcPr>
          <w:p>
            <w:pPr>
              <w:jc w:val="center"/>
              <w:spacing w:after="0" w:line="147" w:lineRule="exact"/>
              <w:rPr>
                <w:sz w:val="20"/>
                <w:szCs w:val="20"/>
                <w:color w:val="auto"/>
              </w:rPr>
            </w:pPr>
            <w:r>
              <w:rPr>
                <w:rFonts w:ascii="Arial" w:cs="Arial" w:eastAsia="Arial" w:hAnsi="Arial"/>
                <w:sz w:val="14"/>
                <w:szCs w:val="14"/>
                <w:color w:val="auto"/>
                <w:w w:val="96"/>
              </w:rPr>
              <w:t>Brokered CD</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ind w:right="9"/>
              <w:spacing w:after="0" w:line="147" w:lineRule="exact"/>
              <w:rPr>
                <w:sz w:val="20"/>
                <w:szCs w:val="20"/>
                <w:color w:val="auto"/>
              </w:rPr>
            </w:pPr>
            <w:r>
              <w:rPr>
                <w:rFonts w:ascii="Arial" w:cs="Arial" w:eastAsia="Arial" w:hAnsi="Arial"/>
                <w:sz w:val="14"/>
                <w:szCs w:val="14"/>
                <w:color w:val="auto"/>
              </w:rPr>
              <w:t>10,000</w:t>
            </w:r>
          </w:p>
        </w:tc>
        <w:tc>
          <w:tcPr>
            <w:tcW w:w="620" w:type="dxa"/>
            <w:vAlign w:val="bottom"/>
            <w:gridSpan w:val="2"/>
          </w:tcPr>
          <w:p>
            <w:pPr>
              <w:jc w:val="center"/>
              <w:ind w:left="9"/>
              <w:spacing w:after="0" w:line="147" w:lineRule="exact"/>
              <w:rPr>
                <w:sz w:val="20"/>
                <w:szCs w:val="20"/>
                <w:color w:val="auto"/>
              </w:rPr>
            </w:pPr>
            <w:r>
              <w:rPr>
                <w:rFonts w:ascii="Arial" w:cs="Arial" w:eastAsia="Arial" w:hAnsi="Arial"/>
                <w:sz w:val="14"/>
                <w:szCs w:val="14"/>
                <w:color w:val="auto"/>
                <w:w w:val="91"/>
              </w:rPr>
              <w:t>08/29/12</w:t>
            </w:r>
          </w:p>
        </w:tc>
        <w:tc>
          <w:tcPr>
            <w:tcW w:w="660" w:type="dxa"/>
            <w:vAlign w:val="bottom"/>
            <w:gridSpan w:val="2"/>
          </w:tcPr>
          <w:p>
            <w:pPr>
              <w:ind w:left="120"/>
              <w:spacing w:after="0" w:line="147" w:lineRule="exact"/>
              <w:rPr>
                <w:sz w:val="20"/>
                <w:szCs w:val="20"/>
                <w:color w:val="auto"/>
              </w:rPr>
            </w:pPr>
            <w:r>
              <w:rPr>
                <w:rFonts w:ascii="Arial" w:cs="Arial" w:eastAsia="Arial" w:hAnsi="Arial"/>
                <w:sz w:val="14"/>
                <w:szCs w:val="14"/>
                <w:color w:val="auto"/>
                <w:w w:val="95"/>
              </w:rPr>
              <w:t>09/24/12</w:t>
            </w:r>
          </w:p>
        </w:tc>
        <w:tc>
          <w:tcPr>
            <w:tcW w:w="80" w:type="dxa"/>
            <w:vAlign w:val="bottom"/>
          </w:tcPr>
          <w:p>
            <w:pPr>
              <w:spacing w:after="0"/>
              <w:rPr>
                <w:sz w:val="12"/>
                <w:szCs w:val="12"/>
                <w:color w:val="auto"/>
              </w:rPr>
            </w:pPr>
          </w:p>
        </w:tc>
        <w:tc>
          <w:tcPr>
            <w:tcW w:w="2160" w:type="dxa"/>
            <w:vAlign w:val="bottom"/>
            <w:gridSpan w:val="3"/>
          </w:tcPr>
          <w:p>
            <w:pPr>
              <w:ind w:left="40"/>
              <w:spacing w:after="0" w:line="147" w:lineRule="exact"/>
              <w:rPr>
                <w:sz w:val="20"/>
                <w:szCs w:val="20"/>
                <w:color w:val="auto"/>
              </w:rPr>
            </w:pPr>
            <w:r>
              <w:rPr>
                <w:rFonts w:ascii="Arial" w:cs="Arial" w:eastAsia="Arial" w:hAnsi="Arial"/>
                <w:sz w:val="14"/>
                <w:szCs w:val="14"/>
                <w:color w:val="auto"/>
              </w:rPr>
              <w:t>09/24/12   3 mo. LIBOR - 38 bps</w:t>
            </w:r>
          </w:p>
        </w:tc>
        <w:tc>
          <w:tcPr>
            <w:tcW w:w="80" w:type="dxa"/>
            <w:vAlign w:val="bottom"/>
          </w:tcPr>
          <w:p>
            <w:pPr>
              <w:spacing w:after="0"/>
              <w:rPr>
                <w:sz w:val="12"/>
                <w:szCs w:val="12"/>
                <w:color w:val="auto"/>
              </w:rPr>
            </w:pPr>
          </w:p>
        </w:tc>
        <w:tc>
          <w:tcPr>
            <w:tcW w:w="1160" w:type="dxa"/>
            <w:vAlign w:val="bottom"/>
          </w:tcPr>
          <w:p>
            <w:pPr>
              <w:jc w:val="center"/>
              <w:spacing w:after="0" w:line="147" w:lineRule="exact"/>
              <w:rPr>
                <w:sz w:val="20"/>
                <w:szCs w:val="20"/>
                <w:color w:val="auto"/>
              </w:rPr>
            </w:pPr>
            <w:r>
              <w:rPr>
                <w:rFonts w:ascii="Arial" w:cs="Arial" w:eastAsia="Arial" w:hAnsi="Arial"/>
                <w:sz w:val="14"/>
                <w:szCs w:val="14"/>
                <w:color w:val="auto"/>
                <w:w w:val="94"/>
              </w:rPr>
              <w:t xml:space="preserve">2.40% to 11.00% </w:t>
            </w:r>
            <w:r>
              <w:rPr>
                <w:rFonts w:ascii="Arial" w:cs="Arial" w:eastAsia="Arial" w:hAnsi="Arial"/>
                <w:sz w:val="9"/>
                <w:szCs w:val="9"/>
                <w:color w:val="auto"/>
                <w:w w:val="94"/>
              </w:rPr>
              <w:t>(B)</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gridSpan w:val="2"/>
          </w:tcPr>
          <w:p>
            <w:pPr>
              <w:jc w:val="right"/>
              <w:ind w:right="100"/>
              <w:spacing w:after="0" w:line="147"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ind w:right="29"/>
              <w:spacing w:after="0" w:line="147" w:lineRule="exact"/>
              <w:rPr>
                <w:sz w:val="20"/>
                <w:szCs w:val="20"/>
                <w:color w:val="auto"/>
              </w:rPr>
            </w:pPr>
            <w:r>
              <w:rPr>
                <w:rFonts w:ascii="Arial" w:cs="Arial" w:eastAsia="Arial" w:hAnsi="Arial"/>
                <w:sz w:val="14"/>
                <w:szCs w:val="14"/>
                <w:color w:val="auto"/>
              </w:rPr>
              <w:t>806</w:t>
            </w:r>
          </w:p>
        </w:tc>
        <w:tc>
          <w:tcPr>
            <w:tcW w:w="0" w:type="dxa"/>
            <w:vAlign w:val="bottom"/>
          </w:tcPr>
          <w:p>
            <w:pPr>
              <w:spacing w:after="0"/>
              <w:rPr>
                <w:sz w:val="1"/>
                <w:szCs w:val="1"/>
                <w:color w:val="auto"/>
              </w:rPr>
            </w:pPr>
          </w:p>
        </w:tc>
      </w:tr>
      <w:tr>
        <w:trPr>
          <w:trHeight w:val="147"/>
        </w:trPr>
        <w:tc>
          <w:tcPr>
            <w:tcW w:w="1900" w:type="dxa"/>
            <w:vAlign w:val="bottom"/>
          </w:tcPr>
          <w:p>
            <w:pPr>
              <w:spacing w:after="0" w:line="147" w:lineRule="exact"/>
              <w:rPr>
                <w:sz w:val="20"/>
                <w:szCs w:val="20"/>
                <w:color w:val="auto"/>
              </w:rPr>
            </w:pPr>
            <w:r>
              <w:rPr>
                <w:rFonts w:ascii="Arial" w:cs="Arial" w:eastAsia="Arial" w:hAnsi="Arial"/>
                <w:sz w:val="14"/>
                <w:szCs w:val="14"/>
                <w:color w:val="auto"/>
                <w:w w:val="91"/>
              </w:rPr>
              <w:t>Receive Fixed Cancellable Swap</w:t>
            </w:r>
          </w:p>
        </w:tc>
        <w:tc>
          <w:tcPr>
            <w:tcW w:w="60" w:type="dxa"/>
            <w:vAlign w:val="bottom"/>
          </w:tcPr>
          <w:p>
            <w:pPr>
              <w:spacing w:after="0"/>
              <w:rPr>
                <w:sz w:val="12"/>
                <w:szCs w:val="12"/>
                <w:color w:val="auto"/>
              </w:rPr>
            </w:pPr>
          </w:p>
        </w:tc>
        <w:tc>
          <w:tcPr>
            <w:tcW w:w="760" w:type="dxa"/>
            <w:vAlign w:val="bottom"/>
          </w:tcPr>
          <w:p>
            <w:pPr>
              <w:jc w:val="center"/>
              <w:spacing w:after="0" w:line="147" w:lineRule="exact"/>
              <w:rPr>
                <w:sz w:val="20"/>
                <w:szCs w:val="20"/>
                <w:color w:val="auto"/>
              </w:rPr>
            </w:pPr>
            <w:r>
              <w:rPr>
                <w:rFonts w:ascii="Arial" w:cs="Arial" w:eastAsia="Arial" w:hAnsi="Arial"/>
                <w:sz w:val="14"/>
                <w:szCs w:val="14"/>
                <w:color w:val="auto"/>
                <w:w w:val="93"/>
              </w:rPr>
              <w:t>Fair Value</w:t>
            </w:r>
          </w:p>
        </w:tc>
        <w:tc>
          <w:tcPr>
            <w:tcW w:w="80" w:type="dxa"/>
            <w:vAlign w:val="bottom"/>
          </w:tcPr>
          <w:p>
            <w:pPr>
              <w:spacing w:after="0"/>
              <w:rPr>
                <w:sz w:val="12"/>
                <w:szCs w:val="12"/>
                <w:color w:val="auto"/>
              </w:rPr>
            </w:pPr>
          </w:p>
        </w:tc>
        <w:tc>
          <w:tcPr>
            <w:tcW w:w="1660" w:type="dxa"/>
            <w:vAlign w:val="bottom"/>
          </w:tcPr>
          <w:p>
            <w:pPr>
              <w:jc w:val="center"/>
              <w:spacing w:after="0" w:line="147" w:lineRule="exact"/>
              <w:rPr>
                <w:sz w:val="20"/>
                <w:szCs w:val="20"/>
                <w:color w:val="auto"/>
              </w:rPr>
            </w:pPr>
            <w:r>
              <w:rPr>
                <w:rFonts w:ascii="Arial" w:cs="Arial" w:eastAsia="Arial" w:hAnsi="Arial"/>
                <w:sz w:val="14"/>
                <w:szCs w:val="14"/>
                <w:color w:val="auto"/>
                <w:w w:val="96"/>
              </w:rPr>
              <w:t>Brokered CD</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ind w:right="9"/>
              <w:spacing w:after="0" w:line="147" w:lineRule="exact"/>
              <w:rPr>
                <w:sz w:val="20"/>
                <w:szCs w:val="20"/>
                <w:color w:val="auto"/>
              </w:rPr>
            </w:pPr>
            <w:r>
              <w:rPr>
                <w:rFonts w:ascii="Arial" w:cs="Arial" w:eastAsia="Arial" w:hAnsi="Arial"/>
                <w:sz w:val="14"/>
                <w:szCs w:val="14"/>
                <w:color w:val="auto"/>
              </w:rPr>
              <w:t>12,000</w:t>
            </w:r>
          </w:p>
        </w:tc>
        <w:tc>
          <w:tcPr>
            <w:tcW w:w="620" w:type="dxa"/>
            <w:vAlign w:val="bottom"/>
            <w:gridSpan w:val="2"/>
          </w:tcPr>
          <w:p>
            <w:pPr>
              <w:jc w:val="center"/>
              <w:ind w:left="9"/>
              <w:spacing w:after="0" w:line="147" w:lineRule="exact"/>
              <w:rPr>
                <w:sz w:val="20"/>
                <w:szCs w:val="20"/>
                <w:color w:val="auto"/>
              </w:rPr>
            </w:pPr>
            <w:r>
              <w:rPr>
                <w:rFonts w:ascii="Arial" w:cs="Arial" w:eastAsia="Arial" w:hAnsi="Arial"/>
                <w:sz w:val="14"/>
                <w:szCs w:val="14"/>
                <w:color w:val="auto"/>
                <w:w w:val="91"/>
              </w:rPr>
              <w:t>10/05/12</w:t>
            </w:r>
          </w:p>
        </w:tc>
        <w:tc>
          <w:tcPr>
            <w:tcW w:w="660" w:type="dxa"/>
            <w:vAlign w:val="bottom"/>
            <w:gridSpan w:val="2"/>
          </w:tcPr>
          <w:p>
            <w:pPr>
              <w:ind w:left="120"/>
              <w:spacing w:after="0" w:line="147" w:lineRule="exact"/>
              <w:rPr>
                <w:sz w:val="20"/>
                <w:szCs w:val="20"/>
                <w:color w:val="auto"/>
              </w:rPr>
            </w:pPr>
            <w:r>
              <w:rPr>
                <w:rFonts w:ascii="Arial" w:cs="Arial" w:eastAsia="Arial" w:hAnsi="Arial"/>
                <w:sz w:val="14"/>
                <w:szCs w:val="14"/>
                <w:color w:val="auto"/>
                <w:w w:val="95"/>
              </w:rPr>
              <w:t>10/19/12</w:t>
            </w:r>
          </w:p>
        </w:tc>
        <w:tc>
          <w:tcPr>
            <w:tcW w:w="80" w:type="dxa"/>
            <w:vAlign w:val="bottom"/>
          </w:tcPr>
          <w:p>
            <w:pPr>
              <w:spacing w:after="0"/>
              <w:rPr>
                <w:sz w:val="12"/>
                <w:szCs w:val="12"/>
                <w:color w:val="auto"/>
              </w:rPr>
            </w:pPr>
          </w:p>
        </w:tc>
        <w:tc>
          <w:tcPr>
            <w:tcW w:w="2160" w:type="dxa"/>
            <w:vAlign w:val="bottom"/>
            <w:gridSpan w:val="3"/>
          </w:tcPr>
          <w:p>
            <w:pPr>
              <w:ind w:left="40"/>
              <w:spacing w:after="0" w:line="147" w:lineRule="exact"/>
              <w:rPr>
                <w:sz w:val="20"/>
                <w:szCs w:val="20"/>
                <w:color w:val="auto"/>
              </w:rPr>
            </w:pPr>
            <w:r>
              <w:rPr>
                <w:rFonts w:ascii="Arial" w:cs="Arial" w:eastAsia="Arial" w:hAnsi="Arial"/>
                <w:sz w:val="14"/>
                <w:szCs w:val="14"/>
                <w:color w:val="auto"/>
              </w:rPr>
              <w:t>11/19/32   3 mo. LIBOR - 38 bps</w:t>
            </w:r>
          </w:p>
        </w:tc>
        <w:tc>
          <w:tcPr>
            <w:tcW w:w="80" w:type="dxa"/>
            <w:vAlign w:val="bottom"/>
          </w:tcPr>
          <w:p>
            <w:pPr>
              <w:spacing w:after="0"/>
              <w:rPr>
                <w:sz w:val="12"/>
                <w:szCs w:val="12"/>
                <w:color w:val="auto"/>
              </w:rPr>
            </w:pPr>
          </w:p>
        </w:tc>
        <w:tc>
          <w:tcPr>
            <w:tcW w:w="1160" w:type="dxa"/>
            <w:vAlign w:val="bottom"/>
          </w:tcPr>
          <w:p>
            <w:pPr>
              <w:jc w:val="center"/>
              <w:spacing w:after="0" w:line="147" w:lineRule="exact"/>
              <w:rPr>
                <w:sz w:val="20"/>
                <w:szCs w:val="20"/>
                <w:color w:val="auto"/>
              </w:rPr>
            </w:pPr>
            <w:r>
              <w:rPr>
                <w:rFonts w:ascii="Arial" w:cs="Arial" w:eastAsia="Arial" w:hAnsi="Arial"/>
                <w:sz w:val="14"/>
                <w:szCs w:val="14"/>
                <w:color w:val="auto"/>
                <w:w w:val="94"/>
              </w:rPr>
              <w:t xml:space="preserve">2.40% to 11.00% </w:t>
            </w:r>
            <w:r>
              <w:rPr>
                <w:rFonts w:ascii="Arial" w:cs="Arial" w:eastAsia="Arial" w:hAnsi="Arial"/>
                <w:sz w:val="9"/>
                <w:szCs w:val="9"/>
                <w:color w:val="auto"/>
                <w:w w:val="94"/>
              </w:rPr>
              <w:t>(B)</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gridSpan w:val="2"/>
          </w:tcPr>
          <w:p>
            <w:pPr>
              <w:jc w:val="right"/>
              <w:ind w:right="100"/>
              <w:spacing w:after="0" w:line="147"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ind w:right="29"/>
              <w:spacing w:after="0" w:line="147" w:lineRule="exact"/>
              <w:rPr>
                <w:sz w:val="20"/>
                <w:szCs w:val="20"/>
                <w:color w:val="auto"/>
              </w:rPr>
            </w:pPr>
            <w:r>
              <w:rPr>
                <w:rFonts w:ascii="Arial" w:cs="Arial" w:eastAsia="Arial" w:hAnsi="Arial"/>
                <w:sz w:val="14"/>
                <w:szCs w:val="14"/>
                <w:color w:val="auto"/>
              </w:rPr>
              <w:t>991</w:t>
            </w:r>
          </w:p>
        </w:tc>
        <w:tc>
          <w:tcPr>
            <w:tcW w:w="0" w:type="dxa"/>
            <w:vAlign w:val="bottom"/>
          </w:tcPr>
          <w:p>
            <w:pPr>
              <w:spacing w:after="0"/>
              <w:rPr>
                <w:sz w:val="1"/>
                <w:szCs w:val="1"/>
                <w:color w:val="auto"/>
              </w:rPr>
            </w:pPr>
          </w:p>
        </w:tc>
      </w:tr>
      <w:tr>
        <w:trPr>
          <w:trHeight w:val="147"/>
        </w:trPr>
        <w:tc>
          <w:tcPr>
            <w:tcW w:w="1900" w:type="dxa"/>
            <w:vAlign w:val="bottom"/>
          </w:tcPr>
          <w:p>
            <w:pPr>
              <w:spacing w:after="0" w:line="147" w:lineRule="exact"/>
              <w:rPr>
                <w:sz w:val="20"/>
                <w:szCs w:val="20"/>
                <w:color w:val="auto"/>
              </w:rPr>
            </w:pPr>
            <w:r>
              <w:rPr>
                <w:rFonts w:ascii="Arial" w:cs="Arial" w:eastAsia="Arial" w:hAnsi="Arial"/>
                <w:sz w:val="14"/>
                <w:szCs w:val="14"/>
                <w:color w:val="auto"/>
                <w:w w:val="91"/>
              </w:rPr>
              <w:t>Receive Fixed Cancellable Swap</w:t>
            </w:r>
          </w:p>
        </w:tc>
        <w:tc>
          <w:tcPr>
            <w:tcW w:w="60" w:type="dxa"/>
            <w:vAlign w:val="bottom"/>
          </w:tcPr>
          <w:p>
            <w:pPr>
              <w:spacing w:after="0"/>
              <w:rPr>
                <w:sz w:val="12"/>
                <w:szCs w:val="12"/>
                <w:color w:val="auto"/>
              </w:rPr>
            </w:pPr>
          </w:p>
        </w:tc>
        <w:tc>
          <w:tcPr>
            <w:tcW w:w="760" w:type="dxa"/>
            <w:vAlign w:val="bottom"/>
          </w:tcPr>
          <w:p>
            <w:pPr>
              <w:jc w:val="center"/>
              <w:spacing w:after="0" w:line="147" w:lineRule="exact"/>
              <w:rPr>
                <w:sz w:val="20"/>
                <w:szCs w:val="20"/>
                <w:color w:val="auto"/>
              </w:rPr>
            </w:pPr>
            <w:r>
              <w:rPr>
                <w:rFonts w:ascii="Arial" w:cs="Arial" w:eastAsia="Arial" w:hAnsi="Arial"/>
                <w:sz w:val="14"/>
                <w:szCs w:val="14"/>
                <w:color w:val="auto"/>
                <w:w w:val="93"/>
              </w:rPr>
              <w:t>Fair Value</w:t>
            </w:r>
          </w:p>
        </w:tc>
        <w:tc>
          <w:tcPr>
            <w:tcW w:w="80" w:type="dxa"/>
            <w:vAlign w:val="bottom"/>
          </w:tcPr>
          <w:p>
            <w:pPr>
              <w:spacing w:after="0"/>
              <w:rPr>
                <w:sz w:val="12"/>
                <w:szCs w:val="12"/>
                <w:color w:val="auto"/>
              </w:rPr>
            </w:pPr>
          </w:p>
        </w:tc>
        <w:tc>
          <w:tcPr>
            <w:tcW w:w="1660" w:type="dxa"/>
            <w:vAlign w:val="bottom"/>
          </w:tcPr>
          <w:p>
            <w:pPr>
              <w:jc w:val="center"/>
              <w:spacing w:after="0" w:line="147" w:lineRule="exact"/>
              <w:rPr>
                <w:sz w:val="20"/>
                <w:szCs w:val="20"/>
                <w:color w:val="auto"/>
              </w:rPr>
            </w:pPr>
            <w:r>
              <w:rPr>
                <w:rFonts w:ascii="Arial" w:cs="Arial" w:eastAsia="Arial" w:hAnsi="Arial"/>
                <w:sz w:val="14"/>
                <w:szCs w:val="14"/>
                <w:color w:val="auto"/>
                <w:w w:val="96"/>
              </w:rPr>
              <w:t>Brokered CD</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ind w:right="9"/>
              <w:spacing w:after="0" w:line="147" w:lineRule="exact"/>
              <w:rPr>
                <w:sz w:val="20"/>
                <w:szCs w:val="20"/>
                <w:color w:val="auto"/>
              </w:rPr>
            </w:pPr>
            <w:r>
              <w:rPr>
                <w:rFonts w:ascii="Arial" w:cs="Arial" w:eastAsia="Arial" w:hAnsi="Arial"/>
                <w:sz w:val="14"/>
                <w:szCs w:val="14"/>
                <w:color w:val="auto"/>
              </w:rPr>
              <w:t>12,000</w:t>
            </w:r>
          </w:p>
        </w:tc>
        <w:tc>
          <w:tcPr>
            <w:tcW w:w="620" w:type="dxa"/>
            <w:vAlign w:val="bottom"/>
            <w:gridSpan w:val="2"/>
          </w:tcPr>
          <w:p>
            <w:pPr>
              <w:jc w:val="center"/>
              <w:ind w:left="9"/>
              <w:spacing w:after="0" w:line="147" w:lineRule="exact"/>
              <w:rPr>
                <w:sz w:val="20"/>
                <w:szCs w:val="20"/>
                <w:color w:val="auto"/>
              </w:rPr>
            </w:pPr>
            <w:r>
              <w:rPr>
                <w:rFonts w:ascii="Arial" w:cs="Arial" w:eastAsia="Arial" w:hAnsi="Arial"/>
                <w:sz w:val="14"/>
                <w:szCs w:val="14"/>
                <w:color w:val="auto"/>
                <w:w w:val="91"/>
              </w:rPr>
              <w:t>10/15/12</w:t>
            </w:r>
          </w:p>
        </w:tc>
        <w:tc>
          <w:tcPr>
            <w:tcW w:w="660" w:type="dxa"/>
            <w:vAlign w:val="bottom"/>
            <w:gridSpan w:val="2"/>
          </w:tcPr>
          <w:p>
            <w:pPr>
              <w:ind w:left="120"/>
              <w:spacing w:after="0" w:line="147" w:lineRule="exact"/>
              <w:rPr>
                <w:sz w:val="20"/>
                <w:szCs w:val="20"/>
                <w:color w:val="auto"/>
              </w:rPr>
            </w:pPr>
            <w:r>
              <w:rPr>
                <w:rFonts w:ascii="Arial" w:cs="Arial" w:eastAsia="Arial" w:hAnsi="Arial"/>
                <w:sz w:val="14"/>
                <w:szCs w:val="14"/>
                <w:color w:val="auto"/>
                <w:w w:val="95"/>
              </w:rPr>
              <w:t>11/08/12</w:t>
            </w:r>
          </w:p>
        </w:tc>
        <w:tc>
          <w:tcPr>
            <w:tcW w:w="80" w:type="dxa"/>
            <w:vAlign w:val="bottom"/>
          </w:tcPr>
          <w:p>
            <w:pPr>
              <w:spacing w:after="0"/>
              <w:rPr>
                <w:sz w:val="12"/>
                <w:szCs w:val="12"/>
                <w:color w:val="auto"/>
              </w:rPr>
            </w:pPr>
          </w:p>
        </w:tc>
        <w:tc>
          <w:tcPr>
            <w:tcW w:w="2160" w:type="dxa"/>
            <w:vAlign w:val="bottom"/>
            <w:gridSpan w:val="3"/>
          </w:tcPr>
          <w:p>
            <w:pPr>
              <w:ind w:left="40"/>
              <w:spacing w:after="0" w:line="147" w:lineRule="exact"/>
              <w:rPr>
                <w:sz w:val="20"/>
                <w:szCs w:val="20"/>
                <w:color w:val="auto"/>
              </w:rPr>
            </w:pPr>
            <w:r>
              <w:rPr>
                <w:rFonts w:ascii="Arial" w:cs="Arial" w:eastAsia="Arial" w:hAnsi="Arial"/>
                <w:sz w:val="14"/>
                <w:szCs w:val="14"/>
                <w:color w:val="auto"/>
              </w:rPr>
              <w:t>11/08/32   3 mo. LIBOR - 40 bps</w:t>
            </w:r>
          </w:p>
        </w:tc>
        <w:tc>
          <w:tcPr>
            <w:tcW w:w="80" w:type="dxa"/>
            <w:vAlign w:val="bottom"/>
          </w:tcPr>
          <w:p>
            <w:pPr>
              <w:spacing w:after="0"/>
              <w:rPr>
                <w:sz w:val="12"/>
                <w:szCs w:val="12"/>
                <w:color w:val="auto"/>
              </w:rPr>
            </w:pPr>
          </w:p>
        </w:tc>
        <w:tc>
          <w:tcPr>
            <w:tcW w:w="1160" w:type="dxa"/>
            <w:vAlign w:val="bottom"/>
          </w:tcPr>
          <w:p>
            <w:pPr>
              <w:jc w:val="center"/>
              <w:spacing w:after="0" w:line="147" w:lineRule="exact"/>
              <w:rPr>
                <w:sz w:val="20"/>
                <w:szCs w:val="20"/>
                <w:color w:val="auto"/>
              </w:rPr>
            </w:pPr>
            <w:r>
              <w:rPr>
                <w:rFonts w:ascii="Arial" w:cs="Arial" w:eastAsia="Arial" w:hAnsi="Arial"/>
                <w:sz w:val="14"/>
                <w:szCs w:val="14"/>
                <w:color w:val="auto"/>
                <w:w w:val="94"/>
              </w:rPr>
              <w:t xml:space="preserve">2.30% to 11.00% </w:t>
            </w:r>
            <w:r>
              <w:rPr>
                <w:rFonts w:ascii="Arial" w:cs="Arial" w:eastAsia="Arial" w:hAnsi="Arial"/>
                <w:sz w:val="9"/>
                <w:szCs w:val="9"/>
                <w:color w:val="auto"/>
                <w:w w:val="94"/>
              </w:rPr>
              <w:t>(B)</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gridSpan w:val="2"/>
          </w:tcPr>
          <w:p>
            <w:pPr>
              <w:jc w:val="right"/>
              <w:ind w:right="100"/>
              <w:spacing w:after="0" w:line="147"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ind w:right="29"/>
              <w:spacing w:after="0" w:line="147" w:lineRule="exact"/>
              <w:rPr>
                <w:sz w:val="20"/>
                <w:szCs w:val="20"/>
                <w:color w:val="auto"/>
              </w:rPr>
            </w:pPr>
            <w:r>
              <w:rPr>
                <w:rFonts w:ascii="Arial" w:cs="Arial" w:eastAsia="Arial" w:hAnsi="Arial"/>
                <w:sz w:val="14"/>
                <w:szCs w:val="14"/>
                <w:color w:val="auto"/>
              </w:rPr>
              <w:t>1,111</w:t>
            </w:r>
          </w:p>
        </w:tc>
        <w:tc>
          <w:tcPr>
            <w:tcW w:w="0" w:type="dxa"/>
            <w:vAlign w:val="bottom"/>
          </w:tcPr>
          <w:p>
            <w:pPr>
              <w:spacing w:after="0"/>
              <w:rPr>
                <w:sz w:val="1"/>
                <w:szCs w:val="1"/>
                <w:color w:val="auto"/>
              </w:rPr>
            </w:pPr>
          </w:p>
        </w:tc>
      </w:tr>
      <w:tr>
        <w:trPr>
          <w:trHeight w:val="147"/>
        </w:trPr>
        <w:tc>
          <w:tcPr>
            <w:tcW w:w="1900" w:type="dxa"/>
            <w:vAlign w:val="bottom"/>
          </w:tcPr>
          <w:p>
            <w:pPr>
              <w:spacing w:after="0" w:line="147" w:lineRule="exact"/>
              <w:rPr>
                <w:sz w:val="20"/>
                <w:szCs w:val="20"/>
                <w:color w:val="auto"/>
              </w:rPr>
            </w:pPr>
            <w:r>
              <w:rPr>
                <w:rFonts w:ascii="Arial" w:cs="Arial" w:eastAsia="Arial" w:hAnsi="Arial"/>
                <w:sz w:val="14"/>
                <w:szCs w:val="14"/>
                <w:color w:val="auto"/>
                <w:w w:val="91"/>
              </w:rPr>
              <w:t>Receive Fixed Cancellable Swap</w:t>
            </w:r>
          </w:p>
        </w:tc>
        <w:tc>
          <w:tcPr>
            <w:tcW w:w="60" w:type="dxa"/>
            <w:vAlign w:val="bottom"/>
          </w:tcPr>
          <w:p>
            <w:pPr>
              <w:spacing w:after="0"/>
              <w:rPr>
                <w:sz w:val="12"/>
                <w:szCs w:val="12"/>
                <w:color w:val="auto"/>
              </w:rPr>
            </w:pPr>
          </w:p>
        </w:tc>
        <w:tc>
          <w:tcPr>
            <w:tcW w:w="760" w:type="dxa"/>
            <w:vAlign w:val="bottom"/>
          </w:tcPr>
          <w:p>
            <w:pPr>
              <w:jc w:val="center"/>
              <w:spacing w:after="0" w:line="147" w:lineRule="exact"/>
              <w:rPr>
                <w:sz w:val="20"/>
                <w:szCs w:val="20"/>
                <w:color w:val="auto"/>
              </w:rPr>
            </w:pPr>
            <w:r>
              <w:rPr>
                <w:rFonts w:ascii="Arial" w:cs="Arial" w:eastAsia="Arial" w:hAnsi="Arial"/>
                <w:sz w:val="14"/>
                <w:szCs w:val="14"/>
                <w:color w:val="auto"/>
                <w:w w:val="93"/>
              </w:rPr>
              <w:t>Fair Value</w:t>
            </w:r>
          </w:p>
        </w:tc>
        <w:tc>
          <w:tcPr>
            <w:tcW w:w="80" w:type="dxa"/>
            <w:vAlign w:val="bottom"/>
          </w:tcPr>
          <w:p>
            <w:pPr>
              <w:spacing w:after="0"/>
              <w:rPr>
                <w:sz w:val="12"/>
                <w:szCs w:val="12"/>
                <w:color w:val="auto"/>
              </w:rPr>
            </w:pPr>
          </w:p>
        </w:tc>
        <w:tc>
          <w:tcPr>
            <w:tcW w:w="1660" w:type="dxa"/>
            <w:vAlign w:val="bottom"/>
          </w:tcPr>
          <w:p>
            <w:pPr>
              <w:jc w:val="center"/>
              <w:spacing w:after="0" w:line="147" w:lineRule="exact"/>
              <w:rPr>
                <w:sz w:val="20"/>
                <w:szCs w:val="20"/>
                <w:color w:val="auto"/>
              </w:rPr>
            </w:pPr>
            <w:r>
              <w:rPr>
                <w:rFonts w:ascii="Arial" w:cs="Arial" w:eastAsia="Arial" w:hAnsi="Arial"/>
                <w:sz w:val="14"/>
                <w:szCs w:val="14"/>
                <w:color w:val="auto"/>
                <w:w w:val="96"/>
              </w:rPr>
              <w:t>Brokered CD</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ind w:right="9"/>
              <w:spacing w:after="0" w:line="147" w:lineRule="exact"/>
              <w:rPr>
                <w:sz w:val="20"/>
                <w:szCs w:val="20"/>
                <w:color w:val="auto"/>
              </w:rPr>
            </w:pPr>
            <w:r>
              <w:rPr>
                <w:rFonts w:ascii="Arial" w:cs="Arial" w:eastAsia="Arial" w:hAnsi="Arial"/>
                <w:sz w:val="14"/>
                <w:szCs w:val="14"/>
                <w:color w:val="auto"/>
              </w:rPr>
              <w:t>12,500</w:t>
            </w:r>
          </w:p>
        </w:tc>
        <w:tc>
          <w:tcPr>
            <w:tcW w:w="620" w:type="dxa"/>
            <w:vAlign w:val="bottom"/>
            <w:gridSpan w:val="2"/>
          </w:tcPr>
          <w:p>
            <w:pPr>
              <w:jc w:val="center"/>
              <w:ind w:left="9"/>
              <w:spacing w:after="0" w:line="147" w:lineRule="exact"/>
              <w:rPr>
                <w:sz w:val="20"/>
                <w:szCs w:val="20"/>
                <w:color w:val="auto"/>
              </w:rPr>
            </w:pPr>
            <w:r>
              <w:rPr>
                <w:rFonts w:ascii="Arial" w:cs="Arial" w:eastAsia="Arial" w:hAnsi="Arial"/>
                <w:sz w:val="14"/>
                <w:szCs w:val="14"/>
                <w:color w:val="auto"/>
                <w:w w:val="91"/>
              </w:rPr>
              <w:t>11/14/12</w:t>
            </w:r>
          </w:p>
        </w:tc>
        <w:tc>
          <w:tcPr>
            <w:tcW w:w="660" w:type="dxa"/>
            <w:vAlign w:val="bottom"/>
            <w:gridSpan w:val="2"/>
          </w:tcPr>
          <w:p>
            <w:pPr>
              <w:ind w:left="120"/>
              <w:spacing w:after="0" w:line="147" w:lineRule="exact"/>
              <w:rPr>
                <w:sz w:val="20"/>
                <w:szCs w:val="20"/>
                <w:color w:val="auto"/>
              </w:rPr>
            </w:pPr>
            <w:r>
              <w:rPr>
                <w:rFonts w:ascii="Arial" w:cs="Arial" w:eastAsia="Arial" w:hAnsi="Arial"/>
                <w:sz w:val="14"/>
                <w:szCs w:val="14"/>
                <w:color w:val="auto"/>
                <w:w w:val="95"/>
              </w:rPr>
              <w:t>11/30/12</w:t>
            </w:r>
          </w:p>
        </w:tc>
        <w:tc>
          <w:tcPr>
            <w:tcW w:w="80" w:type="dxa"/>
            <w:vAlign w:val="bottom"/>
          </w:tcPr>
          <w:p>
            <w:pPr>
              <w:spacing w:after="0"/>
              <w:rPr>
                <w:sz w:val="12"/>
                <w:szCs w:val="12"/>
                <w:color w:val="auto"/>
              </w:rPr>
            </w:pPr>
          </w:p>
        </w:tc>
        <w:tc>
          <w:tcPr>
            <w:tcW w:w="2160" w:type="dxa"/>
            <w:vAlign w:val="bottom"/>
            <w:gridSpan w:val="3"/>
          </w:tcPr>
          <w:p>
            <w:pPr>
              <w:ind w:left="40"/>
              <w:spacing w:after="0" w:line="147" w:lineRule="exact"/>
              <w:rPr>
                <w:sz w:val="20"/>
                <w:szCs w:val="20"/>
                <w:color w:val="auto"/>
              </w:rPr>
            </w:pPr>
            <w:r>
              <w:rPr>
                <w:rFonts w:ascii="Arial" w:cs="Arial" w:eastAsia="Arial" w:hAnsi="Arial"/>
                <w:sz w:val="14"/>
                <w:szCs w:val="14"/>
                <w:color w:val="auto"/>
              </w:rPr>
              <w:t>11/30/32   3 mo. LIBOR - 38 bps</w:t>
            </w:r>
          </w:p>
        </w:tc>
        <w:tc>
          <w:tcPr>
            <w:tcW w:w="80" w:type="dxa"/>
            <w:vAlign w:val="bottom"/>
          </w:tcPr>
          <w:p>
            <w:pPr>
              <w:spacing w:after="0"/>
              <w:rPr>
                <w:sz w:val="12"/>
                <w:szCs w:val="12"/>
                <w:color w:val="auto"/>
              </w:rPr>
            </w:pPr>
          </w:p>
        </w:tc>
        <w:tc>
          <w:tcPr>
            <w:tcW w:w="1160" w:type="dxa"/>
            <w:vAlign w:val="bottom"/>
          </w:tcPr>
          <w:p>
            <w:pPr>
              <w:jc w:val="center"/>
              <w:spacing w:after="0" w:line="147" w:lineRule="exact"/>
              <w:rPr>
                <w:sz w:val="20"/>
                <w:szCs w:val="20"/>
                <w:color w:val="auto"/>
              </w:rPr>
            </w:pPr>
            <w:r>
              <w:rPr>
                <w:rFonts w:ascii="Arial" w:cs="Arial" w:eastAsia="Arial" w:hAnsi="Arial"/>
                <w:sz w:val="14"/>
                <w:szCs w:val="14"/>
                <w:color w:val="auto"/>
                <w:w w:val="94"/>
              </w:rPr>
              <w:t xml:space="preserve">2.20% to 11.00% </w:t>
            </w:r>
            <w:r>
              <w:rPr>
                <w:rFonts w:ascii="Arial" w:cs="Arial" w:eastAsia="Arial" w:hAnsi="Arial"/>
                <w:sz w:val="9"/>
                <w:szCs w:val="9"/>
                <w:color w:val="auto"/>
                <w:w w:val="94"/>
              </w:rPr>
              <w:t>(B)</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gridSpan w:val="2"/>
          </w:tcPr>
          <w:p>
            <w:pPr>
              <w:jc w:val="right"/>
              <w:ind w:right="100"/>
              <w:spacing w:after="0" w:line="147"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ind w:right="29"/>
              <w:spacing w:after="0" w:line="147" w:lineRule="exact"/>
              <w:rPr>
                <w:sz w:val="20"/>
                <w:szCs w:val="20"/>
                <w:color w:val="auto"/>
              </w:rPr>
            </w:pPr>
            <w:r>
              <w:rPr>
                <w:rFonts w:ascii="Arial" w:cs="Arial" w:eastAsia="Arial" w:hAnsi="Arial"/>
                <w:sz w:val="14"/>
                <w:szCs w:val="14"/>
                <w:color w:val="auto"/>
              </w:rPr>
              <w:t>1,284</w:t>
            </w:r>
          </w:p>
        </w:tc>
        <w:tc>
          <w:tcPr>
            <w:tcW w:w="0" w:type="dxa"/>
            <w:vAlign w:val="bottom"/>
          </w:tcPr>
          <w:p>
            <w:pPr>
              <w:spacing w:after="0"/>
              <w:rPr>
                <w:sz w:val="1"/>
                <w:szCs w:val="1"/>
                <w:color w:val="auto"/>
              </w:rPr>
            </w:pPr>
          </w:p>
        </w:tc>
      </w:tr>
      <w:tr>
        <w:trPr>
          <w:trHeight w:val="147"/>
        </w:trPr>
        <w:tc>
          <w:tcPr>
            <w:tcW w:w="1900" w:type="dxa"/>
            <w:vAlign w:val="bottom"/>
          </w:tcPr>
          <w:p>
            <w:pPr>
              <w:spacing w:after="0" w:line="147" w:lineRule="exact"/>
              <w:rPr>
                <w:sz w:val="20"/>
                <w:szCs w:val="20"/>
                <w:color w:val="auto"/>
              </w:rPr>
            </w:pPr>
            <w:r>
              <w:rPr>
                <w:rFonts w:ascii="Arial" w:cs="Arial" w:eastAsia="Arial" w:hAnsi="Arial"/>
                <w:sz w:val="14"/>
                <w:szCs w:val="14"/>
                <w:color w:val="auto"/>
                <w:w w:val="91"/>
              </w:rPr>
              <w:t>Receive Fixed Cancellable Swap</w:t>
            </w:r>
          </w:p>
        </w:tc>
        <w:tc>
          <w:tcPr>
            <w:tcW w:w="60" w:type="dxa"/>
            <w:vAlign w:val="bottom"/>
          </w:tcPr>
          <w:p>
            <w:pPr>
              <w:spacing w:after="0"/>
              <w:rPr>
                <w:sz w:val="12"/>
                <w:szCs w:val="12"/>
                <w:color w:val="auto"/>
              </w:rPr>
            </w:pPr>
          </w:p>
        </w:tc>
        <w:tc>
          <w:tcPr>
            <w:tcW w:w="760" w:type="dxa"/>
            <w:vAlign w:val="bottom"/>
          </w:tcPr>
          <w:p>
            <w:pPr>
              <w:jc w:val="center"/>
              <w:spacing w:after="0" w:line="147" w:lineRule="exact"/>
              <w:rPr>
                <w:sz w:val="20"/>
                <w:szCs w:val="20"/>
                <w:color w:val="auto"/>
              </w:rPr>
            </w:pPr>
            <w:r>
              <w:rPr>
                <w:rFonts w:ascii="Arial" w:cs="Arial" w:eastAsia="Arial" w:hAnsi="Arial"/>
                <w:sz w:val="14"/>
                <w:szCs w:val="14"/>
                <w:color w:val="auto"/>
                <w:w w:val="93"/>
              </w:rPr>
              <w:t>Fair Value</w:t>
            </w:r>
          </w:p>
        </w:tc>
        <w:tc>
          <w:tcPr>
            <w:tcW w:w="80" w:type="dxa"/>
            <w:vAlign w:val="bottom"/>
          </w:tcPr>
          <w:p>
            <w:pPr>
              <w:spacing w:after="0"/>
              <w:rPr>
                <w:sz w:val="12"/>
                <w:szCs w:val="12"/>
                <w:color w:val="auto"/>
              </w:rPr>
            </w:pPr>
          </w:p>
        </w:tc>
        <w:tc>
          <w:tcPr>
            <w:tcW w:w="1660" w:type="dxa"/>
            <w:vAlign w:val="bottom"/>
          </w:tcPr>
          <w:p>
            <w:pPr>
              <w:jc w:val="center"/>
              <w:spacing w:after="0" w:line="147" w:lineRule="exact"/>
              <w:rPr>
                <w:sz w:val="20"/>
                <w:szCs w:val="20"/>
                <w:color w:val="auto"/>
              </w:rPr>
            </w:pPr>
            <w:r>
              <w:rPr>
                <w:rFonts w:ascii="Arial" w:cs="Arial" w:eastAsia="Arial" w:hAnsi="Arial"/>
                <w:sz w:val="14"/>
                <w:szCs w:val="14"/>
                <w:color w:val="auto"/>
                <w:w w:val="96"/>
              </w:rPr>
              <w:t>Brokered CD</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ind w:right="9"/>
              <w:spacing w:after="0" w:line="147" w:lineRule="exact"/>
              <w:rPr>
                <w:sz w:val="20"/>
                <w:szCs w:val="20"/>
                <w:color w:val="auto"/>
              </w:rPr>
            </w:pPr>
            <w:r>
              <w:rPr>
                <w:rFonts w:ascii="Arial" w:cs="Arial" w:eastAsia="Arial" w:hAnsi="Arial"/>
                <w:sz w:val="14"/>
                <w:szCs w:val="14"/>
                <w:color w:val="auto"/>
              </w:rPr>
              <w:t>12,000</w:t>
            </w:r>
          </w:p>
        </w:tc>
        <w:tc>
          <w:tcPr>
            <w:tcW w:w="620" w:type="dxa"/>
            <w:vAlign w:val="bottom"/>
            <w:gridSpan w:val="2"/>
          </w:tcPr>
          <w:p>
            <w:pPr>
              <w:jc w:val="center"/>
              <w:ind w:left="9"/>
              <w:spacing w:after="0" w:line="147" w:lineRule="exact"/>
              <w:rPr>
                <w:sz w:val="20"/>
                <w:szCs w:val="20"/>
                <w:color w:val="auto"/>
              </w:rPr>
            </w:pPr>
            <w:r>
              <w:rPr>
                <w:rFonts w:ascii="Arial" w:cs="Arial" w:eastAsia="Arial" w:hAnsi="Arial"/>
                <w:sz w:val="14"/>
                <w:szCs w:val="14"/>
                <w:color w:val="auto"/>
                <w:w w:val="91"/>
              </w:rPr>
              <w:t>11/28/12</w:t>
            </w:r>
          </w:p>
        </w:tc>
        <w:tc>
          <w:tcPr>
            <w:tcW w:w="660" w:type="dxa"/>
            <w:vAlign w:val="bottom"/>
            <w:gridSpan w:val="2"/>
          </w:tcPr>
          <w:p>
            <w:pPr>
              <w:ind w:left="120"/>
              <w:spacing w:after="0" w:line="147" w:lineRule="exact"/>
              <w:rPr>
                <w:sz w:val="20"/>
                <w:szCs w:val="20"/>
                <w:color w:val="auto"/>
              </w:rPr>
            </w:pPr>
            <w:r>
              <w:rPr>
                <w:rFonts w:ascii="Arial" w:cs="Arial" w:eastAsia="Arial" w:hAnsi="Arial"/>
                <w:sz w:val="14"/>
                <w:szCs w:val="14"/>
                <w:color w:val="auto"/>
                <w:w w:val="95"/>
              </w:rPr>
              <w:t>12/27/12</w:t>
            </w:r>
          </w:p>
        </w:tc>
        <w:tc>
          <w:tcPr>
            <w:tcW w:w="80" w:type="dxa"/>
            <w:vAlign w:val="bottom"/>
          </w:tcPr>
          <w:p>
            <w:pPr>
              <w:spacing w:after="0"/>
              <w:rPr>
                <w:sz w:val="12"/>
                <w:szCs w:val="12"/>
                <w:color w:val="auto"/>
              </w:rPr>
            </w:pPr>
          </w:p>
        </w:tc>
        <w:tc>
          <w:tcPr>
            <w:tcW w:w="2160" w:type="dxa"/>
            <w:vAlign w:val="bottom"/>
            <w:gridSpan w:val="3"/>
          </w:tcPr>
          <w:p>
            <w:pPr>
              <w:ind w:left="40"/>
              <w:spacing w:after="0" w:line="147" w:lineRule="exact"/>
              <w:rPr>
                <w:sz w:val="20"/>
                <w:szCs w:val="20"/>
                <w:color w:val="auto"/>
              </w:rPr>
            </w:pPr>
            <w:r>
              <w:rPr>
                <w:rFonts w:ascii="Arial" w:cs="Arial" w:eastAsia="Arial" w:hAnsi="Arial"/>
                <w:sz w:val="14"/>
                <w:szCs w:val="14"/>
                <w:color w:val="auto"/>
              </w:rPr>
              <w:t>12/27/32   3 mo. LIBOR - 38 bps</w:t>
            </w:r>
          </w:p>
        </w:tc>
        <w:tc>
          <w:tcPr>
            <w:tcW w:w="80" w:type="dxa"/>
            <w:vAlign w:val="bottom"/>
          </w:tcPr>
          <w:p>
            <w:pPr>
              <w:spacing w:after="0"/>
              <w:rPr>
                <w:sz w:val="12"/>
                <w:szCs w:val="12"/>
                <w:color w:val="auto"/>
              </w:rPr>
            </w:pPr>
          </w:p>
        </w:tc>
        <w:tc>
          <w:tcPr>
            <w:tcW w:w="1160" w:type="dxa"/>
            <w:vAlign w:val="bottom"/>
          </w:tcPr>
          <w:p>
            <w:pPr>
              <w:jc w:val="center"/>
              <w:spacing w:after="0" w:line="147" w:lineRule="exact"/>
              <w:rPr>
                <w:sz w:val="20"/>
                <w:szCs w:val="20"/>
                <w:color w:val="auto"/>
              </w:rPr>
            </w:pPr>
            <w:r>
              <w:rPr>
                <w:rFonts w:ascii="Arial" w:cs="Arial" w:eastAsia="Arial" w:hAnsi="Arial"/>
                <w:sz w:val="14"/>
                <w:szCs w:val="14"/>
                <w:color w:val="auto"/>
                <w:w w:val="94"/>
              </w:rPr>
              <w:t xml:space="preserve">2.25% to 11.00% </w:t>
            </w:r>
            <w:r>
              <w:rPr>
                <w:rFonts w:ascii="Arial" w:cs="Arial" w:eastAsia="Arial" w:hAnsi="Arial"/>
                <w:sz w:val="9"/>
                <w:szCs w:val="9"/>
                <w:color w:val="auto"/>
                <w:w w:val="94"/>
              </w:rPr>
              <w:t>(B)</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gridSpan w:val="2"/>
          </w:tcPr>
          <w:p>
            <w:pPr>
              <w:jc w:val="right"/>
              <w:ind w:right="100"/>
              <w:spacing w:after="0" w:line="147"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ind w:right="29"/>
              <w:spacing w:after="0" w:line="147" w:lineRule="exact"/>
              <w:rPr>
                <w:sz w:val="20"/>
                <w:szCs w:val="20"/>
                <w:color w:val="auto"/>
              </w:rPr>
            </w:pPr>
            <w:r>
              <w:rPr>
                <w:rFonts w:ascii="Arial" w:cs="Arial" w:eastAsia="Arial" w:hAnsi="Arial"/>
                <w:sz w:val="14"/>
                <w:szCs w:val="14"/>
                <w:color w:val="auto"/>
              </w:rPr>
              <w:t>1,213</w:t>
            </w:r>
          </w:p>
        </w:tc>
        <w:tc>
          <w:tcPr>
            <w:tcW w:w="0" w:type="dxa"/>
            <w:vAlign w:val="bottom"/>
          </w:tcPr>
          <w:p>
            <w:pPr>
              <w:spacing w:after="0"/>
              <w:rPr>
                <w:sz w:val="1"/>
                <w:szCs w:val="1"/>
                <w:color w:val="auto"/>
              </w:rPr>
            </w:pPr>
          </w:p>
        </w:tc>
      </w:tr>
      <w:tr>
        <w:trPr>
          <w:trHeight w:val="147"/>
        </w:trPr>
        <w:tc>
          <w:tcPr>
            <w:tcW w:w="1900" w:type="dxa"/>
            <w:vAlign w:val="bottom"/>
          </w:tcPr>
          <w:p>
            <w:pPr>
              <w:spacing w:after="0" w:line="147" w:lineRule="exact"/>
              <w:rPr>
                <w:sz w:val="20"/>
                <w:szCs w:val="20"/>
                <w:color w:val="auto"/>
              </w:rPr>
            </w:pPr>
            <w:r>
              <w:rPr>
                <w:rFonts w:ascii="Arial" w:cs="Arial" w:eastAsia="Arial" w:hAnsi="Arial"/>
                <w:sz w:val="14"/>
                <w:szCs w:val="14"/>
                <w:color w:val="auto"/>
                <w:w w:val="91"/>
              </w:rPr>
              <w:t>Receive Fixed Cancellable Swap</w:t>
            </w:r>
          </w:p>
        </w:tc>
        <w:tc>
          <w:tcPr>
            <w:tcW w:w="60" w:type="dxa"/>
            <w:vAlign w:val="bottom"/>
          </w:tcPr>
          <w:p>
            <w:pPr>
              <w:spacing w:after="0"/>
              <w:rPr>
                <w:sz w:val="12"/>
                <w:szCs w:val="12"/>
                <w:color w:val="auto"/>
              </w:rPr>
            </w:pPr>
          </w:p>
        </w:tc>
        <w:tc>
          <w:tcPr>
            <w:tcW w:w="760" w:type="dxa"/>
            <w:vAlign w:val="bottom"/>
          </w:tcPr>
          <w:p>
            <w:pPr>
              <w:jc w:val="center"/>
              <w:spacing w:after="0" w:line="147" w:lineRule="exact"/>
              <w:rPr>
                <w:sz w:val="20"/>
                <w:szCs w:val="20"/>
                <w:color w:val="auto"/>
              </w:rPr>
            </w:pPr>
            <w:r>
              <w:rPr>
                <w:rFonts w:ascii="Arial" w:cs="Arial" w:eastAsia="Arial" w:hAnsi="Arial"/>
                <w:sz w:val="14"/>
                <w:szCs w:val="14"/>
                <w:color w:val="auto"/>
                <w:w w:val="93"/>
              </w:rPr>
              <w:t>Fair Value</w:t>
            </w:r>
          </w:p>
        </w:tc>
        <w:tc>
          <w:tcPr>
            <w:tcW w:w="80" w:type="dxa"/>
            <w:vAlign w:val="bottom"/>
          </w:tcPr>
          <w:p>
            <w:pPr>
              <w:spacing w:after="0"/>
              <w:rPr>
                <w:sz w:val="12"/>
                <w:szCs w:val="12"/>
                <w:color w:val="auto"/>
              </w:rPr>
            </w:pPr>
          </w:p>
        </w:tc>
        <w:tc>
          <w:tcPr>
            <w:tcW w:w="1660" w:type="dxa"/>
            <w:vAlign w:val="bottom"/>
          </w:tcPr>
          <w:p>
            <w:pPr>
              <w:jc w:val="center"/>
              <w:spacing w:after="0" w:line="147" w:lineRule="exact"/>
              <w:rPr>
                <w:sz w:val="20"/>
                <w:szCs w:val="20"/>
                <w:color w:val="auto"/>
              </w:rPr>
            </w:pPr>
            <w:r>
              <w:rPr>
                <w:rFonts w:ascii="Arial" w:cs="Arial" w:eastAsia="Arial" w:hAnsi="Arial"/>
                <w:sz w:val="14"/>
                <w:szCs w:val="14"/>
                <w:color w:val="auto"/>
                <w:w w:val="96"/>
              </w:rPr>
              <w:t>Brokered CD</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ind w:right="9"/>
              <w:spacing w:after="0" w:line="147" w:lineRule="exact"/>
              <w:rPr>
                <w:sz w:val="20"/>
                <w:szCs w:val="20"/>
                <w:color w:val="auto"/>
              </w:rPr>
            </w:pPr>
            <w:r>
              <w:rPr>
                <w:rFonts w:ascii="Arial" w:cs="Arial" w:eastAsia="Arial" w:hAnsi="Arial"/>
                <w:sz w:val="14"/>
                <w:szCs w:val="14"/>
                <w:color w:val="auto"/>
              </w:rPr>
              <w:t>10,000</w:t>
            </w:r>
          </w:p>
        </w:tc>
        <w:tc>
          <w:tcPr>
            <w:tcW w:w="620" w:type="dxa"/>
            <w:vAlign w:val="bottom"/>
            <w:gridSpan w:val="2"/>
          </w:tcPr>
          <w:p>
            <w:pPr>
              <w:jc w:val="center"/>
              <w:ind w:left="9"/>
              <w:spacing w:after="0" w:line="147" w:lineRule="exact"/>
              <w:rPr>
                <w:sz w:val="20"/>
                <w:szCs w:val="20"/>
                <w:color w:val="auto"/>
              </w:rPr>
            </w:pPr>
            <w:r>
              <w:rPr>
                <w:rFonts w:ascii="Arial" w:cs="Arial" w:eastAsia="Arial" w:hAnsi="Arial"/>
                <w:sz w:val="14"/>
                <w:szCs w:val="14"/>
                <w:color w:val="auto"/>
                <w:w w:val="91"/>
              </w:rPr>
              <w:t>12/27/12</w:t>
            </w:r>
          </w:p>
        </w:tc>
        <w:tc>
          <w:tcPr>
            <w:tcW w:w="660" w:type="dxa"/>
            <w:vAlign w:val="bottom"/>
            <w:gridSpan w:val="2"/>
          </w:tcPr>
          <w:p>
            <w:pPr>
              <w:ind w:left="120"/>
              <w:spacing w:after="0" w:line="147" w:lineRule="exact"/>
              <w:rPr>
                <w:sz w:val="20"/>
                <w:szCs w:val="20"/>
                <w:color w:val="auto"/>
              </w:rPr>
            </w:pPr>
            <w:r>
              <w:rPr>
                <w:rFonts w:ascii="Arial" w:cs="Arial" w:eastAsia="Arial" w:hAnsi="Arial"/>
                <w:sz w:val="14"/>
                <w:szCs w:val="14"/>
                <w:color w:val="auto"/>
                <w:w w:val="95"/>
              </w:rPr>
              <w:t>01/25/13</w:t>
            </w:r>
          </w:p>
        </w:tc>
        <w:tc>
          <w:tcPr>
            <w:tcW w:w="80" w:type="dxa"/>
            <w:vAlign w:val="bottom"/>
          </w:tcPr>
          <w:p>
            <w:pPr>
              <w:spacing w:after="0"/>
              <w:rPr>
                <w:sz w:val="12"/>
                <w:szCs w:val="12"/>
                <w:color w:val="auto"/>
              </w:rPr>
            </w:pPr>
          </w:p>
        </w:tc>
        <w:tc>
          <w:tcPr>
            <w:tcW w:w="2160" w:type="dxa"/>
            <w:vAlign w:val="bottom"/>
            <w:gridSpan w:val="3"/>
          </w:tcPr>
          <w:p>
            <w:pPr>
              <w:ind w:left="40"/>
              <w:spacing w:after="0" w:line="147" w:lineRule="exact"/>
              <w:rPr>
                <w:sz w:val="20"/>
                <w:szCs w:val="20"/>
                <w:color w:val="auto"/>
              </w:rPr>
            </w:pPr>
            <w:r>
              <w:rPr>
                <w:rFonts w:ascii="Arial" w:cs="Arial" w:eastAsia="Arial" w:hAnsi="Arial"/>
                <w:sz w:val="14"/>
                <w:szCs w:val="14"/>
                <w:color w:val="auto"/>
                <w:w w:val="98"/>
              </w:rPr>
              <w:t>12/25/28   3 mo. LIBOR - 20.5 bps</w:t>
            </w:r>
          </w:p>
        </w:tc>
        <w:tc>
          <w:tcPr>
            <w:tcW w:w="80" w:type="dxa"/>
            <w:vAlign w:val="bottom"/>
          </w:tcPr>
          <w:p>
            <w:pPr>
              <w:spacing w:after="0"/>
              <w:rPr>
                <w:sz w:val="12"/>
                <w:szCs w:val="12"/>
                <w:color w:val="auto"/>
              </w:rPr>
            </w:pPr>
          </w:p>
        </w:tc>
        <w:tc>
          <w:tcPr>
            <w:tcW w:w="1160" w:type="dxa"/>
            <w:vAlign w:val="bottom"/>
          </w:tcPr>
          <w:p>
            <w:pPr>
              <w:jc w:val="center"/>
              <w:spacing w:after="0" w:line="147" w:lineRule="exact"/>
              <w:rPr>
                <w:sz w:val="20"/>
                <w:szCs w:val="20"/>
                <w:color w:val="auto"/>
              </w:rPr>
            </w:pPr>
            <w:r>
              <w:rPr>
                <w:rFonts w:ascii="Arial" w:cs="Arial" w:eastAsia="Arial" w:hAnsi="Arial"/>
                <w:sz w:val="14"/>
                <w:szCs w:val="14"/>
                <w:color w:val="auto"/>
                <w:w w:val="94"/>
              </w:rPr>
              <w:t xml:space="preserve">2.15% to 8.00% </w:t>
            </w:r>
            <w:r>
              <w:rPr>
                <w:rFonts w:ascii="Arial" w:cs="Arial" w:eastAsia="Arial" w:hAnsi="Arial"/>
                <w:sz w:val="9"/>
                <w:szCs w:val="9"/>
                <w:color w:val="auto"/>
                <w:w w:val="94"/>
              </w:rPr>
              <w:t>(B)</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gridSpan w:val="2"/>
          </w:tcPr>
          <w:p>
            <w:pPr>
              <w:jc w:val="right"/>
              <w:ind w:right="100"/>
              <w:spacing w:after="0" w:line="147"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ind w:right="29"/>
              <w:spacing w:after="0" w:line="147" w:lineRule="exact"/>
              <w:rPr>
                <w:sz w:val="20"/>
                <w:szCs w:val="20"/>
                <w:color w:val="auto"/>
              </w:rPr>
            </w:pPr>
            <w:r>
              <w:rPr>
                <w:rFonts w:ascii="Arial" w:cs="Arial" w:eastAsia="Arial" w:hAnsi="Arial"/>
                <w:sz w:val="14"/>
                <w:szCs w:val="14"/>
                <w:color w:val="auto"/>
              </w:rPr>
              <w:t>807</w:t>
            </w:r>
          </w:p>
        </w:tc>
        <w:tc>
          <w:tcPr>
            <w:tcW w:w="0" w:type="dxa"/>
            <w:vAlign w:val="bottom"/>
          </w:tcPr>
          <w:p>
            <w:pPr>
              <w:spacing w:after="0"/>
              <w:rPr>
                <w:sz w:val="1"/>
                <w:szCs w:val="1"/>
                <w:color w:val="auto"/>
              </w:rPr>
            </w:pPr>
          </w:p>
        </w:tc>
      </w:tr>
      <w:tr>
        <w:trPr>
          <w:trHeight w:val="147"/>
        </w:trPr>
        <w:tc>
          <w:tcPr>
            <w:tcW w:w="1900" w:type="dxa"/>
            <w:vAlign w:val="bottom"/>
          </w:tcPr>
          <w:p>
            <w:pPr>
              <w:spacing w:after="0" w:line="147" w:lineRule="exact"/>
              <w:rPr>
                <w:sz w:val="20"/>
                <w:szCs w:val="20"/>
                <w:color w:val="auto"/>
              </w:rPr>
            </w:pPr>
            <w:r>
              <w:rPr>
                <w:rFonts w:ascii="Arial" w:cs="Arial" w:eastAsia="Arial" w:hAnsi="Arial"/>
                <w:sz w:val="14"/>
                <w:szCs w:val="14"/>
                <w:color w:val="auto"/>
                <w:w w:val="91"/>
              </w:rPr>
              <w:t>Receive Fixed Cancellable Swap</w:t>
            </w:r>
          </w:p>
        </w:tc>
        <w:tc>
          <w:tcPr>
            <w:tcW w:w="60" w:type="dxa"/>
            <w:vAlign w:val="bottom"/>
          </w:tcPr>
          <w:p>
            <w:pPr>
              <w:spacing w:after="0"/>
              <w:rPr>
                <w:sz w:val="12"/>
                <w:szCs w:val="12"/>
                <w:color w:val="auto"/>
              </w:rPr>
            </w:pPr>
          </w:p>
        </w:tc>
        <w:tc>
          <w:tcPr>
            <w:tcW w:w="760" w:type="dxa"/>
            <w:vAlign w:val="bottom"/>
          </w:tcPr>
          <w:p>
            <w:pPr>
              <w:jc w:val="center"/>
              <w:spacing w:after="0" w:line="147" w:lineRule="exact"/>
              <w:rPr>
                <w:sz w:val="20"/>
                <w:szCs w:val="20"/>
                <w:color w:val="auto"/>
              </w:rPr>
            </w:pPr>
            <w:r>
              <w:rPr>
                <w:rFonts w:ascii="Arial" w:cs="Arial" w:eastAsia="Arial" w:hAnsi="Arial"/>
                <w:sz w:val="14"/>
                <w:szCs w:val="14"/>
                <w:color w:val="auto"/>
                <w:w w:val="93"/>
              </w:rPr>
              <w:t>Fair Value</w:t>
            </w:r>
          </w:p>
        </w:tc>
        <w:tc>
          <w:tcPr>
            <w:tcW w:w="80" w:type="dxa"/>
            <w:vAlign w:val="bottom"/>
          </w:tcPr>
          <w:p>
            <w:pPr>
              <w:spacing w:after="0"/>
              <w:rPr>
                <w:sz w:val="12"/>
                <w:szCs w:val="12"/>
                <w:color w:val="auto"/>
              </w:rPr>
            </w:pPr>
          </w:p>
        </w:tc>
        <w:tc>
          <w:tcPr>
            <w:tcW w:w="1660" w:type="dxa"/>
            <w:vAlign w:val="bottom"/>
          </w:tcPr>
          <w:p>
            <w:pPr>
              <w:jc w:val="center"/>
              <w:spacing w:after="0" w:line="147" w:lineRule="exact"/>
              <w:rPr>
                <w:sz w:val="20"/>
                <w:szCs w:val="20"/>
                <w:color w:val="auto"/>
              </w:rPr>
            </w:pPr>
            <w:r>
              <w:rPr>
                <w:rFonts w:ascii="Arial" w:cs="Arial" w:eastAsia="Arial" w:hAnsi="Arial"/>
                <w:sz w:val="14"/>
                <w:szCs w:val="14"/>
                <w:color w:val="auto"/>
                <w:w w:val="96"/>
              </w:rPr>
              <w:t>Brokered CD</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ind w:right="9"/>
              <w:spacing w:after="0" w:line="147" w:lineRule="exact"/>
              <w:rPr>
                <w:sz w:val="20"/>
                <w:szCs w:val="20"/>
                <w:color w:val="auto"/>
              </w:rPr>
            </w:pPr>
            <w:r>
              <w:rPr>
                <w:rFonts w:ascii="Arial" w:cs="Arial" w:eastAsia="Arial" w:hAnsi="Arial"/>
                <w:sz w:val="14"/>
                <w:szCs w:val="14"/>
                <w:color w:val="auto"/>
              </w:rPr>
              <w:t>13,000</w:t>
            </w:r>
          </w:p>
        </w:tc>
        <w:tc>
          <w:tcPr>
            <w:tcW w:w="620" w:type="dxa"/>
            <w:vAlign w:val="bottom"/>
            <w:gridSpan w:val="2"/>
          </w:tcPr>
          <w:p>
            <w:pPr>
              <w:jc w:val="center"/>
              <w:ind w:left="9"/>
              <w:spacing w:after="0" w:line="147" w:lineRule="exact"/>
              <w:rPr>
                <w:sz w:val="20"/>
                <w:szCs w:val="20"/>
                <w:color w:val="auto"/>
              </w:rPr>
            </w:pPr>
            <w:r>
              <w:rPr>
                <w:rFonts w:ascii="Arial" w:cs="Arial" w:eastAsia="Arial" w:hAnsi="Arial"/>
                <w:sz w:val="14"/>
                <w:szCs w:val="14"/>
                <w:color w:val="auto"/>
                <w:w w:val="91"/>
              </w:rPr>
              <w:t>01/17/13</w:t>
            </w:r>
          </w:p>
        </w:tc>
        <w:tc>
          <w:tcPr>
            <w:tcW w:w="660" w:type="dxa"/>
            <w:vAlign w:val="bottom"/>
            <w:gridSpan w:val="2"/>
          </w:tcPr>
          <w:p>
            <w:pPr>
              <w:ind w:left="120"/>
              <w:spacing w:after="0" w:line="147" w:lineRule="exact"/>
              <w:rPr>
                <w:sz w:val="20"/>
                <w:szCs w:val="20"/>
                <w:color w:val="auto"/>
              </w:rPr>
            </w:pPr>
            <w:r>
              <w:rPr>
                <w:rFonts w:ascii="Arial" w:cs="Arial" w:eastAsia="Arial" w:hAnsi="Arial"/>
                <w:sz w:val="14"/>
                <w:szCs w:val="14"/>
                <w:color w:val="auto"/>
                <w:w w:val="95"/>
              </w:rPr>
              <w:t>02/15/13</w:t>
            </w:r>
          </w:p>
        </w:tc>
        <w:tc>
          <w:tcPr>
            <w:tcW w:w="80" w:type="dxa"/>
            <w:vAlign w:val="bottom"/>
          </w:tcPr>
          <w:p>
            <w:pPr>
              <w:spacing w:after="0"/>
              <w:rPr>
                <w:sz w:val="12"/>
                <w:szCs w:val="12"/>
                <w:color w:val="auto"/>
              </w:rPr>
            </w:pPr>
          </w:p>
        </w:tc>
        <w:tc>
          <w:tcPr>
            <w:tcW w:w="2160" w:type="dxa"/>
            <w:vAlign w:val="bottom"/>
            <w:gridSpan w:val="3"/>
          </w:tcPr>
          <w:p>
            <w:pPr>
              <w:ind w:left="40"/>
              <w:spacing w:after="0" w:line="147" w:lineRule="exact"/>
              <w:rPr>
                <w:sz w:val="20"/>
                <w:szCs w:val="20"/>
                <w:color w:val="auto"/>
              </w:rPr>
            </w:pPr>
            <w:r>
              <w:rPr>
                <w:rFonts w:ascii="Arial" w:cs="Arial" w:eastAsia="Arial" w:hAnsi="Arial"/>
                <w:sz w:val="14"/>
                <w:szCs w:val="14"/>
                <w:color w:val="auto"/>
              </w:rPr>
              <w:t>02/15/23   3 mo. LIBOR - 20 bps</w:t>
            </w:r>
          </w:p>
        </w:tc>
        <w:tc>
          <w:tcPr>
            <w:tcW w:w="80" w:type="dxa"/>
            <w:vAlign w:val="bottom"/>
          </w:tcPr>
          <w:p>
            <w:pPr>
              <w:spacing w:after="0"/>
              <w:rPr>
                <w:sz w:val="12"/>
                <w:szCs w:val="12"/>
                <w:color w:val="auto"/>
              </w:rPr>
            </w:pPr>
          </w:p>
        </w:tc>
        <w:tc>
          <w:tcPr>
            <w:tcW w:w="1160" w:type="dxa"/>
            <w:vAlign w:val="bottom"/>
          </w:tcPr>
          <w:p>
            <w:pPr>
              <w:jc w:val="center"/>
              <w:spacing w:after="0" w:line="147" w:lineRule="exact"/>
              <w:rPr>
                <w:sz w:val="20"/>
                <w:szCs w:val="20"/>
                <w:color w:val="auto"/>
              </w:rPr>
            </w:pPr>
            <w:r>
              <w:rPr>
                <w:rFonts w:ascii="Arial" w:cs="Arial" w:eastAsia="Arial" w:hAnsi="Arial"/>
                <w:sz w:val="14"/>
                <w:szCs w:val="14"/>
                <w:color w:val="auto"/>
                <w:w w:val="94"/>
              </w:rPr>
              <w:t xml:space="preserve">1.50% to 5.50% </w:t>
            </w:r>
            <w:r>
              <w:rPr>
                <w:rFonts w:ascii="Arial" w:cs="Arial" w:eastAsia="Arial" w:hAnsi="Arial"/>
                <w:sz w:val="9"/>
                <w:szCs w:val="9"/>
                <w:color w:val="auto"/>
                <w:w w:val="94"/>
              </w:rPr>
              <w:t>(B)</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gridSpan w:val="2"/>
          </w:tcPr>
          <w:p>
            <w:pPr>
              <w:jc w:val="right"/>
              <w:ind w:right="100"/>
              <w:spacing w:after="0" w:line="147"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ind w:right="29"/>
              <w:spacing w:after="0" w:line="147" w:lineRule="exact"/>
              <w:rPr>
                <w:sz w:val="20"/>
                <w:szCs w:val="20"/>
                <w:color w:val="auto"/>
              </w:rPr>
            </w:pPr>
            <w:r>
              <w:rPr>
                <w:rFonts w:ascii="Arial" w:cs="Arial" w:eastAsia="Arial" w:hAnsi="Arial"/>
                <w:sz w:val="14"/>
                <w:szCs w:val="14"/>
                <w:color w:val="auto"/>
              </w:rPr>
              <w:t>707</w:t>
            </w:r>
          </w:p>
        </w:tc>
        <w:tc>
          <w:tcPr>
            <w:tcW w:w="0" w:type="dxa"/>
            <w:vAlign w:val="bottom"/>
          </w:tcPr>
          <w:p>
            <w:pPr>
              <w:spacing w:after="0"/>
              <w:rPr>
                <w:sz w:val="1"/>
                <w:szCs w:val="1"/>
                <w:color w:val="auto"/>
              </w:rPr>
            </w:pPr>
          </w:p>
        </w:tc>
      </w:tr>
      <w:tr>
        <w:trPr>
          <w:trHeight w:val="147"/>
        </w:trPr>
        <w:tc>
          <w:tcPr>
            <w:tcW w:w="1900" w:type="dxa"/>
            <w:vAlign w:val="bottom"/>
          </w:tcPr>
          <w:p>
            <w:pPr>
              <w:spacing w:after="0" w:line="147" w:lineRule="exact"/>
              <w:rPr>
                <w:sz w:val="20"/>
                <w:szCs w:val="20"/>
                <w:color w:val="auto"/>
              </w:rPr>
            </w:pPr>
            <w:r>
              <w:rPr>
                <w:rFonts w:ascii="Arial" w:cs="Arial" w:eastAsia="Arial" w:hAnsi="Arial"/>
                <w:sz w:val="14"/>
                <w:szCs w:val="14"/>
                <w:color w:val="auto"/>
                <w:w w:val="91"/>
              </w:rPr>
              <w:t>Receive Fixed Cancellable Swap</w:t>
            </w:r>
          </w:p>
        </w:tc>
        <w:tc>
          <w:tcPr>
            <w:tcW w:w="60" w:type="dxa"/>
            <w:vAlign w:val="bottom"/>
          </w:tcPr>
          <w:p>
            <w:pPr>
              <w:spacing w:after="0"/>
              <w:rPr>
                <w:sz w:val="12"/>
                <w:szCs w:val="12"/>
                <w:color w:val="auto"/>
              </w:rPr>
            </w:pPr>
          </w:p>
        </w:tc>
        <w:tc>
          <w:tcPr>
            <w:tcW w:w="760" w:type="dxa"/>
            <w:vAlign w:val="bottom"/>
          </w:tcPr>
          <w:p>
            <w:pPr>
              <w:jc w:val="center"/>
              <w:spacing w:after="0" w:line="147" w:lineRule="exact"/>
              <w:rPr>
                <w:sz w:val="20"/>
                <w:szCs w:val="20"/>
                <w:color w:val="auto"/>
              </w:rPr>
            </w:pPr>
            <w:r>
              <w:rPr>
                <w:rFonts w:ascii="Arial" w:cs="Arial" w:eastAsia="Arial" w:hAnsi="Arial"/>
                <w:sz w:val="14"/>
                <w:szCs w:val="14"/>
                <w:color w:val="auto"/>
                <w:w w:val="93"/>
              </w:rPr>
              <w:t>Fair Value</w:t>
            </w:r>
          </w:p>
        </w:tc>
        <w:tc>
          <w:tcPr>
            <w:tcW w:w="80" w:type="dxa"/>
            <w:vAlign w:val="bottom"/>
          </w:tcPr>
          <w:p>
            <w:pPr>
              <w:spacing w:after="0"/>
              <w:rPr>
                <w:sz w:val="12"/>
                <w:szCs w:val="12"/>
                <w:color w:val="auto"/>
              </w:rPr>
            </w:pPr>
          </w:p>
        </w:tc>
        <w:tc>
          <w:tcPr>
            <w:tcW w:w="1660" w:type="dxa"/>
            <w:vAlign w:val="bottom"/>
          </w:tcPr>
          <w:p>
            <w:pPr>
              <w:jc w:val="center"/>
              <w:spacing w:after="0" w:line="147" w:lineRule="exact"/>
              <w:rPr>
                <w:sz w:val="20"/>
                <w:szCs w:val="20"/>
                <w:color w:val="auto"/>
              </w:rPr>
            </w:pPr>
            <w:r>
              <w:rPr>
                <w:rFonts w:ascii="Arial" w:cs="Arial" w:eastAsia="Arial" w:hAnsi="Arial"/>
                <w:sz w:val="14"/>
                <w:szCs w:val="14"/>
                <w:color w:val="auto"/>
                <w:w w:val="96"/>
              </w:rPr>
              <w:t>Brokered CD</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ind w:right="9"/>
              <w:spacing w:after="0" w:line="147" w:lineRule="exact"/>
              <w:rPr>
                <w:sz w:val="20"/>
                <w:szCs w:val="20"/>
                <w:color w:val="auto"/>
              </w:rPr>
            </w:pPr>
            <w:r>
              <w:rPr>
                <w:rFonts w:ascii="Arial" w:cs="Arial" w:eastAsia="Arial" w:hAnsi="Arial"/>
                <w:sz w:val="14"/>
                <w:szCs w:val="14"/>
                <w:color w:val="auto"/>
              </w:rPr>
              <w:t>10,000</w:t>
            </w:r>
          </w:p>
        </w:tc>
        <w:tc>
          <w:tcPr>
            <w:tcW w:w="620" w:type="dxa"/>
            <w:vAlign w:val="bottom"/>
            <w:gridSpan w:val="2"/>
          </w:tcPr>
          <w:p>
            <w:pPr>
              <w:jc w:val="center"/>
              <w:ind w:left="9"/>
              <w:spacing w:after="0" w:line="147" w:lineRule="exact"/>
              <w:rPr>
                <w:sz w:val="20"/>
                <w:szCs w:val="20"/>
                <w:color w:val="auto"/>
              </w:rPr>
            </w:pPr>
            <w:r>
              <w:rPr>
                <w:rFonts w:ascii="Arial" w:cs="Arial" w:eastAsia="Arial" w:hAnsi="Arial"/>
                <w:sz w:val="14"/>
                <w:szCs w:val="14"/>
                <w:color w:val="auto"/>
                <w:w w:val="91"/>
              </w:rPr>
              <w:t>01/25/13</w:t>
            </w:r>
          </w:p>
        </w:tc>
        <w:tc>
          <w:tcPr>
            <w:tcW w:w="660" w:type="dxa"/>
            <w:vAlign w:val="bottom"/>
            <w:gridSpan w:val="2"/>
          </w:tcPr>
          <w:p>
            <w:pPr>
              <w:ind w:left="120"/>
              <w:spacing w:after="0" w:line="147" w:lineRule="exact"/>
              <w:rPr>
                <w:sz w:val="20"/>
                <w:szCs w:val="20"/>
                <w:color w:val="auto"/>
              </w:rPr>
            </w:pPr>
            <w:r>
              <w:rPr>
                <w:rFonts w:ascii="Arial" w:cs="Arial" w:eastAsia="Arial" w:hAnsi="Arial"/>
                <w:sz w:val="14"/>
                <w:szCs w:val="14"/>
                <w:color w:val="auto"/>
                <w:w w:val="95"/>
              </w:rPr>
              <w:t>02/28/13</w:t>
            </w:r>
          </w:p>
        </w:tc>
        <w:tc>
          <w:tcPr>
            <w:tcW w:w="80" w:type="dxa"/>
            <w:vAlign w:val="bottom"/>
          </w:tcPr>
          <w:p>
            <w:pPr>
              <w:spacing w:after="0"/>
              <w:rPr>
                <w:sz w:val="12"/>
                <w:szCs w:val="12"/>
                <w:color w:val="auto"/>
              </w:rPr>
            </w:pPr>
          </w:p>
        </w:tc>
        <w:tc>
          <w:tcPr>
            <w:tcW w:w="2160" w:type="dxa"/>
            <w:vAlign w:val="bottom"/>
            <w:gridSpan w:val="3"/>
          </w:tcPr>
          <w:p>
            <w:pPr>
              <w:ind w:left="40"/>
              <w:spacing w:after="0" w:line="147" w:lineRule="exact"/>
              <w:rPr>
                <w:sz w:val="20"/>
                <w:szCs w:val="20"/>
                <w:color w:val="auto"/>
              </w:rPr>
            </w:pPr>
            <w:r>
              <w:rPr>
                <w:rFonts w:ascii="Arial" w:cs="Arial" w:eastAsia="Arial" w:hAnsi="Arial"/>
                <w:sz w:val="14"/>
                <w:szCs w:val="14"/>
                <w:color w:val="auto"/>
                <w:w w:val="98"/>
              </w:rPr>
              <w:t>02/28/28   3 mo. LIBOR - 20.5 bps</w:t>
            </w:r>
          </w:p>
        </w:tc>
        <w:tc>
          <w:tcPr>
            <w:tcW w:w="80" w:type="dxa"/>
            <w:vAlign w:val="bottom"/>
          </w:tcPr>
          <w:p>
            <w:pPr>
              <w:spacing w:after="0"/>
              <w:rPr>
                <w:sz w:val="12"/>
                <w:szCs w:val="12"/>
                <w:color w:val="auto"/>
              </w:rPr>
            </w:pPr>
          </w:p>
        </w:tc>
        <w:tc>
          <w:tcPr>
            <w:tcW w:w="1160" w:type="dxa"/>
            <w:vAlign w:val="bottom"/>
          </w:tcPr>
          <w:p>
            <w:pPr>
              <w:jc w:val="center"/>
              <w:spacing w:after="0" w:line="147" w:lineRule="exact"/>
              <w:rPr>
                <w:sz w:val="20"/>
                <w:szCs w:val="20"/>
                <w:color w:val="auto"/>
              </w:rPr>
            </w:pPr>
            <w:r>
              <w:rPr>
                <w:rFonts w:ascii="Arial" w:cs="Arial" w:eastAsia="Arial" w:hAnsi="Arial"/>
                <w:sz w:val="14"/>
                <w:szCs w:val="14"/>
                <w:color w:val="auto"/>
                <w:w w:val="94"/>
              </w:rPr>
              <w:t xml:space="preserve">2.20% to 8.00% </w:t>
            </w:r>
            <w:r>
              <w:rPr>
                <w:rFonts w:ascii="Arial" w:cs="Arial" w:eastAsia="Arial" w:hAnsi="Arial"/>
                <w:sz w:val="9"/>
                <w:szCs w:val="9"/>
                <w:color w:val="auto"/>
                <w:w w:val="94"/>
              </w:rPr>
              <w:t>(B)</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gridSpan w:val="2"/>
          </w:tcPr>
          <w:p>
            <w:pPr>
              <w:jc w:val="right"/>
              <w:ind w:right="100"/>
              <w:spacing w:after="0" w:line="147"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ind w:right="29"/>
              <w:spacing w:after="0" w:line="147" w:lineRule="exact"/>
              <w:rPr>
                <w:sz w:val="20"/>
                <w:szCs w:val="20"/>
                <w:color w:val="auto"/>
              </w:rPr>
            </w:pPr>
            <w:r>
              <w:rPr>
                <w:rFonts w:ascii="Arial" w:cs="Arial" w:eastAsia="Arial" w:hAnsi="Arial"/>
                <w:sz w:val="14"/>
                <w:szCs w:val="14"/>
                <w:color w:val="auto"/>
              </w:rPr>
              <w:t>719</w:t>
            </w:r>
          </w:p>
        </w:tc>
        <w:tc>
          <w:tcPr>
            <w:tcW w:w="0" w:type="dxa"/>
            <w:vAlign w:val="bottom"/>
          </w:tcPr>
          <w:p>
            <w:pPr>
              <w:spacing w:after="0"/>
              <w:rPr>
                <w:sz w:val="1"/>
                <w:szCs w:val="1"/>
                <w:color w:val="auto"/>
              </w:rPr>
            </w:pPr>
          </w:p>
        </w:tc>
      </w:tr>
      <w:tr>
        <w:trPr>
          <w:trHeight w:val="147"/>
        </w:trPr>
        <w:tc>
          <w:tcPr>
            <w:tcW w:w="1900" w:type="dxa"/>
            <w:vAlign w:val="bottom"/>
          </w:tcPr>
          <w:p>
            <w:pPr>
              <w:spacing w:after="0" w:line="147" w:lineRule="exact"/>
              <w:rPr>
                <w:sz w:val="20"/>
                <w:szCs w:val="20"/>
                <w:color w:val="auto"/>
              </w:rPr>
            </w:pPr>
            <w:r>
              <w:rPr>
                <w:rFonts w:ascii="Arial" w:cs="Arial" w:eastAsia="Arial" w:hAnsi="Arial"/>
                <w:sz w:val="14"/>
                <w:szCs w:val="14"/>
                <w:color w:val="auto"/>
                <w:w w:val="91"/>
              </w:rPr>
              <w:t>Receive Fixed Cancellable Swap</w:t>
            </w:r>
          </w:p>
        </w:tc>
        <w:tc>
          <w:tcPr>
            <w:tcW w:w="60" w:type="dxa"/>
            <w:vAlign w:val="bottom"/>
          </w:tcPr>
          <w:p>
            <w:pPr>
              <w:spacing w:after="0"/>
              <w:rPr>
                <w:sz w:val="12"/>
                <w:szCs w:val="12"/>
                <w:color w:val="auto"/>
              </w:rPr>
            </w:pPr>
          </w:p>
        </w:tc>
        <w:tc>
          <w:tcPr>
            <w:tcW w:w="760" w:type="dxa"/>
            <w:vAlign w:val="bottom"/>
          </w:tcPr>
          <w:p>
            <w:pPr>
              <w:jc w:val="center"/>
              <w:spacing w:after="0" w:line="147" w:lineRule="exact"/>
              <w:rPr>
                <w:sz w:val="20"/>
                <w:szCs w:val="20"/>
                <w:color w:val="auto"/>
              </w:rPr>
            </w:pPr>
            <w:r>
              <w:rPr>
                <w:rFonts w:ascii="Arial" w:cs="Arial" w:eastAsia="Arial" w:hAnsi="Arial"/>
                <w:sz w:val="14"/>
                <w:szCs w:val="14"/>
                <w:color w:val="auto"/>
                <w:w w:val="93"/>
              </w:rPr>
              <w:t>Fair Value</w:t>
            </w:r>
          </w:p>
        </w:tc>
        <w:tc>
          <w:tcPr>
            <w:tcW w:w="80" w:type="dxa"/>
            <w:vAlign w:val="bottom"/>
          </w:tcPr>
          <w:p>
            <w:pPr>
              <w:spacing w:after="0"/>
              <w:rPr>
                <w:sz w:val="12"/>
                <w:szCs w:val="12"/>
                <w:color w:val="auto"/>
              </w:rPr>
            </w:pPr>
          </w:p>
        </w:tc>
        <w:tc>
          <w:tcPr>
            <w:tcW w:w="1660" w:type="dxa"/>
            <w:vAlign w:val="bottom"/>
          </w:tcPr>
          <w:p>
            <w:pPr>
              <w:jc w:val="center"/>
              <w:spacing w:after="0" w:line="147" w:lineRule="exact"/>
              <w:rPr>
                <w:sz w:val="20"/>
                <w:szCs w:val="20"/>
                <w:color w:val="auto"/>
              </w:rPr>
            </w:pPr>
            <w:r>
              <w:rPr>
                <w:rFonts w:ascii="Arial" w:cs="Arial" w:eastAsia="Arial" w:hAnsi="Arial"/>
                <w:sz w:val="14"/>
                <w:szCs w:val="14"/>
                <w:color w:val="auto"/>
                <w:w w:val="96"/>
              </w:rPr>
              <w:t>Brokered CD</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ind w:right="9"/>
              <w:spacing w:after="0" w:line="147" w:lineRule="exact"/>
              <w:rPr>
                <w:sz w:val="20"/>
                <w:szCs w:val="20"/>
                <w:color w:val="auto"/>
              </w:rPr>
            </w:pPr>
            <w:r>
              <w:rPr>
                <w:rFonts w:ascii="Arial" w:cs="Arial" w:eastAsia="Arial" w:hAnsi="Arial"/>
                <w:sz w:val="14"/>
                <w:szCs w:val="14"/>
                <w:color w:val="auto"/>
              </w:rPr>
              <w:t>10,000</w:t>
            </w:r>
          </w:p>
        </w:tc>
        <w:tc>
          <w:tcPr>
            <w:tcW w:w="620" w:type="dxa"/>
            <w:vAlign w:val="bottom"/>
            <w:gridSpan w:val="2"/>
          </w:tcPr>
          <w:p>
            <w:pPr>
              <w:jc w:val="center"/>
              <w:ind w:left="9"/>
              <w:spacing w:after="0" w:line="147" w:lineRule="exact"/>
              <w:rPr>
                <w:sz w:val="20"/>
                <w:szCs w:val="20"/>
                <w:color w:val="auto"/>
              </w:rPr>
            </w:pPr>
            <w:r>
              <w:rPr>
                <w:rFonts w:ascii="Arial" w:cs="Arial" w:eastAsia="Arial" w:hAnsi="Arial"/>
                <w:sz w:val="14"/>
                <w:szCs w:val="14"/>
                <w:color w:val="auto"/>
                <w:w w:val="91"/>
              </w:rPr>
              <w:t>01/25/13</w:t>
            </w:r>
          </w:p>
        </w:tc>
        <w:tc>
          <w:tcPr>
            <w:tcW w:w="660" w:type="dxa"/>
            <w:vAlign w:val="bottom"/>
            <w:gridSpan w:val="2"/>
          </w:tcPr>
          <w:p>
            <w:pPr>
              <w:ind w:left="120"/>
              <w:spacing w:after="0" w:line="147" w:lineRule="exact"/>
              <w:rPr>
                <w:sz w:val="20"/>
                <w:szCs w:val="20"/>
                <w:color w:val="auto"/>
              </w:rPr>
            </w:pPr>
            <w:r>
              <w:rPr>
                <w:rFonts w:ascii="Arial" w:cs="Arial" w:eastAsia="Arial" w:hAnsi="Arial"/>
                <w:sz w:val="14"/>
                <w:szCs w:val="14"/>
                <w:color w:val="auto"/>
                <w:w w:val="95"/>
              </w:rPr>
              <w:t>02/21/13</w:t>
            </w:r>
          </w:p>
        </w:tc>
        <w:tc>
          <w:tcPr>
            <w:tcW w:w="80" w:type="dxa"/>
            <w:vAlign w:val="bottom"/>
          </w:tcPr>
          <w:p>
            <w:pPr>
              <w:spacing w:after="0"/>
              <w:rPr>
                <w:sz w:val="12"/>
                <w:szCs w:val="12"/>
                <w:color w:val="auto"/>
              </w:rPr>
            </w:pPr>
          </w:p>
        </w:tc>
        <w:tc>
          <w:tcPr>
            <w:tcW w:w="2160" w:type="dxa"/>
            <w:vAlign w:val="bottom"/>
            <w:gridSpan w:val="3"/>
          </w:tcPr>
          <w:p>
            <w:pPr>
              <w:ind w:left="40"/>
              <w:spacing w:after="0" w:line="147" w:lineRule="exact"/>
              <w:rPr>
                <w:sz w:val="20"/>
                <w:szCs w:val="20"/>
                <w:color w:val="auto"/>
              </w:rPr>
            </w:pPr>
            <w:r>
              <w:rPr>
                <w:rFonts w:ascii="Arial" w:cs="Arial" w:eastAsia="Arial" w:hAnsi="Arial"/>
                <w:sz w:val="14"/>
                <w:szCs w:val="14"/>
                <w:color w:val="auto"/>
                <w:w w:val="98"/>
              </w:rPr>
              <w:t>02/21/18   3 mo. LIBOR - 20.5 bps</w:t>
            </w:r>
          </w:p>
        </w:tc>
        <w:tc>
          <w:tcPr>
            <w:tcW w:w="80" w:type="dxa"/>
            <w:vAlign w:val="bottom"/>
          </w:tcPr>
          <w:p>
            <w:pPr>
              <w:spacing w:after="0"/>
              <w:rPr>
                <w:sz w:val="12"/>
                <w:szCs w:val="12"/>
                <w:color w:val="auto"/>
              </w:rPr>
            </w:pPr>
          </w:p>
        </w:tc>
        <w:tc>
          <w:tcPr>
            <w:tcW w:w="1160" w:type="dxa"/>
            <w:vAlign w:val="bottom"/>
          </w:tcPr>
          <w:p>
            <w:pPr>
              <w:jc w:val="center"/>
              <w:spacing w:after="0" w:line="147" w:lineRule="exact"/>
              <w:rPr>
                <w:sz w:val="20"/>
                <w:szCs w:val="20"/>
                <w:color w:val="auto"/>
              </w:rPr>
            </w:pPr>
            <w:r>
              <w:rPr>
                <w:rFonts w:ascii="Arial" w:cs="Arial" w:eastAsia="Arial" w:hAnsi="Arial"/>
                <w:sz w:val="14"/>
                <w:szCs w:val="14"/>
                <w:color w:val="auto"/>
                <w:w w:val="95"/>
              </w:rPr>
              <w:t xml:space="preserve">.50% to 2.75% </w:t>
            </w:r>
            <w:r>
              <w:rPr>
                <w:rFonts w:ascii="Arial" w:cs="Arial" w:eastAsia="Arial" w:hAnsi="Arial"/>
                <w:sz w:val="9"/>
                <w:szCs w:val="9"/>
                <w:color w:val="auto"/>
                <w:w w:val="95"/>
              </w:rPr>
              <w:t>(B)</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gridSpan w:val="2"/>
          </w:tcPr>
          <w:p>
            <w:pPr>
              <w:jc w:val="right"/>
              <w:ind w:right="100"/>
              <w:spacing w:after="0" w:line="147"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ind w:right="29"/>
              <w:spacing w:after="0" w:line="147" w:lineRule="exact"/>
              <w:rPr>
                <w:sz w:val="20"/>
                <w:szCs w:val="20"/>
                <w:color w:val="auto"/>
              </w:rPr>
            </w:pPr>
            <w:r>
              <w:rPr>
                <w:rFonts w:ascii="Arial" w:cs="Arial" w:eastAsia="Arial" w:hAnsi="Arial"/>
                <w:sz w:val="14"/>
                <w:szCs w:val="14"/>
                <w:color w:val="auto"/>
              </w:rPr>
              <w:t>197</w:t>
            </w:r>
          </w:p>
        </w:tc>
        <w:tc>
          <w:tcPr>
            <w:tcW w:w="0" w:type="dxa"/>
            <w:vAlign w:val="bottom"/>
          </w:tcPr>
          <w:p>
            <w:pPr>
              <w:spacing w:after="0"/>
              <w:rPr>
                <w:sz w:val="1"/>
                <w:szCs w:val="1"/>
                <w:color w:val="auto"/>
              </w:rPr>
            </w:pPr>
          </w:p>
        </w:tc>
      </w:tr>
      <w:tr>
        <w:trPr>
          <w:trHeight w:val="147"/>
        </w:trPr>
        <w:tc>
          <w:tcPr>
            <w:tcW w:w="1900" w:type="dxa"/>
            <w:vAlign w:val="bottom"/>
          </w:tcPr>
          <w:p>
            <w:pPr>
              <w:spacing w:after="0" w:line="147" w:lineRule="exact"/>
              <w:rPr>
                <w:sz w:val="20"/>
                <w:szCs w:val="20"/>
                <w:color w:val="auto"/>
              </w:rPr>
            </w:pPr>
            <w:r>
              <w:rPr>
                <w:rFonts w:ascii="Arial" w:cs="Arial" w:eastAsia="Arial" w:hAnsi="Arial"/>
                <w:sz w:val="14"/>
                <w:szCs w:val="14"/>
                <w:color w:val="auto"/>
                <w:w w:val="91"/>
              </w:rPr>
              <w:t>Receive Fixed Cancellable Swap</w:t>
            </w:r>
          </w:p>
        </w:tc>
        <w:tc>
          <w:tcPr>
            <w:tcW w:w="60" w:type="dxa"/>
            <w:vAlign w:val="bottom"/>
          </w:tcPr>
          <w:p>
            <w:pPr>
              <w:spacing w:after="0"/>
              <w:rPr>
                <w:sz w:val="12"/>
                <w:szCs w:val="12"/>
                <w:color w:val="auto"/>
              </w:rPr>
            </w:pPr>
          </w:p>
        </w:tc>
        <w:tc>
          <w:tcPr>
            <w:tcW w:w="760" w:type="dxa"/>
            <w:vAlign w:val="bottom"/>
          </w:tcPr>
          <w:p>
            <w:pPr>
              <w:jc w:val="center"/>
              <w:spacing w:after="0" w:line="147" w:lineRule="exact"/>
              <w:rPr>
                <w:sz w:val="20"/>
                <w:szCs w:val="20"/>
                <w:color w:val="auto"/>
              </w:rPr>
            </w:pPr>
            <w:r>
              <w:rPr>
                <w:rFonts w:ascii="Arial" w:cs="Arial" w:eastAsia="Arial" w:hAnsi="Arial"/>
                <w:sz w:val="14"/>
                <w:szCs w:val="14"/>
                <w:color w:val="auto"/>
                <w:w w:val="93"/>
              </w:rPr>
              <w:t>Fair Value</w:t>
            </w:r>
          </w:p>
        </w:tc>
        <w:tc>
          <w:tcPr>
            <w:tcW w:w="80" w:type="dxa"/>
            <w:vAlign w:val="bottom"/>
          </w:tcPr>
          <w:p>
            <w:pPr>
              <w:spacing w:after="0"/>
              <w:rPr>
                <w:sz w:val="12"/>
                <w:szCs w:val="12"/>
                <w:color w:val="auto"/>
              </w:rPr>
            </w:pPr>
          </w:p>
        </w:tc>
        <w:tc>
          <w:tcPr>
            <w:tcW w:w="1660" w:type="dxa"/>
            <w:vAlign w:val="bottom"/>
          </w:tcPr>
          <w:p>
            <w:pPr>
              <w:jc w:val="center"/>
              <w:spacing w:after="0" w:line="147" w:lineRule="exact"/>
              <w:rPr>
                <w:sz w:val="20"/>
                <w:szCs w:val="20"/>
                <w:color w:val="auto"/>
              </w:rPr>
            </w:pPr>
            <w:r>
              <w:rPr>
                <w:rFonts w:ascii="Arial" w:cs="Arial" w:eastAsia="Arial" w:hAnsi="Arial"/>
                <w:sz w:val="14"/>
                <w:szCs w:val="14"/>
                <w:color w:val="auto"/>
                <w:w w:val="96"/>
              </w:rPr>
              <w:t>Brokered CD</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ind w:right="9"/>
              <w:spacing w:after="0" w:line="147" w:lineRule="exact"/>
              <w:rPr>
                <w:sz w:val="20"/>
                <w:szCs w:val="20"/>
                <w:color w:val="auto"/>
              </w:rPr>
            </w:pPr>
            <w:r>
              <w:rPr>
                <w:rFonts w:ascii="Arial" w:cs="Arial" w:eastAsia="Arial" w:hAnsi="Arial"/>
                <w:sz w:val="14"/>
                <w:szCs w:val="14"/>
                <w:color w:val="auto"/>
              </w:rPr>
              <w:t>50,000</w:t>
            </w:r>
          </w:p>
        </w:tc>
        <w:tc>
          <w:tcPr>
            <w:tcW w:w="620" w:type="dxa"/>
            <w:vAlign w:val="bottom"/>
            <w:gridSpan w:val="2"/>
          </w:tcPr>
          <w:p>
            <w:pPr>
              <w:jc w:val="center"/>
              <w:ind w:left="9"/>
              <w:spacing w:after="0" w:line="147" w:lineRule="exact"/>
              <w:rPr>
                <w:sz w:val="20"/>
                <w:szCs w:val="20"/>
                <w:color w:val="auto"/>
              </w:rPr>
            </w:pPr>
            <w:r>
              <w:rPr>
                <w:rFonts w:ascii="Arial" w:cs="Arial" w:eastAsia="Arial" w:hAnsi="Arial"/>
                <w:sz w:val="14"/>
                <w:szCs w:val="14"/>
                <w:color w:val="auto"/>
                <w:w w:val="91"/>
              </w:rPr>
              <w:t>06/04/13</w:t>
            </w:r>
          </w:p>
        </w:tc>
        <w:tc>
          <w:tcPr>
            <w:tcW w:w="660" w:type="dxa"/>
            <w:vAlign w:val="bottom"/>
            <w:gridSpan w:val="2"/>
          </w:tcPr>
          <w:p>
            <w:pPr>
              <w:ind w:left="120"/>
              <w:spacing w:after="0" w:line="147" w:lineRule="exact"/>
              <w:rPr>
                <w:sz w:val="20"/>
                <w:szCs w:val="20"/>
                <w:color w:val="auto"/>
              </w:rPr>
            </w:pPr>
            <w:r>
              <w:rPr>
                <w:rFonts w:ascii="Arial" w:cs="Arial" w:eastAsia="Arial" w:hAnsi="Arial"/>
                <w:sz w:val="14"/>
                <w:szCs w:val="14"/>
                <w:color w:val="auto"/>
                <w:w w:val="95"/>
              </w:rPr>
              <w:t>06/28/13</w:t>
            </w:r>
          </w:p>
        </w:tc>
        <w:tc>
          <w:tcPr>
            <w:tcW w:w="80" w:type="dxa"/>
            <w:vAlign w:val="bottom"/>
          </w:tcPr>
          <w:p>
            <w:pPr>
              <w:spacing w:after="0"/>
              <w:rPr>
                <w:sz w:val="12"/>
                <w:szCs w:val="12"/>
                <w:color w:val="auto"/>
              </w:rPr>
            </w:pPr>
          </w:p>
        </w:tc>
        <w:tc>
          <w:tcPr>
            <w:tcW w:w="2160" w:type="dxa"/>
            <w:vAlign w:val="bottom"/>
            <w:gridSpan w:val="3"/>
          </w:tcPr>
          <w:p>
            <w:pPr>
              <w:ind w:left="40"/>
              <w:spacing w:after="0" w:line="147" w:lineRule="exact"/>
              <w:rPr>
                <w:sz w:val="20"/>
                <w:szCs w:val="20"/>
                <w:color w:val="auto"/>
              </w:rPr>
            </w:pPr>
            <w:r>
              <w:rPr>
                <w:rFonts w:ascii="Arial" w:cs="Arial" w:eastAsia="Arial" w:hAnsi="Arial"/>
                <w:sz w:val="14"/>
                <w:szCs w:val="14"/>
                <w:color w:val="auto"/>
                <w:w w:val="98"/>
              </w:rPr>
              <w:t>06/28/33   3 mo. LIBOR - 67.5 bps</w:t>
            </w:r>
          </w:p>
        </w:tc>
        <w:tc>
          <w:tcPr>
            <w:tcW w:w="80" w:type="dxa"/>
            <w:vAlign w:val="bottom"/>
          </w:tcPr>
          <w:p>
            <w:pPr>
              <w:spacing w:after="0"/>
              <w:rPr>
                <w:sz w:val="12"/>
                <w:szCs w:val="12"/>
                <w:color w:val="auto"/>
              </w:rPr>
            </w:pPr>
          </w:p>
        </w:tc>
        <w:tc>
          <w:tcPr>
            <w:tcW w:w="1160" w:type="dxa"/>
            <w:vAlign w:val="bottom"/>
          </w:tcPr>
          <w:p>
            <w:pPr>
              <w:jc w:val="center"/>
              <w:spacing w:after="0" w:line="147" w:lineRule="exact"/>
              <w:rPr>
                <w:sz w:val="20"/>
                <w:szCs w:val="20"/>
                <w:color w:val="auto"/>
              </w:rPr>
            </w:pPr>
            <w:r>
              <w:rPr>
                <w:rFonts w:ascii="Arial" w:cs="Arial" w:eastAsia="Arial" w:hAnsi="Arial"/>
                <w:sz w:val="14"/>
                <w:szCs w:val="14"/>
                <w:color w:val="auto"/>
                <w:w w:val="88"/>
              </w:rPr>
              <w:t xml:space="preserve">Steepener </w:t>
            </w:r>
            <w:r>
              <w:rPr>
                <w:rFonts w:ascii="Arial" w:cs="Arial" w:eastAsia="Arial" w:hAnsi="Arial"/>
                <w:sz w:val="9"/>
                <w:szCs w:val="9"/>
                <w:color w:val="auto"/>
                <w:w w:val="88"/>
              </w:rPr>
              <w:t>(C)</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ind w:right="29"/>
              <w:spacing w:after="0" w:line="147" w:lineRule="exact"/>
              <w:rPr>
                <w:sz w:val="20"/>
                <w:szCs w:val="20"/>
                <w:color w:val="auto"/>
              </w:rPr>
            </w:pPr>
            <w:r>
              <w:rPr>
                <w:rFonts w:ascii="Arial" w:cs="Arial" w:eastAsia="Arial" w:hAnsi="Arial"/>
                <w:sz w:val="14"/>
                <w:szCs w:val="14"/>
                <w:color w:val="auto"/>
              </w:rPr>
              <w:t>8,518</w:t>
            </w:r>
          </w:p>
        </w:tc>
        <w:tc>
          <w:tcPr>
            <w:tcW w:w="0" w:type="dxa"/>
            <w:vAlign w:val="bottom"/>
          </w:tcPr>
          <w:p>
            <w:pPr>
              <w:spacing w:after="0"/>
              <w:rPr>
                <w:sz w:val="1"/>
                <w:szCs w:val="1"/>
                <w:color w:val="auto"/>
              </w:rPr>
            </w:pPr>
          </w:p>
        </w:tc>
      </w:tr>
      <w:tr>
        <w:trPr>
          <w:trHeight w:val="147"/>
        </w:trPr>
        <w:tc>
          <w:tcPr>
            <w:tcW w:w="1900" w:type="dxa"/>
            <w:vAlign w:val="bottom"/>
          </w:tcPr>
          <w:p>
            <w:pPr>
              <w:spacing w:after="0" w:line="147" w:lineRule="exact"/>
              <w:rPr>
                <w:sz w:val="20"/>
                <w:szCs w:val="20"/>
                <w:color w:val="auto"/>
              </w:rPr>
            </w:pPr>
            <w:r>
              <w:rPr>
                <w:rFonts w:ascii="Arial" w:cs="Arial" w:eastAsia="Arial" w:hAnsi="Arial"/>
                <w:sz w:val="14"/>
                <w:szCs w:val="14"/>
                <w:color w:val="auto"/>
              </w:rPr>
              <w:t>Pay Fixed Swap</w:t>
            </w:r>
          </w:p>
        </w:tc>
        <w:tc>
          <w:tcPr>
            <w:tcW w:w="60" w:type="dxa"/>
            <w:vAlign w:val="bottom"/>
          </w:tcPr>
          <w:p>
            <w:pPr>
              <w:spacing w:after="0"/>
              <w:rPr>
                <w:sz w:val="12"/>
                <w:szCs w:val="12"/>
                <w:color w:val="auto"/>
              </w:rPr>
            </w:pPr>
          </w:p>
        </w:tc>
        <w:tc>
          <w:tcPr>
            <w:tcW w:w="760" w:type="dxa"/>
            <w:vAlign w:val="bottom"/>
          </w:tcPr>
          <w:p>
            <w:pPr>
              <w:jc w:val="center"/>
              <w:spacing w:after="0" w:line="147" w:lineRule="exact"/>
              <w:rPr>
                <w:sz w:val="20"/>
                <w:szCs w:val="20"/>
                <w:color w:val="auto"/>
              </w:rPr>
            </w:pPr>
            <w:r>
              <w:rPr>
                <w:rFonts w:ascii="Arial" w:cs="Arial" w:eastAsia="Arial" w:hAnsi="Arial"/>
                <w:sz w:val="14"/>
                <w:szCs w:val="14"/>
                <w:color w:val="auto"/>
                <w:w w:val="93"/>
              </w:rPr>
              <w:t>Fair Value</w:t>
            </w:r>
          </w:p>
        </w:tc>
        <w:tc>
          <w:tcPr>
            <w:tcW w:w="80" w:type="dxa"/>
            <w:vAlign w:val="bottom"/>
          </w:tcPr>
          <w:p>
            <w:pPr>
              <w:spacing w:after="0"/>
              <w:rPr>
                <w:sz w:val="12"/>
                <w:szCs w:val="12"/>
                <w:color w:val="auto"/>
              </w:rPr>
            </w:pPr>
          </w:p>
        </w:tc>
        <w:tc>
          <w:tcPr>
            <w:tcW w:w="1660" w:type="dxa"/>
            <w:vAlign w:val="bottom"/>
          </w:tcPr>
          <w:p>
            <w:pPr>
              <w:jc w:val="center"/>
              <w:spacing w:after="0" w:line="147" w:lineRule="exact"/>
              <w:rPr>
                <w:sz w:val="20"/>
                <w:szCs w:val="20"/>
                <w:color w:val="auto"/>
              </w:rPr>
            </w:pPr>
            <w:r>
              <w:rPr>
                <w:rFonts w:ascii="Arial" w:cs="Arial" w:eastAsia="Arial" w:hAnsi="Arial"/>
                <w:sz w:val="14"/>
                <w:szCs w:val="14"/>
                <w:color w:val="auto"/>
                <w:w w:val="91"/>
              </w:rPr>
              <w:t>Corporate Bond</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ind w:right="9"/>
              <w:spacing w:after="0" w:line="147" w:lineRule="exact"/>
              <w:rPr>
                <w:sz w:val="20"/>
                <w:szCs w:val="20"/>
                <w:color w:val="auto"/>
              </w:rPr>
            </w:pPr>
            <w:r>
              <w:rPr>
                <w:rFonts w:ascii="Arial" w:cs="Arial" w:eastAsia="Arial" w:hAnsi="Arial"/>
                <w:sz w:val="14"/>
                <w:szCs w:val="14"/>
                <w:color w:val="auto"/>
              </w:rPr>
              <w:t>11,000</w:t>
            </w:r>
          </w:p>
        </w:tc>
        <w:tc>
          <w:tcPr>
            <w:tcW w:w="620" w:type="dxa"/>
            <w:vAlign w:val="bottom"/>
            <w:gridSpan w:val="2"/>
          </w:tcPr>
          <w:p>
            <w:pPr>
              <w:jc w:val="center"/>
              <w:ind w:left="9"/>
              <w:spacing w:after="0" w:line="147" w:lineRule="exact"/>
              <w:rPr>
                <w:sz w:val="20"/>
                <w:szCs w:val="20"/>
                <w:color w:val="auto"/>
              </w:rPr>
            </w:pPr>
            <w:r>
              <w:rPr>
                <w:rFonts w:ascii="Arial" w:cs="Arial" w:eastAsia="Arial" w:hAnsi="Arial"/>
                <w:sz w:val="14"/>
                <w:szCs w:val="14"/>
                <w:color w:val="auto"/>
                <w:w w:val="91"/>
              </w:rPr>
              <w:t>03/13/13</w:t>
            </w:r>
          </w:p>
        </w:tc>
        <w:tc>
          <w:tcPr>
            <w:tcW w:w="660" w:type="dxa"/>
            <w:vAlign w:val="bottom"/>
            <w:gridSpan w:val="2"/>
          </w:tcPr>
          <w:p>
            <w:pPr>
              <w:ind w:left="120"/>
              <w:spacing w:after="0" w:line="147" w:lineRule="exact"/>
              <w:rPr>
                <w:sz w:val="20"/>
                <w:szCs w:val="20"/>
                <w:color w:val="auto"/>
              </w:rPr>
            </w:pPr>
            <w:r>
              <w:rPr>
                <w:rFonts w:ascii="Arial" w:cs="Arial" w:eastAsia="Arial" w:hAnsi="Arial"/>
                <w:sz w:val="14"/>
                <w:szCs w:val="14"/>
                <w:color w:val="auto"/>
                <w:w w:val="95"/>
              </w:rPr>
              <w:t>03/18/13</w:t>
            </w:r>
          </w:p>
        </w:tc>
        <w:tc>
          <w:tcPr>
            <w:tcW w:w="680" w:type="dxa"/>
            <w:vAlign w:val="bottom"/>
            <w:gridSpan w:val="2"/>
          </w:tcPr>
          <w:p>
            <w:pPr>
              <w:ind w:left="120"/>
              <w:spacing w:after="0" w:line="147" w:lineRule="exact"/>
              <w:rPr>
                <w:sz w:val="20"/>
                <w:szCs w:val="20"/>
                <w:color w:val="auto"/>
              </w:rPr>
            </w:pPr>
            <w:r>
              <w:rPr>
                <w:rFonts w:ascii="Arial" w:cs="Arial" w:eastAsia="Arial" w:hAnsi="Arial"/>
                <w:sz w:val="14"/>
                <w:szCs w:val="14"/>
                <w:color w:val="auto"/>
                <w:w w:val="99"/>
              </w:rPr>
              <w:t>02/13/23</w:t>
            </w:r>
          </w:p>
        </w:tc>
        <w:tc>
          <w:tcPr>
            <w:tcW w:w="1560" w:type="dxa"/>
            <w:vAlign w:val="bottom"/>
            <w:gridSpan w:val="2"/>
          </w:tcPr>
          <w:p>
            <w:pPr>
              <w:jc w:val="right"/>
              <w:ind w:right="389"/>
              <w:spacing w:after="0" w:line="147" w:lineRule="exact"/>
              <w:rPr>
                <w:sz w:val="20"/>
                <w:szCs w:val="20"/>
                <w:color w:val="auto"/>
              </w:rPr>
            </w:pPr>
            <w:r>
              <w:rPr>
                <w:rFonts w:ascii="Arial" w:cs="Arial" w:eastAsia="Arial" w:hAnsi="Arial"/>
                <w:sz w:val="14"/>
                <w:szCs w:val="14"/>
                <w:color w:val="auto"/>
              </w:rPr>
              <w:t>3.45000%</w:t>
            </w:r>
          </w:p>
        </w:tc>
        <w:tc>
          <w:tcPr>
            <w:tcW w:w="80" w:type="dxa"/>
            <w:vAlign w:val="bottom"/>
          </w:tcPr>
          <w:p>
            <w:pPr>
              <w:spacing w:after="0"/>
              <w:rPr>
                <w:sz w:val="12"/>
                <w:szCs w:val="12"/>
                <w:color w:val="auto"/>
              </w:rPr>
            </w:pPr>
          </w:p>
        </w:tc>
        <w:tc>
          <w:tcPr>
            <w:tcW w:w="1160" w:type="dxa"/>
            <w:vAlign w:val="bottom"/>
          </w:tcPr>
          <w:p>
            <w:pPr>
              <w:jc w:val="center"/>
              <w:spacing w:after="0" w:line="147" w:lineRule="exact"/>
              <w:rPr>
                <w:sz w:val="20"/>
                <w:szCs w:val="20"/>
                <w:color w:val="auto"/>
              </w:rPr>
            </w:pPr>
            <w:r>
              <w:rPr>
                <w:rFonts w:ascii="Arial" w:cs="Arial" w:eastAsia="Arial" w:hAnsi="Arial"/>
                <w:sz w:val="14"/>
                <w:szCs w:val="14"/>
                <w:color w:val="auto"/>
                <w:w w:val="98"/>
              </w:rPr>
              <w:t>3 mo. LIBOR</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gridSpan w:val="2"/>
          </w:tcPr>
          <w:p>
            <w:pPr>
              <w:jc w:val="right"/>
              <w:ind w:right="100"/>
              <w:spacing w:after="0" w:line="147" w:lineRule="exact"/>
              <w:rPr>
                <w:sz w:val="20"/>
                <w:szCs w:val="20"/>
                <w:color w:val="auto"/>
              </w:rPr>
            </w:pPr>
            <w:r>
              <w:rPr>
                <w:rFonts w:ascii="Arial" w:cs="Arial" w:eastAsia="Arial" w:hAnsi="Arial"/>
                <w:sz w:val="14"/>
                <w:szCs w:val="14"/>
                <w:color w:val="auto"/>
              </w:rPr>
              <w:t>380</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ind w:right="29"/>
              <w:spacing w:after="0" w:line="147"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7"/>
        </w:trPr>
        <w:tc>
          <w:tcPr>
            <w:tcW w:w="1900" w:type="dxa"/>
            <w:vAlign w:val="bottom"/>
          </w:tcPr>
          <w:p>
            <w:pPr>
              <w:spacing w:after="0" w:line="147" w:lineRule="exact"/>
              <w:rPr>
                <w:sz w:val="20"/>
                <w:szCs w:val="20"/>
                <w:color w:val="auto"/>
              </w:rPr>
            </w:pPr>
            <w:r>
              <w:rPr>
                <w:rFonts w:ascii="Arial" w:cs="Arial" w:eastAsia="Arial" w:hAnsi="Arial"/>
                <w:sz w:val="14"/>
                <w:szCs w:val="14"/>
                <w:color w:val="auto"/>
              </w:rPr>
              <w:t>Pay Fixed Swap</w:t>
            </w:r>
          </w:p>
        </w:tc>
        <w:tc>
          <w:tcPr>
            <w:tcW w:w="60" w:type="dxa"/>
            <w:vAlign w:val="bottom"/>
          </w:tcPr>
          <w:p>
            <w:pPr>
              <w:spacing w:after="0"/>
              <w:rPr>
                <w:sz w:val="12"/>
                <w:szCs w:val="12"/>
                <w:color w:val="auto"/>
              </w:rPr>
            </w:pPr>
          </w:p>
        </w:tc>
        <w:tc>
          <w:tcPr>
            <w:tcW w:w="760" w:type="dxa"/>
            <w:vAlign w:val="bottom"/>
          </w:tcPr>
          <w:p>
            <w:pPr>
              <w:jc w:val="center"/>
              <w:spacing w:after="0" w:line="147" w:lineRule="exact"/>
              <w:rPr>
                <w:sz w:val="20"/>
                <w:szCs w:val="20"/>
                <w:color w:val="auto"/>
              </w:rPr>
            </w:pPr>
            <w:r>
              <w:rPr>
                <w:rFonts w:ascii="Arial" w:cs="Arial" w:eastAsia="Arial" w:hAnsi="Arial"/>
                <w:sz w:val="14"/>
                <w:szCs w:val="14"/>
                <w:color w:val="auto"/>
                <w:w w:val="93"/>
              </w:rPr>
              <w:t>Fair Value</w:t>
            </w:r>
          </w:p>
        </w:tc>
        <w:tc>
          <w:tcPr>
            <w:tcW w:w="80" w:type="dxa"/>
            <w:vAlign w:val="bottom"/>
          </w:tcPr>
          <w:p>
            <w:pPr>
              <w:spacing w:after="0"/>
              <w:rPr>
                <w:sz w:val="12"/>
                <w:szCs w:val="12"/>
                <w:color w:val="auto"/>
              </w:rPr>
            </w:pPr>
          </w:p>
        </w:tc>
        <w:tc>
          <w:tcPr>
            <w:tcW w:w="1660" w:type="dxa"/>
            <w:vAlign w:val="bottom"/>
          </w:tcPr>
          <w:p>
            <w:pPr>
              <w:jc w:val="center"/>
              <w:spacing w:after="0" w:line="147" w:lineRule="exact"/>
              <w:rPr>
                <w:sz w:val="20"/>
                <w:szCs w:val="20"/>
                <w:color w:val="auto"/>
              </w:rPr>
            </w:pPr>
            <w:r>
              <w:rPr>
                <w:rFonts w:ascii="Arial" w:cs="Arial" w:eastAsia="Arial" w:hAnsi="Arial"/>
                <w:sz w:val="14"/>
                <w:szCs w:val="14"/>
                <w:color w:val="auto"/>
                <w:w w:val="91"/>
              </w:rPr>
              <w:t>Corporate Bond</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ind w:right="9"/>
              <w:spacing w:after="0" w:line="147" w:lineRule="exact"/>
              <w:rPr>
                <w:sz w:val="20"/>
                <w:szCs w:val="20"/>
                <w:color w:val="auto"/>
              </w:rPr>
            </w:pPr>
            <w:r>
              <w:rPr>
                <w:rFonts w:ascii="Arial" w:cs="Arial" w:eastAsia="Arial" w:hAnsi="Arial"/>
                <w:sz w:val="14"/>
                <w:szCs w:val="14"/>
                <w:color w:val="auto"/>
              </w:rPr>
              <w:t>10,000</w:t>
            </w:r>
          </w:p>
        </w:tc>
        <w:tc>
          <w:tcPr>
            <w:tcW w:w="620" w:type="dxa"/>
            <w:vAlign w:val="bottom"/>
            <w:gridSpan w:val="2"/>
          </w:tcPr>
          <w:p>
            <w:pPr>
              <w:jc w:val="center"/>
              <w:ind w:left="9"/>
              <w:spacing w:after="0" w:line="147" w:lineRule="exact"/>
              <w:rPr>
                <w:sz w:val="20"/>
                <w:szCs w:val="20"/>
                <w:color w:val="auto"/>
              </w:rPr>
            </w:pPr>
            <w:r>
              <w:rPr>
                <w:rFonts w:ascii="Arial" w:cs="Arial" w:eastAsia="Arial" w:hAnsi="Arial"/>
                <w:sz w:val="14"/>
                <w:szCs w:val="14"/>
                <w:color w:val="auto"/>
                <w:w w:val="91"/>
              </w:rPr>
              <w:t>03/15/13</w:t>
            </w:r>
          </w:p>
        </w:tc>
        <w:tc>
          <w:tcPr>
            <w:tcW w:w="660" w:type="dxa"/>
            <w:vAlign w:val="bottom"/>
            <w:gridSpan w:val="2"/>
          </w:tcPr>
          <w:p>
            <w:pPr>
              <w:ind w:left="120"/>
              <w:spacing w:after="0" w:line="147" w:lineRule="exact"/>
              <w:rPr>
                <w:sz w:val="20"/>
                <w:szCs w:val="20"/>
                <w:color w:val="auto"/>
              </w:rPr>
            </w:pPr>
            <w:r>
              <w:rPr>
                <w:rFonts w:ascii="Arial" w:cs="Arial" w:eastAsia="Arial" w:hAnsi="Arial"/>
                <w:sz w:val="14"/>
                <w:szCs w:val="14"/>
                <w:color w:val="auto"/>
                <w:w w:val="95"/>
              </w:rPr>
              <w:t>03/20/13</w:t>
            </w:r>
          </w:p>
        </w:tc>
        <w:tc>
          <w:tcPr>
            <w:tcW w:w="680" w:type="dxa"/>
            <w:vAlign w:val="bottom"/>
            <w:gridSpan w:val="2"/>
          </w:tcPr>
          <w:p>
            <w:pPr>
              <w:ind w:left="120"/>
              <w:spacing w:after="0" w:line="147" w:lineRule="exact"/>
              <w:rPr>
                <w:sz w:val="20"/>
                <w:szCs w:val="20"/>
                <w:color w:val="auto"/>
              </w:rPr>
            </w:pPr>
            <w:r>
              <w:rPr>
                <w:rFonts w:ascii="Arial" w:cs="Arial" w:eastAsia="Arial" w:hAnsi="Arial"/>
                <w:sz w:val="14"/>
                <w:szCs w:val="14"/>
                <w:color w:val="auto"/>
                <w:w w:val="99"/>
              </w:rPr>
              <w:t>02/09/23</w:t>
            </w:r>
          </w:p>
        </w:tc>
        <w:tc>
          <w:tcPr>
            <w:tcW w:w="1560" w:type="dxa"/>
            <w:vAlign w:val="bottom"/>
            <w:gridSpan w:val="2"/>
          </w:tcPr>
          <w:p>
            <w:pPr>
              <w:jc w:val="right"/>
              <w:ind w:right="389"/>
              <w:spacing w:after="0" w:line="147" w:lineRule="exact"/>
              <w:rPr>
                <w:sz w:val="20"/>
                <w:szCs w:val="20"/>
                <w:color w:val="auto"/>
              </w:rPr>
            </w:pPr>
            <w:r>
              <w:rPr>
                <w:rFonts w:ascii="Arial" w:cs="Arial" w:eastAsia="Arial" w:hAnsi="Arial"/>
                <w:sz w:val="14"/>
                <w:szCs w:val="14"/>
                <w:color w:val="auto"/>
              </w:rPr>
              <w:t>3.10000%</w:t>
            </w:r>
          </w:p>
        </w:tc>
        <w:tc>
          <w:tcPr>
            <w:tcW w:w="80" w:type="dxa"/>
            <w:vAlign w:val="bottom"/>
          </w:tcPr>
          <w:p>
            <w:pPr>
              <w:spacing w:after="0"/>
              <w:rPr>
                <w:sz w:val="12"/>
                <w:szCs w:val="12"/>
                <w:color w:val="auto"/>
              </w:rPr>
            </w:pPr>
          </w:p>
        </w:tc>
        <w:tc>
          <w:tcPr>
            <w:tcW w:w="1160" w:type="dxa"/>
            <w:vAlign w:val="bottom"/>
          </w:tcPr>
          <w:p>
            <w:pPr>
              <w:jc w:val="center"/>
              <w:spacing w:after="0" w:line="147" w:lineRule="exact"/>
              <w:rPr>
                <w:sz w:val="20"/>
                <w:szCs w:val="20"/>
                <w:color w:val="auto"/>
              </w:rPr>
            </w:pPr>
            <w:r>
              <w:rPr>
                <w:rFonts w:ascii="Arial" w:cs="Arial" w:eastAsia="Arial" w:hAnsi="Arial"/>
                <w:sz w:val="14"/>
                <w:szCs w:val="14"/>
                <w:color w:val="auto"/>
                <w:w w:val="98"/>
              </w:rPr>
              <w:t>3 mo. LIBOR</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gridSpan w:val="2"/>
          </w:tcPr>
          <w:p>
            <w:pPr>
              <w:jc w:val="right"/>
              <w:ind w:right="100"/>
              <w:spacing w:after="0" w:line="147" w:lineRule="exact"/>
              <w:rPr>
                <w:sz w:val="20"/>
                <w:szCs w:val="20"/>
                <w:color w:val="auto"/>
              </w:rPr>
            </w:pPr>
            <w:r>
              <w:rPr>
                <w:rFonts w:ascii="Arial" w:cs="Arial" w:eastAsia="Arial" w:hAnsi="Arial"/>
                <w:sz w:val="14"/>
                <w:szCs w:val="14"/>
                <w:color w:val="auto"/>
              </w:rPr>
              <w:t>599</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ind w:right="29"/>
              <w:spacing w:after="0" w:line="147"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7"/>
        </w:trPr>
        <w:tc>
          <w:tcPr>
            <w:tcW w:w="1900" w:type="dxa"/>
            <w:vAlign w:val="bottom"/>
          </w:tcPr>
          <w:p>
            <w:pPr>
              <w:spacing w:after="0" w:line="147" w:lineRule="exact"/>
              <w:rPr>
                <w:sz w:val="20"/>
                <w:szCs w:val="20"/>
                <w:color w:val="auto"/>
              </w:rPr>
            </w:pPr>
            <w:r>
              <w:rPr>
                <w:rFonts w:ascii="Arial" w:cs="Arial" w:eastAsia="Arial" w:hAnsi="Arial"/>
                <w:sz w:val="14"/>
                <w:szCs w:val="14"/>
                <w:color w:val="auto"/>
              </w:rPr>
              <w:t>Pay Fixed Swap</w:t>
            </w:r>
          </w:p>
        </w:tc>
        <w:tc>
          <w:tcPr>
            <w:tcW w:w="60" w:type="dxa"/>
            <w:vAlign w:val="bottom"/>
          </w:tcPr>
          <w:p>
            <w:pPr>
              <w:spacing w:after="0"/>
              <w:rPr>
                <w:sz w:val="12"/>
                <w:szCs w:val="12"/>
                <w:color w:val="auto"/>
              </w:rPr>
            </w:pPr>
          </w:p>
        </w:tc>
        <w:tc>
          <w:tcPr>
            <w:tcW w:w="760" w:type="dxa"/>
            <w:vAlign w:val="bottom"/>
          </w:tcPr>
          <w:p>
            <w:pPr>
              <w:jc w:val="center"/>
              <w:spacing w:after="0" w:line="147" w:lineRule="exact"/>
              <w:rPr>
                <w:sz w:val="20"/>
                <w:szCs w:val="20"/>
                <w:color w:val="auto"/>
              </w:rPr>
            </w:pPr>
            <w:r>
              <w:rPr>
                <w:rFonts w:ascii="Arial" w:cs="Arial" w:eastAsia="Arial" w:hAnsi="Arial"/>
                <w:sz w:val="14"/>
                <w:szCs w:val="14"/>
                <w:color w:val="auto"/>
                <w:w w:val="93"/>
              </w:rPr>
              <w:t>Fair Value</w:t>
            </w:r>
          </w:p>
        </w:tc>
        <w:tc>
          <w:tcPr>
            <w:tcW w:w="80" w:type="dxa"/>
            <w:vAlign w:val="bottom"/>
          </w:tcPr>
          <w:p>
            <w:pPr>
              <w:spacing w:after="0"/>
              <w:rPr>
                <w:sz w:val="12"/>
                <w:szCs w:val="12"/>
                <w:color w:val="auto"/>
              </w:rPr>
            </w:pPr>
          </w:p>
        </w:tc>
        <w:tc>
          <w:tcPr>
            <w:tcW w:w="1660" w:type="dxa"/>
            <w:vAlign w:val="bottom"/>
          </w:tcPr>
          <w:p>
            <w:pPr>
              <w:jc w:val="center"/>
              <w:spacing w:after="0" w:line="147" w:lineRule="exact"/>
              <w:rPr>
                <w:sz w:val="20"/>
                <w:szCs w:val="20"/>
                <w:color w:val="auto"/>
              </w:rPr>
            </w:pPr>
            <w:r>
              <w:rPr>
                <w:rFonts w:ascii="Arial" w:cs="Arial" w:eastAsia="Arial" w:hAnsi="Arial"/>
                <w:sz w:val="14"/>
                <w:szCs w:val="14"/>
                <w:color w:val="auto"/>
                <w:w w:val="91"/>
              </w:rPr>
              <w:t>Corporate Bond</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ind w:right="9"/>
              <w:spacing w:after="0" w:line="147" w:lineRule="exact"/>
              <w:rPr>
                <w:sz w:val="20"/>
                <w:szCs w:val="20"/>
                <w:color w:val="auto"/>
              </w:rPr>
            </w:pPr>
            <w:r>
              <w:rPr>
                <w:rFonts w:ascii="Arial" w:cs="Arial" w:eastAsia="Arial" w:hAnsi="Arial"/>
                <w:sz w:val="14"/>
                <w:szCs w:val="14"/>
                <w:color w:val="auto"/>
              </w:rPr>
              <w:t>10,000</w:t>
            </w:r>
          </w:p>
        </w:tc>
        <w:tc>
          <w:tcPr>
            <w:tcW w:w="620" w:type="dxa"/>
            <w:vAlign w:val="bottom"/>
            <w:gridSpan w:val="2"/>
          </w:tcPr>
          <w:p>
            <w:pPr>
              <w:jc w:val="center"/>
              <w:ind w:left="9"/>
              <w:spacing w:after="0" w:line="147" w:lineRule="exact"/>
              <w:rPr>
                <w:sz w:val="20"/>
                <w:szCs w:val="20"/>
                <w:color w:val="auto"/>
              </w:rPr>
            </w:pPr>
            <w:r>
              <w:rPr>
                <w:rFonts w:ascii="Arial" w:cs="Arial" w:eastAsia="Arial" w:hAnsi="Arial"/>
                <w:sz w:val="14"/>
                <w:szCs w:val="14"/>
                <w:color w:val="auto"/>
                <w:w w:val="91"/>
              </w:rPr>
              <w:t>04/19/13</w:t>
            </w:r>
          </w:p>
        </w:tc>
        <w:tc>
          <w:tcPr>
            <w:tcW w:w="660" w:type="dxa"/>
            <w:vAlign w:val="bottom"/>
            <w:gridSpan w:val="2"/>
          </w:tcPr>
          <w:p>
            <w:pPr>
              <w:ind w:left="120"/>
              <w:spacing w:after="0" w:line="147" w:lineRule="exact"/>
              <w:rPr>
                <w:sz w:val="20"/>
                <w:szCs w:val="20"/>
                <w:color w:val="auto"/>
              </w:rPr>
            </w:pPr>
            <w:r>
              <w:rPr>
                <w:rFonts w:ascii="Arial" w:cs="Arial" w:eastAsia="Arial" w:hAnsi="Arial"/>
                <w:sz w:val="14"/>
                <w:szCs w:val="14"/>
                <w:color w:val="auto"/>
                <w:w w:val="95"/>
              </w:rPr>
              <w:t>04/24/13</w:t>
            </w:r>
          </w:p>
        </w:tc>
        <w:tc>
          <w:tcPr>
            <w:tcW w:w="680" w:type="dxa"/>
            <w:vAlign w:val="bottom"/>
            <w:gridSpan w:val="2"/>
          </w:tcPr>
          <w:p>
            <w:pPr>
              <w:ind w:left="120"/>
              <w:spacing w:after="0" w:line="147" w:lineRule="exact"/>
              <w:rPr>
                <w:sz w:val="20"/>
                <w:szCs w:val="20"/>
                <w:color w:val="auto"/>
              </w:rPr>
            </w:pPr>
            <w:r>
              <w:rPr>
                <w:rFonts w:ascii="Arial" w:cs="Arial" w:eastAsia="Arial" w:hAnsi="Arial"/>
                <w:sz w:val="14"/>
                <w:szCs w:val="14"/>
                <w:color w:val="auto"/>
                <w:w w:val="99"/>
              </w:rPr>
              <w:t>09/07/22</w:t>
            </w:r>
          </w:p>
        </w:tc>
        <w:tc>
          <w:tcPr>
            <w:tcW w:w="1560" w:type="dxa"/>
            <w:vAlign w:val="bottom"/>
            <w:gridSpan w:val="2"/>
          </w:tcPr>
          <w:p>
            <w:pPr>
              <w:jc w:val="right"/>
              <w:ind w:right="389"/>
              <w:spacing w:after="0" w:line="147" w:lineRule="exact"/>
              <w:rPr>
                <w:sz w:val="20"/>
                <w:szCs w:val="20"/>
                <w:color w:val="auto"/>
              </w:rPr>
            </w:pPr>
            <w:r>
              <w:rPr>
                <w:rFonts w:ascii="Arial" w:cs="Arial" w:eastAsia="Arial" w:hAnsi="Arial"/>
                <w:sz w:val="14"/>
                <w:szCs w:val="14"/>
                <w:color w:val="auto"/>
              </w:rPr>
              <w:t>3.15000%</w:t>
            </w:r>
          </w:p>
        </w:tc>
        <w:tc>
          <w:tcPr>
            <w:tcW w:w="80" w:type="dxa"/>
            <w:vAlign w:val="bottom"/>
          </w:tcPr>
          <w:p>
            <w:pPr>
              <w:spacing w:after="0"/>
              <w:rPr>
                <w:sz w:val="12"/>
                <w:szCs w:val="12"/>
                <w:color w:val="auto"/>
              </w:rPr>
            </w:pPr>
          </w:p>
        </w:tc>
        <w:tc>
          <w:tcPr>
            <w:tcW w:w="1160" w:type="dxa"/>
            <w:vAlign w:val="bottom"/>
          </w:tcPr>
          <w:p>
            <w:pPr>
              <w:jc w:val="center"/>
              <w:spacing w:after="0" w:line="147" w:lineRule="exact"/>
              <w:rPr>
                <w:sz w:val="20"/>
                <w:szCs w:val="20"/>
                <w:color w:val="auto"/>
              </w:rPr>
            </w:pPr>
            <w:r>
              <w:rPr>
                <w:rFonts w:ascii="Arial" w:cs="Arial" w:eastAsia="Arial" w:hAnsi="Arial"/>
                <w:sz w:val="14"/>
                <w:szCs w:val="14"/>
                <w:color w:val="auto"/>
                <w:w w:val="98"/>
              </w:rPr>
              <w:t>3 mo. LIBOR</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gridSpan w:val="2"/>
          </w:tcPr>
          <w:p>
            <w:pPr>
              <w:jc w:val="right"/>
              <w:ind w:right="100"/>
              <w:spacing w:after="0" w:line="147" w:lineRule="exact"/>
              <w:rPr>
                <w:sz w:val="20"/>
                <w:szCs w:val="20"/>
                <w:color w:val="auto"/>
              </w:rPr>
            </w:pPr>
            <w:r>
              <w:rPr>
                <w:rFonts w:ascii="Arial" w:cs="Arial" w:eastAsia="Arial" w:hAnsi="Arial"/>
                <w:sz w:val="14"/>
                <w:szCs w:val="14"/>
                <w:color w:val="auto"/>
              </w:rPr>
              <w:t>525</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ind w:right="29"/>
              <w:spacing w:after="0" w:line="147"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7"/>
        </w:trPr>
        <w:tc>
          <w:tcPr>
            <w:tcW w:w="1900" w:type="dxa"/>
            <w:vAlign w:val="bottom"/>
          </w:tcPr>
          <w:p>
            <w:pPr>
              <w:spacing w:after="0" w:line="147" w:lineRule="exact"/>
              <w:rPr>
                <w:sz w:val="20"/>
                <w:szCs w:val="20"/>
                <w:color w:val="auto"/>
              </w:rPr>
            </w:pPr>
            <w:r>
              <w:rPr>
                <w:rFonts w:ascii="Arial" w:cs="Arial" w:eastAsia="Arial" w:hAnsi="Arial"/>
                <w:sz w:val="14"/>
                <w:szCs w:val="14"/>
                <w:color w:val="auto"/>
              </w:rPr>
              <w:t>Pay Fixed Swap</w:t>
            </w:r>
          </w:p>
        </w:tc>
        <w:tc>
          <w:tcPr>
            <w:tcW w:w="60" w:type="dxa"/>
            <w:vAlign w:val="bottom"/>
          </w:tcPr>
          <w:p>
            <w:pPr>
              <w:spacing w:after="0"/>
              <w:rPr>
                <w:sz w:val="12"/>
                <w:szCs w:val="12"/>
                <w:color w:val="auto"/>
              </w:rPr>
            </w:pPr>
          </w:p>
        </w:tc>
        <w:tc>
          <w:tcPr>
            <w:tcW w:w="760" w:type="dxa"/>
            <w:vAlign w:val="bottom"/>
          </w:tcPr>
          <w:p>
            <w:pPr>
              <w:jc w:val="center"/>
              <w:spacing w:after="0" w:line="147" w:lineRule="exact"/>
              <w:rPr>
                <w:sz w:val="20"/>
                <w:szCs w:val="20"/>
                <w:color w:val="auto"/>
              </w:rPr>
            </w:pPr>
            <w:r>
              <w:rPr>
                <w:rFonts w:ascii="Arial" w:cs="Arial" w:eastAsia="Arial" w:hAnsi="Arial"/>
                <w:sz w:val="14"/>
                <w:szCs w:val="14"/>
                <w:color w:val="auto"/>
                <w:w w:val="93"/>
              </w:rPr>
              <w:t>Fair Value</w:t>
            </w:r>
          </w:p>
        </w:tc>
        <w:tc>
          <w:tcPr>
            <w:tcW w:w="80" w:type="dxa"/>
            <w:vAlign w:val="bottom"/>
          </w:tcPr>
          <w:p>
            <w:pPr>
              <w:spacing w:after="0"/>
              <w:rPr>
                <w:sz w:val="12"/>
                <w:szCs w:val="12"/>
                <w:color w:val="auto"/>
              </w:rPr>
            </w:pPr>
          </w:p>
        </w:tc>
        <w:tc>
          <w:tcPr>
            <w:tcW w:w="1660" w:type="dxa"/>
            <w:vAlign w:val="bottom"/>
          </w:tcPr>
          <w:p>
            <w:pPr>
              <w:jc w:val="center"/>
              <w:spacing w:after="0" w:line="147" w:lineRule="exact"/>
              <w:rPr>
                <w:sz w:val="20"/>
                <w:szCs w:val="20"/>
                <w:color w:val="auto"/>
              </w:rPr>
            </w:pPr>
            <w:r>
              <w:rPr>
                <w:rFonts w:ascii="Arial" w:cs="Arial" w:eastAsia="Arial" w:hAnsi="Arial"/>
                <w:sz w:val="14"/>
                <w:szCs w:val="14"/>
                <w:color w:val="auto"/>
                <w:w w:val="91"/>
              </w:rPr>
              <w:t>Corporate Bond</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ind w:right="9"/>
              <w:spacing w:after="0" w:line="147" w:lineRule="exact"/>
              <w:rPr>
                <w:sz w:val="20"/>
                <w:szCs w:val="20"/>
                <w:color w:val="auto"/>
              </w:rPr>
            </w:pPr>
            <w:r>
              <w:rPr>
                <w:rFonts w:ascii="Arial" w:cs="Arial" w:eastAsia="Arial" w:hAnsi="Arial"/>
                <w:sz w:val="14"/>
                <w:szCs w:val="14"/>
                <w:color w:val="auto"/>
              </w:rPr>
              <w:t>10,000</w:t>
            </w:r>
          </w:p>
        </w:tc>
        <w:tc>
          <w:tcPr>
            <w:tcW w:w="620" w:type="dxa"/>
            <w:vAlign w:val="bottom"/>
            <w:gridSpan w:val="2"/>
          </w:tcPr>
          <w:p>
            <w:pPr>
              <w:jc w:val="center"/>
              <w:ind w:left="9"/>
              <w:spacing w:after="0" w:line="147" w:lineRule="exact"/>
              <w:rPr>
                <w:sz w:val="20"/>
                <w:szCs w:val="20"/>
                <w:color w:val="auto"/>
              </w:rPr>
            </w:pPr>
            <w:r>
              <w:rPr>
                <w:rFonts w:ascii="Arial" w:cs="Arial" w:eastAsia="Arial" w:hAnsi="Arial"/>
                <w:sz w:val="14"/>
                <w:szCs w:val="14"/>
                <w:color w:val="auto"/>
                <w:w w:val="91"/>
              </w:rPr>
              <w:t>04/22/13</w:t>
            </w:r>
          </w:p>
        </w:tc>
        <w:tc>
          <w:tcPr>
            <w:tcW w:w="660" w:type="dxa"/>
            <w:vAlign w:val="bottom"/>
            <w:gridSpan w:val="2"/>
          </w:tcPr>
          <w:p>
            <w:pPr>
              <w:ind w:left="120"/>
              <w:spacing w:after="0" w:line="147" w:lineRule="exact"/>
              <w:rPr>
                <w:sz w:val="20"/>
                <w:szCs w:val="20"/>
                <w:color w:val="auto"/>
              </w:rPr>
            </w:pPr>
            <w:r>
              <w:rPr>
                <w:rFonts w:ascii="Arial" w:cs="Arial" w:eastAsia="Arial" w:hAnsi="Arial"/>
                <w:sz w:val="14"/>
                <w:szCs w:val="14"/>
                <w:color w:val="auto"/>
                <w:w w:val="95"/>
              </w:rPr>
              <w:t>04/25/13</w:t>
            </w:r>
          </w:p>
        </w:tc>
        <w:tc>
          <w:tcPr>
            <w:tcW w:w="680" w:type="dxa"/>
            <w:vAlign w:val="bottom"/>
            <w:gridSpan w:val="2"/>
          </w:tcPr>
          <w:p>
            <w:pPr>
              <w:ind w:left="120"/>
              <w:spacing w:after="0" w:line="147" w:lineRule="exact"/>
              <w:rPr>
                <w:sz w:val="20"/>
                <w:szCs w:val="20"/>
                <w:color w:val="auto"/>
              </w:rPr>
            </w:pPr>
            <w:r>
              <w:rPr>
                <w:rFonts w:ascii="Arial" w:cs="Arial" w:eastAsia="Arial" w:hAnsi="Arial"/>
                <w:sz w:val="14"/>
                <w:szCs w:val="14"/>
                <w:color w:val="auto"/>
                <w:w w:val="99"/>
              </w:rPr>
              <w:t>01/24/22</w:t>
            </w:r>
          </w:p>
        </w:tc>
        <w:tc>
          <w:tcPr>
            <w:tcW w:w="1560" w:type="dxa"/>
            <w:vAlign w:val="bottom"/>
            <w:gridSpan w:val="2"/>
          </w:tcPr>
          <w:p>
            <w:pPr>
              <w:jc w:val="right"/>
              <w:ind w:right="389"/>
              <w:spacing w:after="0" w:line="147" w:lineRule="exact"/>
              <w:rPr>
                <w:sz w:val="20"/>
                <w:szCs w:val="20"/>
                <w:color w:val="auto"/>
              </w:rPr>
            </w:pPr>
            <w:r>
              <w:rPr>
                <w:rFonts w:ascii="Arial" w:cs="Arial" w:eastAsia="Arial" w:hAnsi="Arial"/>
                <w:sz w:val="14"/>
                <w:szCs w:val="14"/>
                <w:color w:val="auto"/>
              </w:rPr>
              <w:t>5.75000%</w:t>
            </w:r>
          </w:p>
        </w:tc>
        <w:tc>
          <w:tcPr>
            <w:tcW w:w="80" w:type="dxa"/>
            <w:vAlign w:val="bottom"/>
          </w:tcPr>
          <w:p>
            <w:pPr>
              <w:spacing w:after="0"/>
              <w:rPr>
                <w:sz w:val="12"/>
                <w:szCs w:val="12"/>
                <w:color w:val="auto"/>
              </w:rPr>
            </w:pPr>
          </w:p>
        </w:tc>
        <w:tc>
          <w:tcPr>
            <w:tcW w:w="1160" w:type="dxa"/>
            <w:vAlign w:val="bottom"/>
          </w:tcPr>
          <w:p>
            <w:pPr>
              <w:jc w:val="center"/>
              <w:spacing w:after="0" w:line="147" w:lineRule="exact"/>
              <w:rPr>
                <w:sz w:val="20"/>
                <w:szCs w:val="20"/>
                <w:color w:val="auto"/>
              </w:rPr>
            </w:pPr>
            <w:r>
              <w:rPr>
                <w:rFonts w:ascii="Arial" w:cs="Arial" w:eastAsia="Arial" w:hAnsi="Arial"/>
                <w:sz w:val="14"/>
                <w:szCs w:val="14"/>
                <w:color w:val="auto"/>
                <w:w w:val="98"/>
              </w:rPr>
              <w:t>3 mo. LIBOR</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ind w:right="29"/>
              <w:spacing w:after="0" w:line="147" w:lineRule="exact"/>
              <w:rPr>
                <w:sz w:val="20"/>
                <w:szCs w:val="20"/>
                <w:color w:val="auto"/>
              </w:rPr>
            </w:pPr>
            <w:r>
              <w:rPr>
                <w:rFonts w:ascii="Arial" w:cs="Arial" w:eastAsia="Arial" w:hAnsi="Arial"/>
                <w:sz w:val="14"/>
                <w:szCs w:val="14"/>
                <w:color w:val="auto"/>
              </w:rPr>
              <w:t>1,203</w:t>
            </w:r>
          </w:p>
        </w:tc>
        <w:tc>
          <w:tcPr>
            <w:tcW w:w="0" w:type="dxa"/>
            <w:vAlign w:val="bottom"/>
          </w:tcPr>
          <w:p>
            <w:pPr>
              <w:spacing w:after="0"/>
              <w:rPr>
                <w:sz w:val="1"/>
                <w:szCs w:val="1"/>
                <w:color w:val="auto"/>
              </w:rPr>
            </w:pPr>
          </w:p>
        </w:tc>
      </w:tr>
      <w:tr>
        <w:trPr>
          <w:trHeight w:val="147"/>
        </w:trPr>
        <w:tc>
          <w:tcPr>
            <w:tcW w:w="1900" w:type="dxa"/>
            <w:vAlign w:val="bottom"/>
          </w:tcPr>
          <w:p>
            <w:pPr>
              <w:spacing w:after="0" w:line="147" w:lineRule="exact"/>
              <w:rPr>
                <w:sz w:val="20"/>
                <w:szCs w:val="20"/>
                <w:color w:val="auto"/>
              </w:rPr>
            </w:pPr>
            <w:r>
              <w:rPr>
                <w:rFonts w:ascii="Arial" w:cs="Arial" w:eastAsia="Arial" w:hAnsi="Arial"/>
                <w:sz w:val="14"/>
                <w:szCs w:val="14"/>
                <w:color w:val="auto"/>
              </w:rPr>
              <w:t>Pay Fixed Swap</w:t>
            </w:r>
          </w:p>
        </w:tc>
        <w:tc>
          <w:tcPr>
            <w:tcW w:w="60" w:type="dxa"/>
            <w:vAlign w:val="bottom"/>
          </w:tcPr>
          <w:p>
            <w:pPr>
              <w:spacing w:after="0"/>
              <w:rPr>
                <w:sz w:val="12"/>
                <w:szCs w:val="12"/>
                <w:color w:val="auto"/>
              </w:rPr>
            </w:pPr>
          </w:p>
        </w:tc>
        <w:tc>
          <w:tcPr>
            <w:tcW w:w="760" w:type="dxa"/>
            <w:vAlign w:val="bottom"/>
          </w:tcPr>
          <w:p>
            <w:pPr>
              <w:jc w:val="center"/>
              <w:spacing w:after="0" w:line="147" w:lineRule="exact"/>
              <w:rPr>
                <w:sz w:val="20"/>
                <w:szCs w:val="20"/>
                <w:color w:val="auto"/>
              </w:rPr>
            </w:pPr>
            <w:r>
              <w:rPr>
                <w:rFonts w:ascii="Arial" w:cs="Arial" w:eastAsia="Arial" w:hAnsi="Arial"/>
                <w:sz w:val="14"/>
                <w:szCs w:val="14"/>
                <w:color w:val="auto"/>
                <w:w w:val="93"/>
              </w:rPr>
              <w:t>Fair Value</w:t>
            </w:r>
          </w:p>
        </w:tc>
        <w:tc>
          <w:tcPr>
            <w:tcW w:w="80" w:type="dxa"/>
            <w:vAlign w:val="bottom"/>
          </w:tcPr>
          <w:p>
            <w:pPr>
              <w:spacing w:after="0"/>
              <w:rPr>
                <w:sz w:val="12"/>
                <w:szCs w:val="12"/>
                <w:color w:val="auto"/>
              </w:rPr>
            </w:pPr>
          </w:p>
        </w:tc>
        <w:tc>
          <w:tcPr>
            <w:tcW w:w="1660" w:type="dxa"/>
            <w:vAlign w:val="bottom"/>
          </w:tcPr>
          <w:p>
            <w:pPr>
              <w:jc w:val="center"/>
              <w:spacing w:after="0" w:line="147" w:lineRule="exact"/>
              <w:rPr>
                <w:sz w:val="20"/>
                <w:szCs w:val="20"/>
                <w:color w:val="auto"/>
              </w:rPr>
            </w:pPr>
            <w:r>
              <w:rPr>
                <w:rFonts w:ascii="Arial" w:cs="Arial" w:eastAsia="Arial" w:hAnsi="Arial"/>
                <w:sz w:val="14"/>
                <w:szCs w:val="14"/>
                <w:color w:val="auto"/>
                <w:w w:val="91"/>
              </w:rPr>
              <w:t>Corporate Bond</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ind w:right="9"/>
              <w:spacing w:after="0" w:line="147" w:lineRule="exact"/>
              <w:rPr>
                <w:sz w:val="20"/>
                <w:szCs w:val="20"/>
                <w:color w:val="auto"/>
              </w:rPr>
            </w:pPr>
            <w:r>
              <w:rPr>
                <w:rFonts w:ascii="Arial" w:cs="Arial" w:eastAsia="Arial" w:hAnsi="Arial"/>
                <w:sz w:val="14"/>
                <w:szCs w:val="14"/>
                <w:color w:val="auto"/>
              </w:rPr>
              <w:t>10,000</w:t>
            </w:r>
          </w:p>
        </w:tc>
        <w:tc>
          <w:tcPr>
            <w:tcW w:w="620" w:type="dxa"/>
            <w:vAlign w:val="bottom"/>
            <w:gridSpan w:val="2"/>
          </w:tcPr>
          <w:p>
            <w:pPr>
              <w:jc w:val="center"/>
              <w:ind w:left="9"/>
              <w:spacing w:after="0" w:line="147" w:lineRule="exact"/>
              <w:rPr>
                <w:sz w:val="20"/>
                <w:szCs w:val="20"/>
                <w:color w:val="auto"/>
              </w:rPr>
            </w:pPr>
            <w:r>
              <w:rPr>
                <w:rFonts w:ascii="Arial" w:cs="Arial" w:eastAsia="Arial" w:hAnsi="Arial"/>
                <w:sz w:val="14"/>
                <w:szCs w:val="14"/>
                <w:color w:val="auto"/>
                <w:w w:val="91"/>
              </w:rPr>
              <w:t>04/25/13</w:t>
            </w:r>
          </w:p>
        </w:tc>
        <w:tc>
          <w:tcPr>
            <w:tcW w:w="660" w:type="dxa"/>
            <w:vAlign w:val="bottom"/>
            <w:gridSpan w:val="2"/>
          </w:tcPr>
          <w:p>
            <w:pPr>
              <w:ind w:left="120"/>
              <w:spacing w:after="0" w:line="147" w:lineRule="exact"/>
              <w:rPr>
                <w:sz w:val="20"/>
                <w:szCs w:val="20"/>
                <w:color w:val="auto"/>
              </w:rPr>
            </w:pPr>
            <w:r>
              <w:rPr>
                <w:rFonts w:ascii="Arial" w:cs="Arial" w:eastAsia="Arial" w:hAnsi="Arial"/>
                <w:sz w:val="14"/>
                <w:szCs w:val="14"/>
                <w:color w:val="auto"/>
                <w:w w:val="95"/>
              </w:rPr>
              <w:t>05/01/13</w:t>
            </w:r>
          </w:p>
        </w:tc>
        <w:tc>
          <w:tcPr>
            <w:tcW w:w="680" w:type="dxa"/>
            <w:vAlign w:val="bottom"/>
            <w:gridSpan w:val="2"/>
          </w:tcPr>
          <w:p>
            <w:pPr>
              <w:ind w:left="120"/>
              <w:spacing w:after="0" w:line="147" w:lineRule="exact"/>
              <w:rPr>
                <w:sz w:val="20"/>
                <w:szCs w:val="20"/>
                <w:color w:val="auto"/>
              </w:rPr>
            </w:pPr>
            <w:r>
              <w:rPr>
                <w:rFonts w:ascii="Arial" w:cs="Arial" w:eastAsia="Arial" w:hAnsi="Arial"/>
                <w:sz w:val="14"/>
                <w:szCs w:val="14"/>
                <w:color w:val="auto"/>
                <w:w w:val="99"/>
              </w:rPr>
              <w:t>05/01/23</w:t>
            </w:r>
          </w:p>
        </w:tc>
        <w:tc>
          <w:tcPr>
            <w:tcW w:w="1560" w:type="dxa"/>
            <w:vAlign w:val="bottom"/>
            <w:gridSpan w:val="2"/>
          </w:tcPr>
          <w:p>
            <w:pPr>
              <w:jc w:val="right"/>
              <w:ind w:right="389"/>
              <w:spacing w:after="0" w:line="147" w:lineRule="exact"/>
              <w:rPr>
                <w:sz w:val="20"/>
                <w:szCs w:val="20"/>
                <w:color w:val="auto"/>
              </w:rPr>
            </w:pPr>
            <w:r>
              <w:rPr>
                <w:rFonts w:ascii="Arial" w:cs="Arial" w:eastAsia="Arial" w:hAnsi="Arial"/>
                <w:sz w:val="14"/>
                <w:szCs w:val="14"/>
                <w:color w:val="auto"/>
              </w:rPr>
              <w:t>3.37500%</w:t>
            </w:r>
          </w:p>
        </w:tc>
        <w:tc>
          <w:tcPr>
            <w:tcW w:w="80" w:type="dxa"/>
            <w:vAlign w:val="bottom"/>
          </w:tcPr>
          <w:p>
            <w:pPr>
              <w:spacing w:after="0"/>
              <w:rPr>
                <w:sz w:val="12"/>
                <w:szCs w:val="12"/>
                <w:color w:val="auto"/>
              </w:rPr>
            </w:pPr>
          </w:p>
        </w:tc>
        <w:tc>
          <w:tcPr>
            <w:tcW w:w="1160" w:type="dxa"/>
            <w:vAlign w:val="bottom"/>
          </w:tcPr>
          <w:p>
            <w:pPr>
              <w:jc w:val="center"/>
              <w:spacing w:after="0" w:line="147" w:lineRule="exact"/>
              <w:rPr>
                <w:sz w:val="20"/>
                <w:szCs w:val="20"/>
                <w:color w:val="auto"/>
              </w:rPr>
            </w:pPr>
            <w:r>
              <w:rPr>
                <w:rFonts w:ascii="Arial" w:cs="Arial" w:eastAsia="Arial" w:hAnsi="Arial"/>
                <w:sz w:val="14"/>
                <w:szCs w:val="14"/>
                <w:color w:val="auto"/>
                <w:w w:val="98"/>
              </w:rPr>
              <w:t>3 mo. LIBOR</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gridSpan w:val="2"/>
          </w:tcPr>
          <w:p>
            <w:pPr>
              <w:jc w:val="right"/>
              <w:ind w:right="100"/>
              <w:spacing w:after="0" w:line="147" w:lineRule="exact"/>
              <w:rPr>
                <w:sz w:val="20"/>
                <w:szCs w:val="20"/>
                <w:color w:val="auto"/>
              </w:rPr>
            </w:pPr>
            <w:r>
              <w:rPr>
                <w:rFonts w:ascii="Arial" w:cs="Arial" w:eastAsia="Arial" w:hAnsi="Arial"/>
                <w:sz w:val="14"/>
                <w:szCs w:val="14"/>
                <w:color w:val="auto"/>
              </w:rPr>
              <w:t>728</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1900" w:type="dxa"/>
            <w:vAlign w:val="bottom"/>
          </w:tcPr>
          <w:p>
            <w:pPr>
              <w:spacing w:after="0" w:line="147" w:lineRule="exact"/>
              <w:rPr>
                <w:sz w:val="20"/>
                <w:szCs w:val="20"/>
                <w:color w:val="auto"/>
              </w:rPr>
            </w:pPr>
            <w:r>
              <w:rPr>
                <w:rFonts w:ascii="Arial" w:cs="Arial" w:eastAsia="Arial" w:hAnsi="Arial"/>
                <w:sz w:val="14"/>
                <w:szCs w:val="14"/>
                <w:color w:val="auto"/>
              </w:rPr>
              <w:t>Pay Fixed Swap</w:t>
            </w:r>
          </w:p>
        </w:tc>
        <w:tc>
          <w:tcPr>
            <w:tcW w:w="60" w:type="dxa"/>
            <w:vAlign w:val="bottom"/>
          </w:tcPr>
          <w:p>
            <w:pPr>
              <w:spacing w:after="0"/>
              <w:rPr>
                <w:sz w:val="12"/>
                <w:szCs w:val="12"/>
                <w:color w:val="auto"/>
              </w:rPr>
            </w:pPr>
          </w:p>
        </w:tc>
        <w:tc>
          <w:tcPr>
            <w:tcW w:w="760" w:type="dxa"/>
            <w:vAlign w:val="bottom"/>
          </w:tcPr>
          <w:p>
            <w:pPr>
              <w:jc w:val="center"/>
              <w:spacing w:after="0" w:line="147" w:lineRule="exact"/>
              <w:rPr>
                <w:sz w:val="20"/>
                <w:szCs w:val="20"/>
                <w:color w:val="auto"/>
              </w:rPr>
            </w:pPr>
            <w:r>
              <w:rPr>
                <w:rFonts w:ascii="Arial" w:cs="Arial" w:eastAsia="Arial" w:hAnsi="Arial"/>
                <w:sz w:val="14"/>
                <w:szCs w:val="14"/>
                <w:color w:val="auto"/>
                <w:w w:val="93"/>
              </w:rPr>
              <w:t>Fair Value</w:t>
            </w:r>
          </w:p>
        </w:tc>
        <w:tc>
          <w:tcPr>
            <w:tcW w:w="80" w:type="dxa"/>
            <w:vAlign w:val="bottom"/>
          </w:tcPr>
          <w:p>
            <w:pPr>
              <w:spacing w:after="0"/>
              <w:rPr>
                <w:sz w:val="12"/>
                <w:szCs w:val="12"/>
                <w:color w:val="auto"/>
              </w:rPr>
            </w:pPr>
          </w:p>
        </w:tc>
        <w:tc>
          <w:tcPr>
            <w:tcW w:w="1660" w:type="dxa"/>
            <w:vAlign w:val="bottom"/>
          </w:tcPr>
          <w:p>
            <w:pPr>
              <w:jc w:val="center"/>
              <w:spacing w:after="0" w:line="147" w:lineRule="exact"/>
              <w:rPr>
                <w:sz w:val="20"/>
                <w:szCs w:val="20"/>
                <w:color w:val="auto"/>
              </w:rPr>
            </w:pPr>
            <w:r>
              <w:rPr>
                <w:rFonts w:ascii="Arial" w:cs="Arial" w:eastAsia="Arial" w:hAnsi="Arial"/>
                <w:sz w:val="14"/>
                <w:szCs w:val="14"/>
                <w:color w:val="auto"/>
                <w:w w:val="91"/>
              </w:rPr>
              <w:t>Corporate Bond</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ind w:right="9"/>
              <w:spacing w:after="0" w:line="147" w:lineRule="exact"/>
              <w:rPr>
                <w:sz w:val="20"/>
                <w:szCs w:val="20"/>
                <w:color w:val="auto"/>
              </w:rPr>
            </w:pPr>
            <w:r>
              <w:rPr>
                <w:rFonts w:ascii="Arial" w:cs="Arial" w:eastAsia="Arial" w:hAnsi="Arial"/>
                <w:sz w:val="14"/>
                <w:szCs w:val="14"/>
                <w:color w:val="auto"/>
              </w:rPr>
              <w:t>10,000</w:t>
            </w:r>
          </w:p>
        </w:tc>
        <w:tc>
          <w:tcPr>
            <w:tcW w:w="620" w:type="dxa"/>
            <w:vAlign w:val="bottom"/>
            <w:gridSpan w:val="2"/>
          </w:tcPr>
          <w:p>
            <w:pPr>
              <w:jc w:val="center"/>
              <w:ind w:left="9"/>
              <w:spacing w:after="0" w:line="147" w:lineRule="exact"/>
              <w:rPr>
                <w:sz w:val="20"/>
                <w:szCs w:val="20"/>
                <w:color w:val="auto"/>
              </w:rPr>
            </w:pPr>
            <w:r>
              <w:rPr>
                <w:rFonts w:ascii="Arial" w:cs="Arial" w:eastAsia="Arial" w:hAnsi="Arial"/>
                <w:sz w:val="14"/>
                <w:szCs w:val="14"/>
                <w:color w:val="auto"/>
                <w:w w:val="91"/>
              </w:rPr>
              <w:t>05/29/13</w:t>
            </w:r>
          </w:p>
        </w:tc>
        <w:tc>
          <w:tcPr>
            <w:tcW w:w="660" w:type="dxa"/>
            <w:vAlign w:val="bottom"/>
            <w:gridSpan w:val="2"/>
          </w:tcPr>
          <w:p>
            <w:pPr>
              <w:ind w:left="120"/>
              <w:spacing w:after="0" w:line="147" w:lineRule="exact"/>
              <w:rPr>
                <w:sz w:val="20"/>
                <w:szCs w:val="20"/>
                <w:color w:val="auto"/>
              </w:rPr>
            </w:pPr>
            <w:r>
              <w:rPr>
                <w:rFonts w:ascii="Arial" w:cs="Arial" w:eastAsia="Arial" w:hAnsi="Arial"/>
                <w:sz w:val="14"/>
                <w:szCs w:val="14"/>
                <w:color w:val="auto"/>
                <w:w w:val="95"/>
              </w:rPr>
              <w:t>06/03/13</w:t>
            </w:r>
          </w:p>
        </w:tc>
        <w:tc>
          <w:tcPr>
            <w:tcW w:w="680" w:type="dxa"/>
            <w:vAlign w:val="bottom"/>
            <w:gridSpan w:val="2"/>
          </w:tcPr>
          <w:p>
            <w:pPr>
              <w:ind w:left="120"/>
              <w:spacing w:after="0" w:line="147" w:lineRule="exact"/>
              <w:rPr>
                <w:sz w:val="20"/>
                <w:szCs w:val="20"/>
                <w:color w:val="auto"/>
              </w:rPr>
            </w:pPr>
            <w:r>
              <w:rPr>
                <w:rFonts w:ascii="Arial" w:cs="Arial" w:eastAsia="Arial" w:hAnsi="Arial"/>
                <w:sz w:val="14"/>
                <w:szCs w:val="14"/>
                <w:color w:val="auto"/>
                <w:w w:val="99"/>
              </w:rPr>
              <w:t>01/24/22</w:t>
            </w:r>
          </w:p>
        </w:tc>
        <w:tc>
          <w:tcPr>
            <w:tcW w:w="1560" w:type="dxa"/>
            <w:vAlign w:val="bottom"/>
            <w:gridSpan w:val="2"/>
          </w:tcPr>
          <w:p>
            <w:pPr>
              <w:jc w:val="right"/>
              <w:ind w:right="389"/>
              <w:spacing w:after="0" w:line="147" w:lineRule="exact"/>
              <w:rPr>
                <w:sz w:val="20"/>
                <w:szCs w:val="20"/>
                <w:color w:val="auto"/>
              </w:rPr>
            </w:pPr>
            <w:r>
              <w:rPr>
                <w:rFonts w:ascii="Arial" w:cs="Arial" w:eastAsia="Arial" w:hAnsi="Arial"/>
                <w:sz w:val="14"/>
                <w:szCs w:val="14"/>
                <w:color w:val="auto"/>
              </w:rPr>
              <w:t>5.70000%</w:t>
            </w:r>
          </w:p>
        </w:tc>
        <w:tc>
          <w:tcPr>
            <w:tcW w:w="80" w:type="dxa"/>
            <w:vAlign w:val="bottom"/>
          </w:tcPr>
          <w:p>
            <w:pPr>
              <w:spacing w:after="0"/>
              <w:rPr>
                <w:sz w:val="12"/>
                <w:szCs w:val="12"/>
                <w:color w:val="auto"/>
              </w:rPr>
            </w:pPr>
          </w:p>
        </w:tc>
        <w:tc>
          <w:tcPr>
            <w:tcW w:w="1160" w:type="dxa"/>
            <w:vAlign w:val="bottom"/>
          </w:tcPr>
          <w:p>
            <w:pPr>
              <w:jc w:val="center"/>
              <w:spacing w:after="0" w:line="147" w:lineRule="exact"/>
              <w:rPr>
                <w:sz w:val="20"/>
                <w:szCs w:val="20"/>
                <w:color w:val="auto"/>
              </w:rPr>
            </w:pPr>
            <w:r>
              <w:rPr>
                <w:rFonts w:ascii="Arial" w:cs="Arial" w:eastAsia="Arial" w:hAnsi="Arial"/>
                <w:sz w:val="14"/>
                <w:szCs w:val="14"/>
                <w:color w:val="auto"/>
                <w:w w:val="98"/>
              </w:rPr>
              <w:t>3 mo. LIBOR</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gridSpan w:val="2"/>
          </w:tcPr>
          <w:p>
            <w:pPr>
              <w:jc w:val="right"/>
              <w:ind w:right="100"/>
              <w:spacing w:after="0" w:line="147"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ind w:right="29"/>
              <w:spacing w:after="0" w:line="147" w:lineRule="exact"/>
              <w:rPr>
                <w:sz w:val="20"/>
                <w:szCs w:val="20"/>
                <w:color w:val="auto"/>
              </w:rPr>
            </w:pPr>
            <w:r>
              <w:rPr>
                <w:rFonts w:ascii="Arial" w:cs="Arial" w:eastAsia="Arial" w:hAnsi="Arial"/>
                <w:sz w:val="14"/>
                <w:szCs w:val="14"/>
                <w:color w:val="auto"/>
              </w:rPr>
              <w:t>1,294</w:t>
            </w:r>
          </w:p>
        </w:tc>
        <w:tc>
          <w:tcPr>
            <w:tcW w:w="0" w:type="dxa"/>
            <w:vAlign w:val="bottom"/>
          </w:tcPr>
          <w:p>
            <w:pPr>
              <w:spacing w:after="0"/>
              <w:rPr>
                <w:sz w:val="1"/>
                <w:szCs w:val="1"/>
                <w:color w:val="auto"/>
              </w:rPr>
            </w:pPr>
          </w:p>
        </w:tc>
      </w:tr>
      <w:tr>
        <w:trPr>
          <w:trHeight w:val="147"/>
        </w:trPr>
        <w:tc>
          <w:tcPr>
            <w:tcW w:w="1900" w:type="dxa"/>
            <w:vAlign w:val="bottom"/>
          </w:tcPr>
          <w:p>
            <w:pPr>
              <w:spacing w:after="0" w:line="147" w:lineRule="exact"/>
              <w:rPr>
                <w:sz w:val="20"/>
                <w:szCs w:val="20"/>
                <w:color w:val="auto"/>
              </w:rPr>
            </w:pPr>
            <w:r>
              <w:rPr>
                <w:rFonts w:ascii="Arial" w:cs="Arial" w:eastAsia="Arial" w:hAnsi="Arial"/>
                <w:sz w:val="14"/>
                <w:szCs w:val="14"/>
                <w:color w:val="auto"/>
              </w:rPr>
              <w:t>Pay Fixed Swap</w:t>
            </w:r>
          </w:p>
        </w:tc>
        <w:tc>
          <w:tcPr>
            <w:tcW w:w="60" w:type="dxa"/>
            <w:vAlign w:val="bottom"/>
          </w:tcPr>
          <w:p>
            <w:pPr>
              <w:spacing w:after="0"/>
              <w:rPr>
                <w:sz w:val="12"/>
                <w:szCs w:val="12"/>
                <w:color w:val="auto"/>
              </w:rPr>
            </w:pPr>
          </w:p>
        </w:tc>
        <w:tc>
          <w:tcPr>
            <w:tcW w:w="760" w:type="dxa"/>
            <w:vAlign w:val="bottom"/>
          </w:tcPr>
          <w:p>
            <w:pPr>
              <w:jc w:val="center"/>
              <w:spacing w:after="0" w:line="147" w:lineRule="exact"/>
              <w:rPr>
                <w:sz w:val="20"/>
                <w:szCs w:val="20"/>
                <w:color w:val="auto"/>
              </w:rPr>
            </w:pPr>
            <w:r>
              <w:rPr>
                <w:rFonts w:ascii="Arial" w:cs="Arial" w:eastAsia="Arial" w:hAnsi="Arial"/>
                <w:sz w:val="14"/>
                <w:szCs w:val="14"/>
                <w:color w:val="auto"/>
                <w:w w:val="93"/>
              </w:rPr>
              <w:t>Fair Value</w:t>
            </w:r>
          </w:p>
        </w:tc>
        <w:tc>
          <w:tcPr>
            <w:tcW w:w="80" w:type="dxa"/>
            <w:vAlign w:val="bottom"/>
          </w:tcPr>
          <w:p>
            <w:pPr>
              <w:spacing w:after="0"/>
              <w:rPr>
                <w:sz w:val="12"/>
                <w:szCs w:val="12"/>
                <w:color w:val="auto"/>
              </w:rPr>
            </w:pPr>
          </w:p>
        </w:tc>
        <w:tc>
          <w:tcPr>
            <w:tcW w:w="1660" w:type="dxa"/>
            <w:vAlign w:val="bottom"/>
          </w:tcPr>
          <w:p>
            <w:pPr>
              <w:jc w:val="center"/>
              <w:spacing w:after="0" w:line="147" w:lineRule="exact"/>
              <w:rPr>
                <w:sz w:val="20"/>
                <w:szCs w:val="20"/>
                <w:color w:val="auto"/>
              </w:rPr>
            </w:pPr>
            <w:r>
              <w:rPr>
                <w:rFonts w:ascii="Arial" w:cs="Arial" w:eastAsia="Arial" w:hAnsi="Arial"/>
                <w:sz w:val="14"/>
                <w:szCs w:val="14"/>
                <w:color w:val="auto"/>
                <w:w w:val="91"/>
              </w:rPr>
              <w:t>Corporate Bond</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ind w:right="9"/>
              <w:spacing w:after="0" w:line="147" w:lineRule="exact"/>
              <w:rPr>
                <w:sz w:val="20"/>
                <w:szCs w:val="20"/>
                <w:color w:val="auto"/>
              </w:rPr>
            </w:pPr>
            <w:r>
              <w:rPr>
                <w:rFonts w:ascii="Arial" w:cs="Arial" w:eastAsia="Arial" w:hAnsi="Arial"/>
                <w:sz w:val="14"/>
                <w:szCs w:val="14"/>
                <w:color w:val="auto"/>
              </w:rPr>
              <w:t>10,000</w:t>
            </w:r>
          </w:p>
        </w:tc>
        <w:tc>
          <w:tcPr>
            <w:tcW w:w="620" w:type="dxa"/>
            <w:vAlign w:val="bottom"/>
            <w:gridSpan w:val="2"/>
          </w:tcPr>
          <w:p>
            <w:pPr>
              <w:jc w:val="center"/>
              <w:ind w:left="9"/>
              <w:spacing w:after="0" w:line="147" w:lineRule="exact"/>
              <w:rPr>
                <w:sz w:val="20"/>
                <w:szCs w:val="20"/>
                <w:color w:val="auto"/>
              </w:rPr>
            </w:pPr>
            <w:r>
              <w:rPr>
                <w:rFonts w:ascii="Arial" w:cs="Arial" w:eastAsia="Arial" w:hAnsi="Arial"/>
                <w:sz w:val="14"/>
                <w:szCs w:val="14"/>
                <w:color w:val="auto"/>
                <w:w w:val="91"/>
              </w:rPr>
              <w:t>05/30/13</w:t>
            </w:r>
          </w:p>
        </w:tc>
        <w:tc>
          <w:tcPr>
            <w:tcW w:w="660" w:type="dxa"/>
            <w:vAlign w:val="bottom"/>
            <w:gridSpan w:val="2"/>
          </w:tcPr>
          <w:p>
            <w:pPr>
              <w:ind w:left="120"/>
              <w:spacing w:after="0" w:line="147" w:lineRule="exact"/>
              <w:rPr>
                <w:sz w:val="20"/>
                <w:szCs w:val="20"/>
                <w:color w:val="auto"/>
              </w:rPr>
            </w:pPr>
            <w:r>
              <w:rPr>
                <w:rFonts w:ascii="Arial" w:cs="Arial" w:eastAsia="Arial" w:hAnsi="Arial"/>
                <w:sz w:val="14"/>
                <w:szCs w:val="14"/>
                <w:color w:val="auto"/>
                <w:w w:val="95"/>
              </w:rPr>
              <w:t>06/04/13</w:t>
            </w:r>
          </w:p>
        </w:tc>
        <w:tc>
          <w:tcPr>
            <w:tcW w:w="680" w:type="dxa"/>
            <w:vAlign w:val="bottom"/>
            <w:gridSpan w:val="2"/>
          </w:tcPr>
          <w:p>
            <w:pPr>
              <w:ind w:left="120"/>
              <w:spacing w:after="0" w:line="147" w:lineRule="exact"/>
              <w:rPr>
                <w:sz w:val="20"/>
                <w:szCs w:val="20"/>
                <w:color w:val="auto"/>
              </w:rPr>
            </w:pPr>
            <w:r>
              <w:rPr>
                <w:rFonts w:ascii="Arial" w:cs="Arial" w:eastAsia="Arial" w:hAnsi="Arial"/>
                <w:sz w:val="14"/>
                <w:szCs w:val="14"/>
                <w:color w:val="auto"/>
                <w:w w:val="99"/>
              </w:rPr>
              <w:t>01/14/22</w:t>
            </w:r>
          </w:p>
        </w:tc>
        <w:tc>
          <w:tcPr>
            <w:tcW w:w="1560" w:type="dxa"/>
            <w:vAlign w:val="bottom"/>
            <w:gridSpan w:val="2"/>
          </w:tcPr>
          <w:p>
            <w:pPr>
              <w:jc w:val="right"/>
              <w:ind w:right="389"/>
              <w:spacing w:after="0" w:line="147" w:lineRule="exact"/>
              <w:rPr>
                <w:sz w:val="20"/>
                <w:szCs w:val="20"/>
                <w:color w:val="auto"/>
              </w:rPr>
            </w:pPr>
            <w:r>
              <w:rPr>
                <w:rFonts w:ascii="Arial" w:cs="Arial" w:eastAsia="Arial" w:hAnsi="Arial"/>
                <w:sz w:val="14"/>
                <w:szCs w:val="14"/>
                <w:color w:val="auto"/>
              </w:rPr>
              <w:t>4.50000%</w:t>
            </w:r>
          </w:p>
        </w:tc>
        <w:tc>
          <w:tcPr>
            <w:tcW w:w="80" w:type="dxa"/>
            <w:vAlign w:val="bottom"/>
          </w:tcPr>
          <w:p>
            <w:pPr>
              <w:spacing w:after="0"/>
              <w:rPr>
                <w:sz w:val="12"/>
                <w:szCs w:val="12"/>
                <w:color w:val="auto"/>
              </w:rPr>
            </w:pPr>
          </w:p>
        </w:tc>
        <w:tc>
          <w:tcPr>
            <w:tcW w:w="1160" w:type="dxa"/>
            <w:vAlign w:val="bottom"/>
          </w:tcPr>
          <w:p>
            <w:pPr>
              <w:jc w:val="center"/>
              <w:spacing w:after="0" w:line="147" w:lineRule="exact"/>
              <w:rPr>
                <w:sz w:val="20"/>
                <w:szCs w:val="20"/>
                <w:color w:val="auto"/>
              </w:rPr>
            </w:pPr>
            <w:r>
              <w:rPr>
                <w:rFonts w:ascii="Arial" w:cs="Arial" w:eastAsia="Arial" w:hAnsi="Arial"/>
                <w:sz w:val="14"/>
                <w:szCs w:val="14"/>
                <w:color w:val="auto"/>
                <w:w w:val="98"/>
              </w:rPr>
              <w:t>3 mo. LIBOR</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gridSpan w:val="2"/>
          </w:tcPr>
          <w:p>
            <w:pPr>
              <w:jc w:val="right"/>
              <w:ind w:right="100"/>
              <w:spacing w:after="0" w:line="147"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ind w:right="29"/>
              <w:spacing w:after="0" w:line="147" w:lineRule="exact"/>
              <w:rPr>
                <w:sz w:val="20"/>
                <w:szCs w:val="20"/>
                <w:color w:val="auto"/>
              </w:rPr>
            </w:pPr>
            <w:r>
              <w:rPr>
                <w:rFonts w:ascii="Arial" w:cs="Arial" w:eastAsia="Arial" w:hAnsi="Arial"/>
                <w:sz w:val="14"/>
                <w:szCs w:val="14"/>
                <w:color w:val="auto"/>
              </w:rPr>
              <w:t>598</w:t>
            </w:r>
          </w:p>
        </w:tc>
        <w:tc>
          <w:tcPr>
            <w:tcW w:w="0" w:type="dxa"/>
            <w:vAlign w:val="bottom"/>
          </w:tcPr>
          <w:p>
            <w:pPr>
              <w:spacing w:after="0"/>
              <w:rPr>
                <w:sz w:val="1"/>
                <w:szCs w:val="1"/>
                <w:color w:val="auto"/>
              </w:rPr>
            </w:pPr>
          </w:p>
        </w:tc>
      </w:tr>
      <w:tr>
        <w:trPr>
          <w:trHeight w:val="147"/>
        </w:trPr>
        <w:tc>
          <w:tcPr>
            <w:tcW w:w="1900" w:type="dxa"/>
            <w:vAlign w:val="bottom"/>
          </w:tcPr>
          <w:p>
            <w:pPr>
              <w:spacing w:after="0" w:line="147" w:lineRule="exact"/>
              <w:rPr>
                <w:sz w:val="20"/>
                <w:szCs w:val="20"/>
                <w:color w:val="auto"/>
              </w:rPr>
            </w:pPr>
            <w:r>
              <w:rPr>
                <w:rFonts w:ascii="Arial" w:cs="Arial" w:eastAsia="Arial" w:hAnsi="Arial"/>
                <w:sz w:val="14"/>
                <w:szCs w:val="14"/>
                <w:color w:val="auto"/>
              </w:rPr>
              <w:t>Pay Fixed Swap</w:t>
            </w:r>
          </w:p>
        </w:tc>
        <w:tc>
          <w:tcPr>
            <w:tcW w:w="60" w:type="dxa"/>
            <w:vAlign w:val="bottom"/>
          </w:tcPr>
          <w:p>
            <w:pPr>
              <w:spacing w:after="0"/>
              <w:rPr>
                <w:sz w:val="12"/>
                <w:szCs w:val="12"/>
                <w:color w:val="auto"/>
              </w:rPr>
            </w:pPr>
          </w:p>
        </w:tc>
        <w:tc>
          <w:tcPr>
            <w:tcW w:w="760" w:type="dxa"/>
            <w:vAlign w:val="bottom"/>
          </w:tcPr>
          <w:p>
            <w:pPr>
              <w:jc w:val="center"/>
              <w:spacing w:after="0" w:line="147" w:lineRule="exact"/>
              <w:rPr>
                <w:sz w:val="20"/>
                <w:szCs w:val="20"/>
                <w:color w:val="auto"/>
              </w:rPr>
            </w:pPr>
            <w:r>
              <w:rPr>
                <w:rFonts w:ascii="Arial" w:cs="Arial" w:eastAsia="Arial" w:hAnsi="Arial"/>
                <w:sz w:val="14"/>
                <w:szCs w:val="14"/>
                <w:color w:val="auto"/>
                <w:w w:val="93"/>
              </w:rPr>
              <w:t>Fair Value</w:t>
            </w:r>
          </w:p>
        </w:tc>
        <w:tc>
          <w:tcPr>
            <w:tcW w:w="80" w:type="dxa"/>
            <w:vAlign w:val="bottom"/>
          </w:tcPr>
          <w:p>
            <w:pPr>
              <w:spacing w:after="0"/>
              <w:rPr>
                <w:sz w:val="12"/>
                <w:szCs w:val="12"/>
                <w:color w:val="auto"/>
              </w:rPr>
            </w:pPr>
          </w:p>
        </w:tc>
        <w:tc>
          <w:tcPr>
            <w:tcW w:w="1660" w:type="dxa"/>
            <w:vAlign w:val="bottom"/>
          </w:tcPr>
          <w:p>
            <w:pPr>
              <w:jc w:val="center"/>
              <w:spacing w:after="0" w:line="147" w:lineRule="exact"/>
              <w:rPr>
                <w:sz w:val="20"/>
                <w:szCs w:val="20"/>
                <w:color w:val="auto"/>
              </w:rPr>
            </w:pPr>
            <w:r>
              <w:rPr>
                <w:rFonts w:ascii="Arial" w:cs="Arial" w:eastAsia="Arial" w:hAnsi="Arial"/>
                <w:sz w:val="14"/>
                <w:szCs w:val="14"/>
                <w:color w:val="auto"/>
                <w:w w:val="91"/>
              </w:rPr>
              <w:t>Corporate Bond</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ind w:right="9"/>
              <w:spacing w:after="0" w:line="147" w:lineRule="exact"/>
              <w:rPr>
                <w:sz w:val="20"/>
                <w:szCs w:val="20"/>
                <w:color w:val="auto"/>
              </w:rPr>
            </w:pPr>
            <w:r>
              <w:rPr>
                <w:rFonts w:ascii="Arial" w:cs="Arial" w:eastAsia="Arial" w:hAnsi="Arial"/>
                <w:sz w:val="14"/>
                <w:szCs w:val="14"/>
                <w:color w:val="auto"/>
              </w:rPr>
              <w:t>15,000</w:t>
            </w:r>
          </w:p>
        </w:tc>
        <w:tc>
          <w:tcPr>
            <w:tcW w:w="620" w:type="dxa"/>
            <w:vAlign w:val="bottom"/>
            <w:gridSpan w:val="2"/>
          </w:tcPr>
          <w:p>
            <w:pPr>
              <w:jc w:val="center"/>
              <w:ind w:left="9"/>
              <w:spacing w:after="0" w:line="147" w:lineRule="exact"/>
              <w:rPr>
                <w:sz w:val="20"/>
                <w:szCs w:val="20"/>
                <w:color w:val="auto"/>
              </w:rPr>
            </w:pPr>
            <w:r>
              <w:rPr>
                <w:rFonts w:ascii="Arial" w:cs="Arial" w:eastAsia="Arial" w:hAnsi="Arial"/>
                <w:sz w:val="14"/>
                <w:szCs w:val="14"/>
                <w:color w:val="auto"/>
                <w:w w:val="91"/>
              </w:rPr>
              <w:t>06/18/13</w:t>
            </w:r>
          </w:p>
        </w:tc>
        <w:tc>
          <w:tcPr>
            <w:tcW w:w="660" w:type="dxa"/>
            <w:vAlign w:val="bottom"/>
            <w:gridSpan w:val="2"/>
          </w:tcPr>
          <w:p>
            <w:pPr>
              <w:ind w:left="120"/>
              <w:spacing w:after="0" w:line="147" w:lineRule="exact"/>
              <w:rPr>
                <w:sz w:val="20"/>
                <w:szCs w:val="20"/>
                <w:color w:val="auto"/>
              </w:rPr>
            </w:pPr>
            <w:r>
              <w:rPr>
                <w:rFonts w:ascii="Arial" w:cs="Arial" w:eastAsia="Arial" w:hAnsi="Arial"/>
                <w:sz w:val="14"/>
                <w:szCs w:val="14"/>
                <w:color w:val="auto"/>
                <w:w w:val="95"/>
              </w:rPr>
              <w:t>06/21/13</w:t>
            </w:r>
          </w:p>
        </w:tc>
        <w:tc>
          <w:tcPr>
            <w:tcW w:w="680" w:type="dxa"/>
            <w:vAlign w:val="bottom"/>
            <w:gridSpan w:val="2"/>
          </w:tcPr>
          <w:p>
            <w:pPr>
              <w:ind w:left="120"/>
              <w:spacing w:after="0" w:line="147" w:lineRule="exact"/>
              <w:rPr>
                <w:sz w:val="20"/>
                <w:szCs w:val="20"/>
                <w:color w:val="auto"/>
              </w:rPr>
            </w:pPr>
            <w:r>
              <w:rPr>
                <w:rFonts w:ascii="Arial" w:cs="Arial" w:eastAsia="Arial" w:hAnsi="Arial"/>
                <w:sz w:val="14"/>
                <w:szCs w:val="14"/>
                <w:color w:val="auto"/>
                <w:w w:val="99"/>
              </w:rPr>
              <w:t>06/15/23</w:t>
            </w:r>
          </w:p>
        </w:tc>
        <w:tc>
          <w:tcPr>
            <w:tcW w:w="1560" w:type="dxa"/>
            <w:vAlign w:val="bottom"/>
            <w:gridSpan w:val="2"/>
          </w:tcPr>
          <w:p>
            <w:pPr>
              <w:jc w:val="right"/>
              <w:ind w:right="389"/>
              <w:spacing w:after="0" w:line="147" w:lineRule="exact"/>
              <w:rPr>
                <w:sz w:val="20"/>
                <w:szCs w:val="20"/>
                <w:color w:val="auto"/>
              </w:rPr>
            </w:pPr>
            <w:r>
              <w:rPr>
                <w:rFonts w:ascii="Arial" w:cs="Arial" w:eastAsia="Arial" w:hAnsi="Arial"/>
                <w:sz w:val="14"/>
                <w:szCs w:val="14"/>
                <w:color w:val="auto"/>
              </w:rPr>
              <w:t>3.62500%</w:t>
            </w:r>
          </w:p>
        </w:tc>
        <w:tc>
          <w:tcPr>
            <w:tcW w:w="80" w:type="dxa"/>
            <w:vAlign w:val="bottom"/>
          </w:tcPr>
          <w:p>
            <w:pPr>
              <w:spacing w:after="0"/>
              <w:rPr>
                <w:sz w:val="12"/>
                <w:szCs w:val="12"/>
                <w:color w:val="auto"/>
              </w:rPr>
            </w:pPr>
          </w:p>
        </w:tc>
        <w:tc>
          <w:tcPr>
            <w:tcW w:w="1160" w:type="dxa"/>
            <w:vAlign w:val="bottom"/>
          </w:tcPr>
          <w:p>
            <w:pPr>
              <w:jc w:val="center"/>
              <w:spacing w:after="0" w:line="147" w:lineRule="exact"/>
              <w:rPr>
                <w:sz w:val="20"/>
                <w:szCs w:val="20"/>
                <w:color w:val="auto"/>
              </w:rPr>
            </w:pPr>
            <w:r>
              <w:rPr>
                <w:rFonts w:ascii="Arial" w:cs="Arial" w:eastAsia="Arial" w:hAnsi="Arial"/>
                <w:sz w:val="14"/>
                <w:szCs w:val="14"/>
                <w:color w:val="auto"/>
                <w:w w:val="98"/>
              </w:rPr>
              <w:t>3 mo. LIBOR</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gridSpan w:val="2"/>
          </w:tcPr>
          <w:p>
            <w:pPr>
              <w:jc w:val="right"/>
              <w:ind w:right="100"/>
              <w:spacing w:after="0" w:line="147" w:lineRule="exact"/>
              <w:rPr>
                <w:sz w:val="20"/>
                <w:szCs w:val="20"/>
                <w:color w:val="auto"/>
              </w:rPr>
            </w:pPr>
            <w:r>
              <w:rPr>
                <w:rFonts w:ascii="Arial" w:cs="Arial" w:eastAsia="Arial" w:hAnsi="Arial"/>
                <w:sz w:val="14"/>
                <w:szCs w:val="14"/>
                <w:color w:val="auto"/>
              </w:rPr>
              <w:t>440</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ind w:right="29"/>
              <w:spacing w:after="0" w:line="147"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7"/>
        </w:trPr>
        <w:tc>
          <w:tcPr>
            <w:tcW w:w="1900" w:type="dxa"/>
            <w:vAlign w:val="bottom"/>
          </w:tcPr>
          <w:p>
            <w:pPr>
              <w:spacing w:after="0" w:line="147" w:lineRule="exact"/>
              <w:rPr>
                <w:sz w:val="20"/>
                <w:szCs w:val="20"/>
                <w:color w:val="auto"/>
              </w:rPr>
            </w:pPr>
            <w:r>
              <w:rPr>
                <w:rFonts w:ascii="Arial" w:cs="Arial" w:eastAsia="Arial" w:hAnsi="Arial"/>
                <w:sz w:val="14"/>
                <w:szCs w:val="14"/>
                <w:color w:val="auto"/>
              </w:rPr>
              <w:t>Pay Fixed Swap</w:t>
            </w:r>
          </w:p>
        </w:tc>
        <w:tc>
          <w:tcPr>
            <w:tcW w:w="60" w:type="dxa"/>
            <w:vAlign w:val="bottom"/>
          </w:tcPr>
          <w:p>
            <w:pPr>
              <w:spacing w:after="0"/>
              <w:rPr>
                <w:sz w:val="12"/>
                <w:szCs w:val="12"/>
                <w:color w:val="auto"/>
              </w:rPr>
            </w:pPr>
          </w:p>
        </w:tc>
        <w:tc>
          <w:tcPr>
            <w:tcW w:w="760" w:type="dxa"/>
            <w:vAlign w:val="bottom"/>
          </w:tcPr>
          <w:p>
            <w:pPr>
              <w:jc w:val="center"/>
              <w:spacing w:after="0" w:line="147" w:lineRule="exact"/>
              <w:rPr>
                <w:sz w:val="20"/>
                <w:szCs w:val="20"/>
                <w:color w:val="auto"/>
              </w:rPr>
            </w:pPr>
            <w:r>
              <w:rPr>
                <w:rFonts w:ascii="Arial" w:cs="Arial" w:eastAsia="Arial" w:hAnsi="Arial"/>
                <w:sz w:val="14"/>
                <w:szCs w:val="14"/>
                <w:color w:val="auto"/>
                <w:w w:val="93"/>
              </w:rPr>
              <w:t>Cash Flow</w:t>
            </w:r>
          </w:p>
        </w:tc>
        <w:tc>
          <w:tcPr>
            <w:tcW w:w="80" w:type="dxa"/>
            <w:vAlign w:val="bottom"/>
          </w:tcPr>
          <w:p>
            <w:pPr>
              <w:spacing w:after="0"/>
              <w:rPr>
                <w:sz w:val="12"/>
                <w:szCs w:val="12"/>
                <w:color w:val="auto"/>
              </w:rPr>
            </w:pPr>
          </w:p>
        </w:tc>
        <w:tc>
          <w:tcPr>
            <w:tcW w:w="1660" w:type="dxa"/>
            <w:vAlign w:val="bottom"/>
          </w:tcPr>
          <w:p>
            <w:pPr>
              <w:jc w:val="center"/>
              <w:spacing w:after="0" w:line="147" w:lineRule="exact"/>
              <w:rPr>
                <w:sz w:val="20"/>
                <w:szCs w:val="20"/>
                <w:color w:val="auto"/>
              </w:rPr>
            </w:pPr>
            <w:r>
              <w:rPr>
                <w:rFonts w:ascii="Arial" w:cs="Arial" w:eastAsia="Arial" w:hAnsi="Arial"/>
                <w:sz w:val="14"/>
                <w:szCs w:val="14"/>
                <w:color w:val="auto"/>
                <w:w w:val="92"/>
              </w:rPr>
              <w:t>Short-Term, Fixed Rate Debt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ind w:right="9"/>
              <w:spacing w:after="0" w:line="147" w:lineRule="exact"/>
              <w:rPr>
                <w:sz w:val="20"/>
                <w:szCs w:val="20"/>
                <w:color w:val="auto"/>
              </w:rPr>
            </w:pPr>
            <w:r>
              <w:rPr>
                <w:rFonts w:ascii="Arial" w:cs="Arial" w:eastAsia="Arial" w:hAnsi="Arial"/>
                <w:sz w:val="14"/>
                <w:szCs w:val="14"/>
                <w:color w:val="auto"/>
              </w:rPr>
              <w:t>50,000</w:t>
            </w:r>
          </w:p>
        </w:tc>
        <w:tc>
          <w:tcPr>
            <w:tcW w:w="620" w:type="dxa"/>
            <w:vAlign w:val="bottom"/>
            <w:gridSpan w:val="2"/>
          </w:tcPr>
          <w:p>
            <w:pPr>
              <w:jc w:val="center"/>
              <w:ind w:left="9"/>
              <w:spacing w:after="0" w:line="147" w:lineRule="exact"/>
              <w:rPr>
                <w:sz w:val="20"/>
                <w:szCs w:val="20"/>
                <w:color w:val="auto"/>
              </w:rPr>
            </w:pPr>
            <w:r>
              <w:rPr>
                <w:rFonts w:ascii="Arial" w:cs="Arial" w:eastAsia="Arial" w:hAnsi="Arial"/>
                <w:sz w:val="14"/>
                <w:szCs w:val="14"/>
                <w:color w:val="auto"/>
                <w:w w:val="91"/>
              </w:rPr>
              <w:t>04/02/12</w:t>
            </w:r>
          </w:p>
        </w:tc>
        <w:tc>
          <w:tcPr>
            <w:tcW w:w="660" w:type="dxa"/>
            <w:vAlign w:val="bottom"/>
            <w:gridSpan w:val="2"/>
          </w:tcPr>
          <w:p>
            <w:pPr>
              <w:ind w:left="120"/>
              <w:spacing w:after="0" w:line="147" w:lineRule="exact"/>
              <w:rPr>
                <w:sz w:val="20"/>
                <w:szCs w:val="20"/>
                <w:color w:val="auto"/>
              </w:rPr>
            </w:pPr>
            <w:r>
              <w:rPr>
                <w:rFonts w:ascii="Arial" w:cs="Arial" w:eastAsia="Arial" w:hAnsi="Arial"/>
                <w:sz w:val="14"/>
                <w:szCs w:val="14"/>
                <w:color w:val="auto"/>
                <w:w w:val="95"/>
              </w:rPr>
              <w:t>04/07/14</w:t>
            </w:r>
          </w:p>
        </w:tc>
        <w:tc>
          <w:tcPr>
            <w:tcW w:w="680" w:type="dxa"/>
            <w:vAlign w:val="bottom"/>
            <w:gridSpan w:val="2"/>
          </w:tcPr>
          <w:p>
            <w:pPr>
              <w:ind w:left="120"/>
              <w:spacing w:after="0" w:line="147" w:lineRule="exact"/>
              <w:rPr>
                <w:sz w:val="20"/>
                <w:szCs w:val="20"/>
                <w:color w:val="auto"/>
              </w:rPr>
            </w:pPr>
            <w:r>
              <w:rPr>
                <w:rFonts w:ascii="Arial" w:cs="Arial" w:eastAsia="Arial" w:hAnsi="Arial"/>
                <w:sz w:val="14"/>
                <w:szCs w:val="14"/>
                <w:color w:val="auto"/>
                <w:w w:val="99"/>
              </w:rPr>
              <w:t>04/07/17</w:t>
            </w:r>
          </w:p>
        </w:tc>
        <w:tc>
          <w:tcPr>
            <w:tcW w:w="1560" w:type="dxa"/>
            <w:vAlign w:val="bottom"/>
            <w:gridSpan w:val="2"/>
          </w:tcPr>
          <w:p>
            <w:pPr>
              <w:jc w:val="right"/>
              <w:ind w:right="389"/>
              <w:spacing w:after="0" w:line="147" w:lineRule="exact"/>
              <w:rPr>
                <w:sz w:val="20"/>
                <w:szCs w:val="20"/>
                <w:color w:val="auto"/>
              </w:rPr>
            </w:pPr>
            <w:r>
              <w:rPr>
                <w:rFonts w:ascii="Arial" w:cs="Arial" w:eastAsia="Arial" w:hAnsi="Arial"/>
                <w:sz w:val="14"/>
                <w:szCs w:val="14"/>
                <w:color w:val="auto"/>
              </w:rPr>
              <w:t>1.69500%</w:t>
            </w:r>
          </w:p>
        </w:tc>
        <w:tc>
          <w:tcPr>
            <w:tcW w:w="80" w:type="dxa"/>
            <w:vAlign w:val="bottom"/>
          </w:tcPr>
          <w:p>
            <w:pPr>
              <w:spacing w:after="0"/>
              <w:rPr>
                <w:sz w:val="12"/>
                <w:szCs w:val="12"/>
                <w:color w:val="auto"/>
              </w:rPr>
            </w:pPr>
          </w:p>
        </w:tc>
        <w:tc>
          <w:tcPr>
            <w:tcW w:w="1160" w:type="dxa"/>
            <w:vAlign w:val="bottom"/>
          </w:tcPr>
          <w:p>
            <w:pPr>
              <w:jc w:val="center"/>
              <w:spacing w:after="0" w:line="147" w:lineRule="exact"/>
              <w:rPr>
                <w:sz w:val="20"/>
                <w:szCs w:val="20"/>
                <w:color w:val="auto"/>
              </w:rPr>
            </w:pPr>
            <w:r>
              <w:rPr>
                <w:rFonts w:ascii="Arial" w:cs="Arial" w:eastAsia="Arial" w:hAnsi="Arial"/>
                <w:sz w:val="14"/>
                <w:szCs w:val="14"/>
                <w:color w:val="auto"/>
                <w:w w:val="98"/>
              </w:rPr>
              <w:t>3 mo. LIBOR</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gridSpan w:val="2"/>
          </w:tcPr>
          <w:p>
            <w:pPr>
              <w:jc w:val="right"/>
              <w:ind w:right="100"/>
              <w:spacing w:after="0" w:line="147"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ind w:right="29"/>
              <w:spacing w:after="0" w:line="147" w:lineRule="exact"/>
              <w:rPr>
                <w:sz w:val="20"/>
                <w:szCs w:val="20"/>
                <w:color w:val="auto"/>
              </w:rPr>
            </w:pPr>
            <w:r>
              <w:rPr>
                <w:rFonts w:ascii="Arial" w:cs="Arial" w:eastAsia="Arial" w:hAnsi="Arial"/>
                <w:sz w:val="14"/>
                <w:szCs w:val="14"/>
                <w:color w:val="auto"/>
              </w:rPr>
              <w:t>620</w:t>
            </w:r>
          </w:p>
        </w:tc>
        <w:tc>
          <w:tcPr>
            <w:tcW w:w="0" w:type="dxa"/>
            <w:vAlign w:val="bottom"/>
          </w:tcPr>
          <w:p>
            <w:pPr>
              <w:spacing w:after="0"/>
              <w:rPr>
                <w:sz w:val="1"/>
                <w:szCs w:val="1"/>
                <w:color w:val="auto"/>
              </w:rPr>
            </w:pPr>
          </w:p>
        </w:tc>
      </w:tr>
      <w:tr>
        <w:trPr>
          <w:trHeight w:val="147"/>
        </w:trPr>
        <w:tc>
          <w:tcPr>
            <w:tcW w:w="1900" w:type="dxa"/>
            <w:vAlign w:val="bottom"/>
          </w:tcPr>
          <w:p>
            <w:pPr>
              <w:spacing w:after="0" w:line="147" w:lineRule="exact"/>
              <w:rPr>
                <w:sz w:val="20"/>
                <w:szCs w:val="20"/>
                <w:color w:val="auto"/>
              </w:rPr>
            </w:pPr>
            <w:r>
              <w:rPr>
                <w:rFonts w:ascii="Arial" w:cs="Arial" w:eastAsia="Arial" w:hAnsi="Arial"/>
                <w:sz w:val="14"/>
                <w:szCs w:val="14"/>
                <w:color w:val="auto"/>
              </w:rPr>
              <w:t>Pay Fixed Swap</w:t>
            </w:r>
          </w:p>
        </w:tc>
        <w:tc>
          <w:tcPr>
            <w:tcW w:w="60" w:type="dxa"/>
            <w:vAlign w:val="bottom"/>
          </w:tcPr>
          <w:p>
            <w:pPr>
              <w:spacing w:after="0"/>
              <w:rPr>
                <w:sz w:val="12"/>
                <w:szCs w:val="12"/>
                <w:color w:val="auto"/>
              </w:rPr>
            </w:pPr>
          </w:p>
        </w:tc>
        <w:tc>
          <w:tcPr>
            <w:tcW w:w="760" w:type="dxa"/>
            <w:vAlign w:val="bottom"/>
          </w:tcPr>
          <w:p>
            <w:pPr>
              <w:jc w:val="center"/>
              <w:spacing w:after="0" w:line="147" w:lineRule="exact"/>
              <w:rPr>
                <w:sz w:val="20"/>
                <w:szCs w:val="20"/>
                <w:color w:val="auto"/>
              </w:rPr>
            </w:pPr>
            <w:r>
              <w:rPr>
                <w:rFonts w:ascii="Arial" w:cs="Arial" w:eastAsia="Arial" w:hAnsi="Arial"/>
                <w:sz w:val="14"/>
                <w:szCs w:val="14"/>
                <w:color w:val="auto"/>
                <w:w w:val="93"/>
              </w:rPr>
              <w:t>Cash Flow</w:t>
            </w:r>
          </w:p>
        </w:tc>
        <w:tc>
          <w:tcPr>
            <w:tcW w:w="80" w:type="dxa"/>
            <w:vAlign w:val="bottom"/>
          </w:tcPr>
          <w:p>
            <w:pPr>
              <w:spacing w:after="0"/>
              <w:rPr>
                <w:sz w:val="12"/>
                <w:szCs w:val="12"/>
                <w:color w:val="auto"/>
              </w:rPr>
            </w:pPr>
          </w:p>
        </w:tc>
        <w:tc>
          <w:tcPr>
            <w:tcW w:w="1660" w:type="dxa"/>
            <w:vAlign w:val="bottom"/>
          </w:tcPr>
          <w:p>
            <w:pPr>
              <w:jc w:val="center"/>
              <w:spacing w:after="0" w:line="147" w:lineRule="exact"/>
              <w:rPr>
                <w:sz w:val="20"/>
                <w:szCs w:val="20"/>
                <w:color w:val="auto"/>
              </w:rPr>
            </w:pPr>
            <w:r>
              <w:rPr>
                <w:rFonts w:ascii="Arial" w:cs="Arial" w:eastAsia="Arial" w:hAnsi="Arial"/>
                <w:sz w:val="14"/>
                <w:szCs w:val="14"/>
                <w:color w:val="auto"/>
                <w:w w:val="92"/>
              </w:rPr>
              <w:t>Short-Term, Fixed Rate Debt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ind w:right="9"/>
              <w:spacing w:after="0" w:line="147" w:lineRule="exact"/>
              <w:rPr>
                <w:sz w:val="20"/>
                <w:szCs w:val="20"/>
                <w:color w:val="auto"/>
              </w:rPr>
            </w:pPr>
            <w:r>
              <w:rPr>
                <w:rFonts w:ascii="Arial" w:cs="Arial" w:eastAsia="Arial" w:hAnsi="Arial"/>
                <w:sz w:val="14"/>
                <w:szCs w:val="14"/>
                <w:color w:val="auto"/>
              </w:rPr>
              <w:t>50,000</w:t>
            </w:r>
          </w:p>
        </w:tc>
        <w:tc>
          <w:tcPr>
            <w:tcW w:w="620" w:type="dxa"/>
            <w:vAlign w:val="bottom"/>
            <w:gridSpan w:val="2"/>
          </w:tcPr>
          <w:p>
            <w:pPr>
              <w:jc w:val="center"/>
              <w:ind w:left="9"/>
              <w:spacing w:after="0" w:line="147" w:lineRule="exact"/>
              <w:rPr>
                <w:sz w:val="20"/>
                <w:szCs w:val="20"/>
                <w:color w:val="auto"/>
              </w:rPr>
            </w:pPr>
            <w:r>
              <w:rPr>
                <w:rFonts w:ascii="Arial" w:cs="Arial" w:eastAsia="Arial" w:hAnsi="Arial"/>
                <w:sz w:val="14"/>
                <w:szCs w:val="14"/>
                <w:color w:val="auto"/>
                <w:w w:val="91"/>
              </w:rPr>
              <w:t>04/02/12</w:t>
            </w:r>
          </w:p>
        </w:tc>
        <w:tc>
          <w:tcPr>
            <w:tcW w:w="660" w:type="dxa"/>
            <w:vAlign w:val="bottom"/>
            <w:gridSpan w:val="2"/>
          </w:tcPr>
          <w:p>
            <w:pPr>
              <w:ind w:left="120"/>
              <w:spacing w:after="0" w:line="147" w:lineRule="exact"/>
              <w:rPr>
                <w:sz w:val="20"/>
                <w:szCs w:val="20"/>
                <w:color w:val="auto"/>
              </w:rPr>
            </w:pPr>
            <w:r>
              <w:rPr>
                <w:rFonts w:ascii="Arial" w:cs="Arial" w:eastAsia="Arial" w:hAnsi="Arial"/>
                <w:sz w:val="14"/>
                <w:szCs w:val="14"/>
                <w:color w:val="auto"/>
                <w:w w:val="95"/>
              </w:rPr>
              <w:t>04/21/14</w:t>
            </w:r>
          </w:p>
        </w:tc>
        <w:tc>
          <w:tcPr>
            <w:tcW w:w="680" w:type="dxa"/>
            <w:vAlign w:val="bottom"/>
            <w:gridSpan w:val="2"/>
          </w:tcPr>
          <w:p>
            <w:pPr>
              <w:ind w:left="120"/>
              <w:spacing w:after="0" w:line="147" w:lineRule="exact"/>
              <w:rPr>
                <w:sz w:val="20"/>
                <w:szCs w:val="20"/>
                <w:color w:val="auto"/>
              </w:rPr>
            </w:pPr>
            <w:r>
              <w:rPr>
                <w:rFonts w:ascii="Arial" w:cs="Arial" w:eastAsia="Arial" w:hAnsi="Arial"/>
                <w:sz w:val="14"/>
                <w:szCs w:val="14"/>
                <w:color w:val="auto"/>
                <w:w w:val="99"/>
              </w:rPr>
              <w:t>04/21/17</w:t>
            </w:r>
          </w:p>
        </w:tc>
        <w:tc>
          <w:tcPr>
            <w:tcW w:w="1560" w:type="dxa"/>
            <w:vAlign w:val="bottom"/>
            <w:gridSpan w:val="2"/>
          </w:tcPr>
          <w:p>
            <w:pPr>
              <w:jc w:val="right"/>
              <w:ind w:right="389"/>
              <w:spacing w:after="0" w:line="147" w:lineRule="exact"/>
              <w:rPr>
                <w:sz w:val="20"/>
                <w:szCs w:val="20"/>
                <w:color w:val="auto"/>
              </w:rPr>
            </w:pPr>
            <w:r>
              <w:rPr>
                <w:rFonts w:ascii="Arial" w:cs="Arial" w:eastAsia="Arial" w:hAnsi="Arial"/>
                <w:sz w:val="14"/>
                <w:szCs w:val="14"/>
                <w:color w:val="auto"/>
              </w:rPr>
              <w:t>1.72125%</w:t>
            </w:r>
          </w:p>
        </w:tc>
        <w:tc>
          <w:tcPr>
            <w:tcW w:w="80" w:type="dxa"/>
            <w:vAlign w:val="bottom"/>
          </w:tcPr>
          <w:p>
            <w:pPr>
              <w:spacing w:after="0"/>
              <w:rPr>
                <w:sz w:val="12"/>
                <w:szCs w:val="12"/>
                <w:color w:val="auto"/>
              </w:rPr>
            </w:pPr>
          </w:p>
        </w:tc>
        <w:tc>
          <w:tcPr>
            <w:tcW w:w="1160" w:type="dxa"/>
            <w:vAlign w:val="bottom"/>
          </w:tcPr>
          <w:p>
            <w:pPr>
              <w:jc w:val="center"/>
              <w:spacing w:after="0" w:line="147" w:lineRule="exact"/>
              <w:rPr>
                <w:sz w:val="20"/>
                <w:szCs w:val="20"/>
                <w:color w:val="auto"/>
              </w:rPr>
            </w:pPr>
            <w:r>
              <w:rPr>
                <w:rFonts w:ascii="Arial" w:cs="Arial" w:eastAsia="Arial" w:hAnsi="Arial"/>
                <w:sz w:val="14"/>
                <w:szCs w:val="14"/>
                <w:color w:val="auto"/>
                <w:w w:val="98"/>
              </w:rPr>
              <w:t>3 mo. LIBOR</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gridSpan w:val="2"/>
          </w:tcPr>
          <w:p>
            <w:pPr>
              <w:jc w:val="right"/>
              <w:ind w:right="100"/>
              <w:spacing w:after="0" w:line="147"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ind w:right="29"/>
              <w:spacing w:after="0" w:line="147" w:lineRule="exact"/>
              <w:rPr>
                <w:sz w:val="20"/>
                <w:szCs w:val="20"/>
                <w:color w:val="auto"/>
              </w:rPr>
            </w:pPr>
            <w:r>
              <w:rPr>
                <w:rFonts w:ascii="Arial" w:cs="Arial" w:eastAsia="Arial" w:hAnsi="Arial"/>
                <w:sz w:val="14"/>
                <w:szCs w:val="14"/>
                <w:color w:val="auto"/>
              </w:rPr>
              <w:t>617</w:t>
            </w:r>
          </w:p>
        </w:tc>
        <w:tc>
          <w:tcPr>
            <w:tcW w:w="0" w:type="dxa"/>
            <w:vAlign w:val="bottom"/>
          </w:tcPr>
          <w:p>
            <w:pPr>
              <w:spacing w:after="0"/>
              <w:rPr>
                <w:sz w:val="1"/>
                <w:szCs w:val="1"/>
                <w:color w:val="auto"/>
              </w:rPr>
            </w:pPr>
          </w:p>
        </w:tc>
      </w:tr>
      <w:tr>
        <w:trPr>
          <w:trHeight w:val="147"/>
        </w:trPr>
        <w:tc>
          <w:tcPr>
            <w:tcW w:w="1900" w:type="dxa"/>
            <w:vAlign w:val="bottom"/>
          </w:tcPr>
          <w:p>
            <w:pPr>
              <w:spacing w:after="0" w:line="147" w:lineRule="exact"/>
              <w:rPr>
                <w:sz w:val="20"/>
                <w:szCs w:val="20"/>
                <w:color w:val="auto"/>
              </w:rPr>
            </w:pPr>
            <w:r>
              <w:rPr>
                <w:rFonts w:ascii="Arial" w:cs="Arial" w:eastAsia="Arial" w:hAnsi="Arial"/>
                <w:sz w:val="14"/>
                <w:szCs w:val="14"/>
                <w:color w:val="auto"/>
              </w:rPr>
              <w:t>Pay Fixed Swap</w:t>
            </w:r>
          </w:p>
        </w:tc>
        <w:tc>
          <w:tcPr>
            <w:tcW w:w="60" w:type="dxa"/>
            <w:vAlign w:val="bottom"/>
          </w:tcPr>
          <w:p>
            <w:pPr>
              <w:spacing w:after="0"/>
              <w:rPr>
                <w:sz w:val="12"/>
                <w:szCs w:val="12"/>
                <w:color w:val="auto"/>
              </w:rPr>
            </w:pPr>
          </w:p>
        </w:tc>
        <w:tc>
          <w:tcPr>
            <w:tcW w:w="760" w:type="dxa"/>
            <w:vAlign w:val="bottom"/>
          </w:tcPr>
          <w:p>
            <w:pPr>
              <w:jc w:val="center"/>
              <w:spacing w:after="0" w:line="147" w:lineRule="exact"/>
              <w:rPr>
                <w:sz w:val="20"/>
                <w:szCs w:val="20"/>
                <w:color w:val="auto"/>
              </w:rPr>
            </w:pPr>
            <w:r>
              <w:rPr>
                <w:rFonts w:ascii="Arial" w:cs="Arial" w:eastAsia="Arial" w:hAnsi="Arial"/>
                <w:sz w:val="14"/>
                <w:szCs w:val="14"/>
                <w:color w:val="auto"/>
                <w:w w:val="93"/>
              </w:rPr>
              <w:t>Cash Flow</w:t>
            </w:r>
          </w:p>
        </w:tc>
        <w:tc>
          <w:tcPr>
            <w:tcW w:w="80" w:type="dxa"/>
            <w:vAlign w:val="bottom"/>
          </w:tcPr>
          <w:p>
            <w:pPr>
              <w:spacing w:after="0"/>
              <w:rPr>
                <w:sz w:val="12"/>
                <w:szCs w:val="12"/>
                <w:color w:val="auto"/>
              </w:rPr>
            </w:pPr>
          </w:p>
        </w:tc>
        <w:tc>
          <w:tcPr>
            <w:tcW w:w="1660" w:type="dxa"/>
            <w:vAlign w:val="bottom"/>
          </w:tcPr>
          <w:p>
            <w:pPr>
              <w:jc w:val="center"/>
              <w:spacing w:after="0" w:line="147" w:lineRule="exact"/>
              <w:rPr>
                <w:sz w:val="20"/>
                <w:szCs w:val="20"/>
                <w:color w:val="auto"/>
              </w:rPr>
            </w:pPr>
            <w:r>
              <w:rPr>
                <w:rFonts w:ascii="Arial" w:cs="Arial" w:eastAsia="Arial" w:hAnsi="Arial"/>
                <w:sz w:val="14"/>
                <w:szCs w:val="14"/>
                <w:color w:val="auto"/>
                <w:w w:val="92"/>
              </w:rPr>
              <w:t>Short-Term, Fixed Rate Debt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ind w:right="9"/>
              <w:spacing w:after="0" w:line="147" w:lineRule="exact"/>
              <w:rPr>
                <w:sz w:val="20"/>
                <w:szCs w:val="20"/>
                <w:color w:val="auto"/>
              </w:rPr>
            </w:pPr>
            <w:r>
              <w:rPr>
                <w:rFonts w:ascii="Arial" w:cs="Arial" w:eastAsia="Arial" w:hAnsi="Arial"/>
                <w:sz w:val="14"/>
                <w:szCs w:val="14"/>
                <w:color w:val="auto"/>
                <w:w w:val="90"/>
              </w:rPr>
              <w:t>100,000</w:t>
            </w:r>
          </w:p>
        </w:tc>
        <w:tc>
          <w:tcPr>
            <w:tcW w:w="620" w:type="dxa"/>
            <w:vAlign w:val="bottom"/>
            <w:gridSpan w:val="2"/>
          </w:tcPr>
          <w:p>
            <w:pPr>
              <w:jc w:val="center"/>
              <w:ind w:left="9"/>
              <w:spacing w:after="0" w:line="147" w:lineRule="exact"/>
              <w:rPr>
                <w:sz w:val="20"/>
                <w:szCs w:val="20"/>
                <w:color w:val="auto"/>
              </w:rPr>
            </w:pPr>
            <w:r>
              <w:rPr>
                <w:rFonts w:ascii="Arial" w:cs="Arial" w:eastAsia="Arial" w:hAnsi="Arial"/>
                <w:sz w:val="14"/>
                <w:szCs w:val="14"/>
                <w:color w:val="auto"/>
                <w:w w:val="91"/>
              </w:rPr>
              <w:t>04/10/12</w:t>
            </w:r>
          </w:p>
        </w:tc>
        <w:tc>
          <w:tcPr>
            <w:tcW w:w="660" w:type="dxa"/>
            <w:vAlign w:val="bottom"/>
            <w:gridSpan w:val="2"/>
          </w:tcPr>
          <w:p>
            <w:pPr>
              <w:ind w:left="120"/>
              <w:spacing w:after="0" w:line="147" w:lineRule="exact"/>
              <w:rPr>
                <w:sz w:val="20"/>
                <w:szCs w:val="20"/>
                <w:color w:val="auto"/>
              </w:rPr>
            </w:pPr>
            <w:r>
              <w:rPr>
                <w:rFonts w:ascii="Arial" w:cs="Arial" w:eastAsia="Arial" w:hAnsi="Arial"/>
                <w:sz w:val="14"/>
                <w:szCs w:val="14"/>
                <w:color w:val="auto"/>
                <w:w w:val="95"/>
              </w:rPr>
              <w:t>03/03/14</w:t>
            </w:r>
          </w:p>
        </w:tc>
        <w:tc>
          <w:tcPr>
            <w:tcW w:w="680" w:type="dxa"/>
            <w:vAlign w:val="bottom"/>
            <w:gridSpan w:val="2"/>
          </w:tcPr>
          <w:p>
            <w:pPr>
              <w:ind w:left="120"/>
              <w:spacing w:after="0" w:line="147" w:lineRule="exact"/>
              <w:rPr>
                <w:sz w:val="20"/>
                <w:szCs w:val="20"/>
                <w:color w:val="auto"/>
              </w:rPr>
            </w:pPr>
            <w:r>
              <w:rPr>
                <w:rFonts w:ascii="Arial" w:cs="Arial" w:eastAsia="Arial" w:hAnsi="Arial"/>
                <w:sz w:val="14"/>
                <w:szCs w:val="14"/>
                <w:color w:val="auto"/>
                <w:w w:val="99"/>
              </w:rPr>
              <w:t>03/01/17</w:t>
            </w:r>
          </w:p>
        </w:tc>
        <w:tc>
          <w:tcPr>
            <w:tcW w:w="1560" w:type="dxa"/>
            <w:vAlign w:val="bottom"/>
            <w:gridSpan w:val="2"/>
          </w:tcPr>
          <w:p>
            <w:pPr>
              <w:jc w:val="right"/>
              <w:ind w:right="389"/>
              <w:spacing w:after="0" w:line="147" w:lineRule="exact"/>
              <w:rPr>
                <w:sz w:val="20"/>
                <w:szCs w:val="20"/>
                <w:color w:val="auto"/>
              </w:rPr>
            </w:pPr>
            <w:r>
              <w:rPr>
                <w:rFonts w:ascii="Arial" w:cs="Arial" w:eastAsia="Arial" w:hAnsi="Arial"/>
                <w:sz w:val="14"/>
                <w:szCs w:val="14"/>
                <w:color w:val="auto"/>
              </w:rPr>
              <w:t>1.43750%</w:t>
            </w:r>
          </w:p>
        </w:tc>
        <w:tc>
          <w:tcPr>
            <w:tcW w:w="80" w:type="dxa"/>
            <w:vAlign w:val="bottom"/>
          </w:tcPr>
          <w:p>
            <w:pPr>
              <w:spacing w:after="0"/>
              <w:rPr>
                <w:sz w:val="12"/>
                <w:szCs w:val="12"/>
                <w:color w:val="auto"/>
              </w:rPr>
            </w:pPr>
          </w:p>
        </w:tc>
        <w:tc>
          <w:tcPr>
            <w:tcW w:w="1160" w:type="dxa"/>
            <w:vAlign w:val="bottom"/>
          </w:tcPr>
          <w:p>
            <w:pPr>
              <w:jc w:val="center"/>
              <w:spacing w:after="0" w:line="147" w:lineRule="exact"/>
              <w:rPr>
                <w:sz w:val="20"/>
                <w:szCs w:val="20"/>
                <w:color w:val="auto"/>
              </w:rPr>
            </w:pPr>
            <w:r>
              <w:rPr>
                <w:rFonts w:ascii="Arial" w:cs="Arial" w:eastAsia="Arial" w:hAnsi="Arial"/>
                <w:sz w:val="14"/>
                <w:szCs w:val="14"/>
                <w:color w:val="auto"/>
                <w:w w:val="98"/>
              </w:rPr>
              <w:t>3 mo. LIBOR</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gridSpan w:val="2"/>
          </w:tcPr>
          <w:p>
            <w:pPr>
              <w:jc w:val="right"/>
              <w:ind w:right="100"/>
              <w:spacing w:after="0" w:line="147"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ind w:right="29"/>
              <w:spacing w:after="0" w:line="147" w:lineRule="exact"/>
              <w:rPr>
                <w:sz w:val="20"/>
                <w:szCs w:val="20"/>
                <w:color w:val="auto"/>
              </w:rPr>
            </w:pPr>
            <w:r>
              <w:rPr>
                <w:rFonts w:ascii="Arial" w:cs="Arial" w:eastAsia="Arial" w:hAnsi="Arial"/>
                <w:sz w:val="14"/>
                <w:szCs w:val="14"/>
                <w:color w:val="auto"/>
              </w:rPr>
              <w:t>668</w:t>
            </w:r>
          </w:p>
        </w:tc>
        <w:tc>
          <w:tcPr>
            <w:tcW w:w="0" w:type="dxa"/>
            <w:vAlign w:val="bottom"/>
          </w:tcPr>
          <w:p>
            <w:pPr>
              <w:spacing w:after="0"/>
              <w:rPr>
                <w:sz w:val="1"/>
                <w:szCs w:val="1"/>
                <w:color w:val="auto"/>
              </w:rPr>
            </w:pPr>
          </w:p>
        </w:tc>
      </w:tr>
      <w:tr>
        <w:trPr>
          <w:trHeight w:val="147"/>
        </w:trPr>
        <w:tc>
          <w:tcPr>
            <w:tcW w:w="1900" w:type="dxa"/>
            <w:vAlign w:val="bottom"/>
          </w:tcPr>
          <w:p>
            <w:pPr>
              <w:spacing w:after="0" w:line="147" w:lineRule="exact"/>
              <w:rPr>
                <w:sz w:val="20"/>
                <w:szCs w:val="20"/>
                <w:color w:val="auto"/>
              </w:rPr>
            </w:pPr>
            <w:r>
              <w:rPr>
                <w:rFonts w:ascii="Arial" w:cs="Arial" w:eastAsia="Arial" w:hAnsi="Arial"/>
                <w:sz w:val="14"/>
                <w:szCs w:val="14"/>
                <w:color w:val="auto"/>
              </w:rPr>
              <w:t>Pay Fixed Swap</w:t>
            </w:r>
          </w:p>
        </w:tc>
        <w:tc>
          <w:tcPr>
            <w:tcW w:w="60" w:type="dxa"/>
            <w:vAlign w:val="bottom"/>
          </w:tcPr>
          <w:p>
            <w:pPr>
              <w:spacing w:after="0"/>
              <w:rPr>
                <w:sz w:val="12"/>
                <w:szCs w:val="12"/>
                <w:color w:val="auto"/>
              </w:rPr>
            </w:pPr>
          </w:p>
        </w:tc>
        <w:tc>
          <w:tcPr>
            <w:tcW w:w="760" w:type="dxa"/>
            <w:vAlign w:val="bottom"/>
          </w:tcPr>
          <w:p>
            <w:pPr>
              <w:jc w:val="center"/>
              <w:spacing w:after="0" w:line="147" w:lineRule="exact"/>
              <w:rPr>
                <w:sz w:val="20"/>
                <w:szCs w:val="20"/>
                <w:color w:val="auto"/>
              </w:rPr>
            </w:pPr>
            <w:r>
              <w:rPr>
                <w:rFonts w:ascii="Arial" w:cs="Arial" w:eastAsia="Arial" w:hAnsi="Arial"/>
                <w:sz w:val="14"/>
                <w:szCs w:val="14"/>
                <w:color w:val="auto"/>
                <w:w w:val="93"/>
              </w:rPr>
              <w:t>Cash Flow</w:t>
            </w:r>
          </w:p>
        </w:tc>
        <w:tc>
          <w:tcPr>
            <w:tcW w:w="80" w:type="dxa"/>
            <w:vAlign w:val="bottom"/>
          </w:tcPr>
          <w:p>
            <w:pPr>
              <w:spacing w:after="0"/>
              <w:rPr>
                <w:sz w:val="12"/>
                <w:szCs w:val="12"/>
                <w:color w:val="auto"/>
              </w:rPr>
            </w:pPr>
          </w:p>
        </w:tc>
        <w:tc>
          <w:tcPr>
            <w:tcW w:w="1660" w:type="dxa"/>
            <w:vAlign w:val="bottom"/>
          </w:tcPr>
          <w:p>
            <w:pPr>
              <w:jc w:val="center"/>
              <w:spacing w:after="0" w:line="147" w:lineRule="exact"/>
              <w:rPr>
                <w:sz w:val="20"/>
                <w:szCs w:val="20"/>
                <w:color w:val="auto"/>
              </w:rPr>
            </w:pPr>
            <w:r>
              <w:rPr>
                <w:rFonts w:ascii="Arial" w:cs="Arial" w:eastAsia="Arial" w:hAnsi="Arial"/>
                <w:sz w:val="14"/>
                <w:szCs w:val="14"/>
                <w:color w:val="auto"/>
                <w:w w:val="93"/>
              </w:rPr>
              <w:t>Money Market Deposts</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ind w:right="9"/>
              <w:spacing w:after="0" w:line="147" w:lineRule="exact"/>
              <w:rPr>
                <w:sz w:val="20"/>
                <w:szCs w:val="20"/>
                <w:color w:val="auto"/>
              </w:rPr>
            </w:pPr>
            <w:r>
              <w:rPr>
                <w:rFonts w:ascii="Arial" w:cs="Arial" w:eastAsia="Arial" w:hAnsi="Arial"/>
                <w:sz w:val="14"/>
                <w:szCs w:val="14"/>
                <w:color w:val="auto"/>
                <w:w w:val="90"/>
              </w:rPr>
              <w:t>100,000</w:t>
            </w:r>
          </w:p>
        </w:tc>
        <w:tc>
          <w:tcPr>
            <w:tcW w:w="620" w:type="dxa"/>
            <w:vAlign w:val="bottom"/>
            <w:gridSpan w:val="2"/>
          </w:tcPr>
          <w:p>
            <w:pPr>
              <w:jc w:val="center"/>
              <w:ind w:left="9"/>
              <w:spacing w:after="0" w:line="147" w:lineRule="exact"/>
              <w:rPr>
                <w:sz w:val="20"/>
                <w:szCs w:val="20"/>
                <w:color w:val="auto"/>
              </w:rPr>
            </w:pPr>
            <w:r>
              <w:rPr>
                <w:rFonts w:ascii="Arial" w:cs="Arial" w:eastAsia="Arial" w:hAnsi="Arial"/>
                <w:sz w:val="14"/>
                <w:szCs w:val="14"/>
                <w:color w:val="auto"/>
                <w:w w:val="91"/>
              </w:rPr>
              <w:t>05/02/12</w:t>
            </w:r>
          </w:p>
        </w:tc>
        <w:tc>
          <w:tcPr>
            <w:tcW w:w="660" w:type="dxa"/>
            <w:vAlign w:val="bottom"/>
            <w:gridSpan w:val="2"/>
          </w:tcPr>
          <w:p>
            <w:pPr>
              <w:ind w:left="120"/>
              <w:spacing w:after="0" w:line="147" w:lineRule="exact"/>
              <w:rPr>
                <w:sz w:val="20"/>
                <w:szCs w:val="20"/>
                <w:color w:val="auto"/>
              </w:rPr>
            </w:pPr>
            <w:r>
              <w:rPr>
                <w:rFonts w:ascii="Arial" w:cs="Arial" w:eastAsia="Arial" w:hAnsi="Arial"/>
                <w:sz w:val="14"/>
                <w:szCs w:val="14"/>
                <w:color w:val="auto"/>
                <w:w w:val="95"/>
              </w:rPr>
              <w:t>05/01/14</w:t>
            </w:r>
          </w:p>
        </w:tc>
        <w:tc>
          <w:tcPr>
            <w:tcW w:w="680" w:type="dxa"/>
            <w:vAlign w:val="bottom"/>
            <w:gridSpan w:val="2"/>
          </w:tcPr>
          <w:p>
            <w:pPr>
              <w:ind w:left="120"/>
              <w:spacing w:after="0" w:line="147" w:lineRule="exact"/>
              <w:rPr>
                <w:sz w:val="20"/>
                <w:szCs w:val="20"/>
                <w:color w:val="auto"/>
              </w:rPr>
            </w:pPr>
            <w:r>
              <w:rPr>
                <w:rFonts w:ascii="Arial" w:cs="Arial" w:eastAsia="Arial" w:hAnsi="Arial"/>
                <w:sz w:val="14"/>
                <w:szCs w:val="14"/>
                <w:color w:val="auto"/>
                <w:w w:val="99"/>
              </w:rPr>
              <w:t>05/01/19</w:t>
            </w:r>
          </w:p>
        </w:tc>
        <w:tc>
          <w:tcPr>
            <w:tcW w:w="1560" w:type="dxa"/>
            <w:vAlign w:val="bottom"/>
            <w:gridSpan w:val="2"/>
          </w:tcPr>
          <w:p>
            <w:pPr>
              <w:jc w:val="right"/>
              <w:ind w:right="389"/>
              <w:spacing w:after="0" w:line="147" w:lineRule="exact"/>
              <w:rPr>
                <w:sz w:val="20"/>
                <w:szCs w:val="20"/>
                <w:color w:val="auto"/>
              </w:rPr>
            </w:pPr>
            <w:r>
              <w:rPr>
                <w:rFonts w:ascii="Arial" w:cs="Arial" w:eastAsia="Arial" w:hAnsi="Arial"/>
                <w:sz w:val="14"/>
                <w:szCs w:val="14"/>
                <w:color w:val="auto"/>
              </w:rPr>
              <w:t>1.88750%</w:t>
            </w:r>
          </w:p>
        </w:tc>
        <w:tc>
          <w:tcPr>
            <w:tcW w:w="80" w:type="dxa"/>
            <w:vAlign w:val="bottom"/>
          </w:tcPr>
          <w:p>
            <w:pPr>
              <w:spacing w:after="0"/>
              <w:rPr>
                <w:sz w:val="12"/>
                <w:szCs w:val="12"/>
                <w:color w:val="auto"/>
              </w:rPr>
            </w:pPr>
          </w:p>
        </w:tc>
        <w:tc>
          <w:tcPr>
            <w:tcW w:w="1160" w:type="dxa"/>
            <w:vAlign w:val="bottom"/>
          </w:tcPr>
          <w:p>
            <w:pPr>
              <w:jc w:val="center"/>
              <w:spacing w:after="0" w:line="147" w:lineRule="exact"/>
              <w:rPr>
                <w:sz w:val="20"/>
                <w:szCs w:val="20"/>
                <w:color w:val="auto"/>
              </w:rPr>
            </w:pPr>
            <w:r>
              <w:rPr>
                <w:rFonts w:ascii="Arial" w:cs="Arial" w:eastAsia="Arial" w:hAnsi="Arial"/>
                <w:sz w:val="14"/>
                <w:szCs w:val="14"/>
                <w:color w:val="auto"/>
                <w:w w:val="98"/>
              </w:rPr>
              <w:t>1 mo. LIBOR</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gridSpan w:val="2"/>
          </w:tcPr>
          <w:p>
            <w:pPr>
              <w:jc w:val="right"/>
              <w:ind w:right="100"/>
              <w:spacing w:after="0" w:line="147" w:lineRule="exact"/>
              <w:rPr>
                <w:sz w:val="20"/>
                <w:szCs w:val="20"/>
                <w:color w:val="auto"/>
              </w:rPr>
            </w:pPr>
            <w:r>
              <w:rPr>
                <w:rFonts w:ascii="Arial" w:cs="Arial" w:eastAsia="Arial" w:hAnsi="Arial"/>
                <w:sz w:val="14"/>
                <w:szCs w:val="14"/>
                <w:color w:val="auto"/>
              </w:rPr>
              <w:t>378</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ind w:right="29"/>
              <w:spacing w:after="0" w:line="147"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7"/>
        </w:trPr>
        <w:tc>
          <w:tcPr>
            <w:tcW w:w="1900" w:type="dxa"/>
            <w:vAlign w:val="bottom"/>
          </w:tcPr>
          <w:p>
            <w:pPr>
              <w:spacing w:after="0" w:line="147" w:lineRule="exact"/>
              <w:rPr>
                <w:sz w:val="20"/>
                <w:szCs w:val="20"/>
                <w:color w:val="auto"/>
              </w:rPr>
            </w:pPr>
            <w:r>
              <w:rPr>
                <w:rFonts w:ascii="Arial" w:cs="Arial" w:eastAsia="Arial" w:hAnsi="Arial"/>
                <w:sz w:val="14"/>
                <w:szCs w:val="14"/>
                <w:color w:val="auto"/>
              </w:rPr>
              <w:t>Pay Fixed Swap</w:t>
            </w:r>
          </w:p>
        </w:tc>
        <w:tc>
          <w:tcPr>
            <w:tcW w:w="60" w:type="dxa"/>
            <w:vAlign w:val="bottom"/>
          </w:tcPr>
          <w:p>
            <w:pPr>
              <w:spacing w:after="0"/>
              <w:rPr>
                <w:sz w:val="12"/>
                <w:szCs w:val="12"/>
                <w:color w:val="auto"/>
              </w:rPr>
            </w:pPr>
          </w:p>
        </w:tc>
        <w:tc>
          <w:tcPr>
            <w:tcW w:w="760" w:type="dxa"/>
            <w:vAlign w:val="bottom"/>
          </w:tcPr>
          <w:p>
            <w:pPr>
              <w:jc w:val="center"/>
              <w:spacing w:after="0" w:line="147" w:lineRule="exact"/>
              <w:rPr>
                <w:sz w:val="20"/>
                <w:szCs w:val="20"/>
                <w:color w:val="auto"/>
              </w:rPr>
            </w:pPr>
            <w:r>
              <w:rPr>
                <w:rFonts w:ascii="Arial" w:cs="Arial" w:eastAsia="Arial" w:hAnsi="Arial"/>
                <w:sz w:val="14"/>
                <w:szCs w:val="14"/>
                <w:color w:val="auto"/>
                <w:w w:val="93"/>
              </w:rPr>
              <w:t>Cash Flow</w:t>
            </w:r>
          </w:p>
        </w:tc>
        <w:tc>
          <w:tcPr>
            <w:tcW w:w="80" w:type="dxa"/>
            <w:vAlign w:val="bottom"/>
          </w:tcPr>
          <w:p>
            <w:pPr>
              <w:spacing w:after="0"/>
              <w:rPr>
                <w:sz w:val="12"/>
                <w:szCs w:val="12"/>
                <w:color w:val="auto"/>
              </w:rPr>
            </w:pPr>
          </w:p>
        </w:tc>
        <w:tc>
          <w:tcPr>
            <w:tcW w:w="1660" w:type="dxa"/>
            <w:vAlign w:val="bottom"/>
          </w:tcPr>
          <w:p>
            <w:pPr>
              <w:jc w:val="center"/>
              <w:spacing w:after="0" w:line="147" w:lineRule="exact"/>
              <w:rPr>
                <w:sz w:val="20"/>
                <w:szCs w:val="20"/>
                <w:color w:val="auto"/>
              </w:rPr>
            </w:pPr>
            <w:r>
              <w:rPr>
                <w:rFonts w:ascii="Arial" w:cs="Arial" w:eastAsia="Arial" w:hAnsi="Arial"/>
                <w:sz w:val="14"/>
                <w:szCs w:val="14"/>
                <w:color w:val="auto"/>
                <w:w w:val="93"/>
              </w:rPr>
              <w:t>Money Market Deposts</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ind w:right="9"/>
              <w:spacing w:after="0" w:line="147" w:lineRule="exact"/>
              <w:rPr>
                <w:sz w:val="20"/>
                <w:szCs w:val="20"/>
                <w:color w:val="auto"/>
              </w:rPr>
            </w:pPr>
            <w:r>
              <w:rPr>
                <w:rFonts w:ascii="Arial" w:cs="Arial" w:eastAsia="Arial" w:hAnsi="Arial"/>
                <w:sz w:val="14"/>
                <w:szCs w:val="14"/>
                <w:color w:val="auto"/>
                <w:w w:val="90"/>
              </w:rPr>
              <w:t>100,000</w:t>
            </w:r>
          </w:p>
        </w:tc>
        <w:tc>
          <w:tcPr>
            <w:tcW w:w="620" w:type="dxa"/>
            <w:vAlign w:val="bottom"/>
            <w:gridSpan w:val="2"/>
          </w:tcPr>
          <w:p>
            <w:pPr>
              <w:jc w:val="center"/>
              <w:ind w:left="9"/>
              <w:spacing w:after="0" w:line="147" w:lineRule="exact"/>
              <w:rPr>
                <w:sz w:val="20"/>
                <w:szCs w:val="20"/>
                <w:color w:val="auto"/>
              </w:rPr>
            </w:pPr>
            <w:r>
              <w:rPr>
                <w:rFonts w:ascii="Arial" w:cs="Arial" w:eastAsia="Arial" w:hAnsi="Arial"/>
                <w:sz w:val="14"/>
                <w:szCs w:val="14"/>
                <w:color w:val="auto"/>
                <w:w w:val="91"/>
              </w:rPr>
              <w:t>05/31/12</w:t>
            </w:r>
          </w:p>
        </w:tc>
        <w:tc>
          <w:tcPr>
            <w:tcW w:w="660" w:type="dxa"/>
            <w:vAlign w:val="bottom"/>
            <w:gridSpan w:val="2"/>
          </w:tcPr>
          <w:p>
            <w:pPr>
              <w:ind w:left="120"/>
              <w:spacing w:after="0" w:line="147" w:lineRule="exact"/>
              <w:rPr>
                <w:sz w:val="20"/>
                <w:szCs w:val="20"/>
                <w:color w:val="auto"/>
              </w:rPr>
            </w:pPr>
            <w:r>
              <w:rPr>
                <w:rFonts w:ascii="Arial" w:cs="Arial" w:eastAsia="Arial" w:hAnsi="Arial"/>
                <w:sz w:val="14"/>
                <w:szCs w:val="14"/>
                <w:color w:val="auto"/>
                <w:w w:val="95"/>
              </w:rPr>
              <w:t>07/01/14</w:t>
            </w:r>
          </w:p>
        </w:tc>
        <w:tc>
          <w:tcPr>
            <w:tcW w:w="680" w:type="dxa"/>
            <w:vAlign w:val="bottom"/>
            <w:gridSpan w:val="2"/>
          </w:tcPr>
          <w:p>
            <w:pPr>
              <w:ind w:left="120"/>
              <w:spacing w:after="0" w:line="147" w:lineRule="exact"/>
              <w:rPr>
                <w:sz w:val="20"/>
                <w:szCs w:val="20"/>
                <w:color w:val="auto"/>
              </w:rPr>
            </w:pPr>
            <w:r>
              <w:rPr>
                <w:rFonts w:ascii="Arial" w:cs="Arial" w:eastAsia="Arial" w:hAnsi="Arial"/>
                <w:sz w:val="14"/>
                <w:szCs w:val="14"/>
                <w:color w:val="auto"/>
                <w:w w:val="99"/>
              </w:rPr>
              <w:t>07/01/18</w:t>
            </w:r>
          </w:p>
        </w:tc>
        <w:tc>
          <w:tcPr>
            <w:tcW w:w="1560" w:type="dxa"/>
            <w:vAlign w:val="bottom"/>
            <w:gridSpan w:val="2"/>
          </w:tcPr>
          <w:p>
            <w:pPr>
              <w:jc w:val="right"/>
              <w:ind w:right="389"/>
              <w:spacing w:after="0" w:line="147" w:lineRule="exact"/>
              <w:rPr>
                <w:sz w:val="20"/>
                <w:szCs w:val="20"/>
                <w:color w:val="auto"/>
              </w:rPr>
            </w:pPr>
            <w:r>
              <w:rPr>
                <w:rFonts w:ascii="Arial" w:cs="Arial" w:eastAsia="Arial" w:hAnsi="Arial"/>
                <w:sz w:val="14"/>
                <w:szCs w:val="14"/>
                <w:color w:val="auto"/>
              </w:rPr>
              <w:t>1.39250%</w:t>
            </w:r>
          </w:p>
        </w:tc>
        <w:tc>
          <w:tcPr>
            <w:tcW w:w="80" w:type="dxa"/>
            <w:vAlign w:val="bottom"/>
          </w:tcPr>
          <w:p>
            <w:pPr>
              <w:spacing w:after="0"/>
              <w:rPr>
                <w:sz w:val="12"/>
                <w:szCs w:val="12"/>
                <w:color w:val="auto"/>
              </w:rPr>
            </w:pPr>
          </w:p>
        </w:tc>
        <w:tc>
          <w:tcPr>
            <w:tcW w:w="1160" w:type="dxa"/>
            <w:vAlign w:val="bottom"/>
          </w:tcPr>
          <w:p>
            <w:pPr>
              <w:jc w:val="center"/>
              <w:spacing w:after="0" w:line="147" w:lineRule="exact"/>
              <w:rPr>
                <w:sz w:val="20"/>
                <w:szCs w:val="20"/>
                <w:color w:val="auto"/>
              </w:rPr>
            </w:pPr>
            <w:r>
              <w:rPr>
                <w:rFonts w:ascii="Arial" w:cs="Arial" w:eastAsia="Arial" w:hAnsi="Arial"/>
                <w:sz w:val="14"/>
                <w:szCs w:val="14"/>
                <w:color w:val="auto"/>
                <w:w w:val="98"/>
              </w:rPr>
              <w:t>1 mo. LIBOR</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gridSpan w:val="2"/>
          </w:tcPr>
          <w:p>
            <w:pPr>
              <w:jc w:val="right"/>
              <w:ind w:right="100"/>
              <w:spacing w:after="0" w:line="147" w:lineRule="exact"/>
              <w:rPr>
                <w:sz w:val="20"/>
                <w:szCs w:val="20"/>
                <w:color w:val="auto"/>
              </w:rPr>
            </w:pPr>
            <w:r>
              <w:rPr>
                <w:rFonts w:ascii="Arial" w:cs="Arial" w:eastAsia="Arial" w:hAnsi="Arial"/>
                <w:sz w:val="14"/>
                <w:szCs w:val="14"/>
                <w:color w:val="auto"/>
                <w:w w:val="91"/>
              </w:rPr>
              <w:t>1,424</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ind w:right="29"/>
              <w:spacing w:after="0" w:line="147"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3"/>
        </w:trPr>
        <w:tc>
          <w:tcPr>
            <w:tcW w:w="1900" w:type="dxa"/>
            <w:vAlign w:val="bottom"/>
          </w:tcPr>
          <w:p>
            <w:pPr>
              <w:spacing w:after="0"/>
              <w:rPr>
                <w:sz w:val="20"/>
                <w:szCs w:val="20"/>
                <w:color w:val="auto"/>
              </w:rPr>
            </w:pPr>
            <w:r>
              <w:rPr>
                <w:rFonts w:ascii="Arial" w:cs="Arial" w:eastAsia="Arial" w:hAnsi="Arial"/>
                <w:sz w:val="14"/>
                <w:szCs w:val="14"/>
                <w:color w:val="auto"/>
              </w:rPr>
              <w:t>Pay Fixed Swap</w:t>
            </w:r>
          </w:p>
        </w:tc>
        <w:tc>
          <w:tcPr>
            <w:tcW w:w="60" w:type="dxa"/>
            <w:vAlign w:val="bottom"/>
          </w:tcPr>
          <w:p>
            <w:pPr>
              <w:spacing w:after="0"/>
              <w:rPr>
                <w:sz w:val="15"/>
                <w:szCs w:val="15"/>
                <w:color w:val="auto"/>
              </w:rPr>
            </w:pPr>
          </w:p>
        </w:tc>
        <w:tc>
          <w:tcPr>
            <w:tcW w:w="760" w:type="dxa"/>
            <w:vAlign w:val="bottom"/>
          </w:tcPr>
          <w:p>
            <w:pPr>
              <w:jc w:val="center"/>
              <w:spacing w:after="0"/>
              <w:rPr>
                <w:sz w:val="20"/>
                <w:szCs w:val="20"/>
                <w:color w:val="auto"/>
              </w:rPr>
            </w:pPr>
            <w:r>
              <w:rPr>
                <w:rFonts w:ascii="Arial" w:cs="Arial" w:eastAsia="Arial" w:hAnsi="Arial"/>
                <w:sz w:val="14"/>
                <w:szCs w:val="14"/>
                <w:color w:val="auto"/>
                <w:w w:val="93"/>
              </w:rPr>
              <w:t>Cash Flow</w:t>
            </w:r>
          </w:p>
        </w:tc>
        <w:tc>
          <w:tcPr>
            <w:tcW w:w="80" w:type="dxa"/>
            <w:vAlign w:val="bottom"/>
          </w:tcPr>
          <w:p>
            <w:pPr>
              <w:spacing w:after="0"/>
              <w:rPr>
                <w:sz w:val="15"/>
                <w:szCs w:val="15"/>
                <w:color w:val="auto"/>
              </w:rPr>
            </w:pPr>
          </w:p>
        </w:tc>
        <w:tc>
          <w:tcPr>
            <w:tcW w:w="1660" w:type="dxa"/>
            <w:vAlign w:val="bottom"/>
          </w:tcPr>
          <w:p>
            <w:pPr>
              <w:jc w:val="center"/>
              <w:spacing w:after="0"/>
              <w:rPr>
                <w:sz w:val="20"/>
                <w:szCs w:val="20"/>
                <w:color w:val="auto"/>
              </w:rPr>
            </w:pPr>
            <w:r>
              <w:rPr>
                <w:rFonts w:ascii="Arial" w:cs="Arial" w:eastAsia="Arial" w:hAnsi="Arial"/>
                <w:sz w:val="14"/>
                <w:szCs w:val="14"/>
                <w:color w:val="auto"/>
                <w:w w:val="93"/>
              </w:rPr>
              <w:t>Money Market Deposts</w:t>
            </w:r>
          </w:p>
        </w:tc>
        <w:tc>
          <w:tcPr>
            <w:tcW w:w="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w w:val="90"/>
              </w:rPr>
              <w:t>175,000</w:t>
            </w:r>
          </w:p>
        </w:tc>
        <w:tc>
          <w:tcPr>
            <w:tcW w:w="620" w:type="dxa"/>
            <w:vAlign w:val="bottom"/>
            <w:gridSpan w:val="2"/>
          </w:tcPr>
          <w:p>
            <w:pPr>
              <w:jc w:val="center"/>
              <w:ind w:left="9"/>
              <w:spacing w:after="0"/>
              <w:rPr>
                <w:sz w:val="20"/>
                <w:szCs w:val="20"/>
                <w:color w:val="auto"/>
              </w:rPr>
            </w:pPr>
            <w:r>
              <w:rPr>
                <w:rFonts w:ascii="Arial" w:cs="Arial" w:eastAsia="Arial" w:hAnsi="Arial"/>
                <w:sz w:val="14"/>
                <w:szCs w:val="14"/>
                <w:color w:val="auto"/>
                <w:w w:val="91"/>
              </w:rPr>
              <w:t>04/04/13</w:t>
            </w:r>
          </w:p>
        </w:tc>
        <w:tc>
          <w:tcPr>
            <w:tcW w:w="660" w:type="dxa"/>
            <w:vAlign w:val="bottom"/>
            <w:gridSpan w:val="2"/>
          </w:tcPr>
          <w:p>
            <w:pPr>
              <w:ind w:left="120"/>
              <w:spacing w:after="0"/>
              <w:rPr>
                <w:sz w:val="20"/>
                <w:szCs w:val="20"/>
                <w:color w:val="auto"/>
              </w:rPr>
            </w:pPr>
            <w:r>
              <w:rPr>
                <w:rFonts w:ascii="Arial" w:cs="Arial" w:eastAsia="Arial" w:hAnsi="Arial"/>
                <w:sz w:val="14"/>
                <w:szCs w:val="14"/>
                <w:color w:val="auto"/>
                <w:w w:val="95"/>
              </w:rPr>
              <w:t>04/01/15</w:t>
            </w:r>
          </w:p>
        </w:tc>
        <w:tc>
          <w:tcPr>
            <w:tcW w:w="680" w:type="dxa"/>
            <w:vAlign w:val="bottom"/>
            <w:gridSpan w:val="2"/>
          </w:tcPr>
          <w:p>
            <w:pPr>
              <w:ind w:left="120"/>
              <w:spacing w:after="0"/>
              <w:rPr>
                <w:sz w:val="20"/>
                <w:szCs w:val="20"/>
                <w:color w:val="auto"/>
              </w:rPr>
            </w:pPr>
            <w:r>
              <w:rPr>
                <w:rFonts w:ascii="Arial" w:cs="Arial" w:eastAsia="Arial" w:hAnsi="Arial"/>
                <w:sz w:val="14"/>
                <w:szCs w:val="14"/>
                <w:color w:val="auto"/>
                <w:w w:val="99"/>
              </w:rPr>
              <w:t>06/30/13</w:t>
            </w:r>
          </w:p>
        </w:tc>
        <w:tc>
          <w:tcPr>
            <w:tcW w:w="1560" w:type="dxa"/>
            <w:vAlign w:val="bottom"/>
            <w:gridSpan w:val="2"/>
          </w:tcPr>
          <w:p>
            <w:pPr>
              <w:jc w:val="right"/>
              <w:ind w:right="389"/>
              <w:spacing w:after="0"/>
              <w:rPr>
                <w:sz w:val="20"/>
                <w:szCs w:val="20"/>
                <w:color w:val="auto"/>
              </w:rPr>
            </w:pPr>
            <w:r>
              <w:rPr>
                <w:rFonts w:ascii="Arial" w:cs="Arial" w:eastAsia="Arial" w:hAnsi="Arial"/>
                <w:sz w:val="14"/>
                <w:szCs w:val="14"/>
                <w:color w:val="auto"/>
              </w:rPr>
              <w:t>1.61830%</w:t>
            </w:r>
          </w:p>
        </w:tc>
        <w:tc>
          <w:tcPr>
            <w:tcW w:w="80" w:type="dxa"/>
            <w:vAlign w:val="bottom"/>
          </w:tcPr>
          <w:p>
            <w:pPr>
              <w:spacing w:after="0"/>
              <w:rPr>
                <w:sz w:val="15"/>
                <w:szCs w:val="15"/>
                <w:color w:val="auto"/>
              </w:rPr>
            </w:pPr>
          </w:p>
        </w:tc>
        <w:tc>
          <w:tcPr>
            <w:tcW w:w="1160" w:type="dxa"/>
            <w:vAlign w:val="bottom"/>
          </w:tcPr>
          <w:p>
            <w:pPr>
              <w:jc w:val="center"/>
              <w:spacing w:after="0"/>
              <w:rPr>
                <w:sz w:val="20"/>
                <w:szCs w:val="20"/>
                <w:color w:val="auto"/>
              </w:rPr>
            </w:pPr>
            <w:r>
              <w:rPr>
                <w:rFonts w:ascii="Arial" w:cs="Arial" w:eastAsia="Arial" w:hAnsi="Arial"/>
                <w:sz w:val="14"/>
                <w:szCs w:val="14"/>
                <w:color w:val="auto"/>
                <w:w w:val="98"/>
              </w:rPr>
              <w:t>1 mo. LIBOR</w:t>
            </w:r>
          </w:p>
        </w:tc>
        <w:tc>
          <w:tcPr>
            <w:tcW w:w="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4"/>
                <w:szCs w:val="14"/>
                <w:color w:val="auto"/>
                <w:w w:val="91"/>
              </w:rPr>
              <w:t>3,543</w:t>
            </w: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7"/>
        </w:trPr>
        <w:tc>
          <w:tcPr>
            <w:tcW w:w="1900" w:type="dxa"/>
            <w:vAlign w:val="bottom"/>
          </w:tcPr>
          <w:p>
            <w:pPr>
              <w:ind w:left="260"/>
              <w:spacing w:after="0" w:line="147" w:lineRule="exact"/>
              <w:rPr>
                <w:sz w:val="20"/>
                <w:szCs w:val="20"/>
                <w:color w:val="auto"/>
              </w:rPr>
            </w:pPr>
            <w:r>
              <w:rPr>
                <w:rFonts w:ascii="Arial" w:cs="Arial" w:eastAsia="Arial" w:hAnsi="Arial"/>
                <w:sz w:val="14"/>
                <w:szCs w:val="14"/>
                <w:color w:val="auto"/>
              </w:rPr>
              <w:t>Total Hedging Positions</w:t>
            </w: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bottom w:val="single" w:sz="8" w:color="auto"/>
            </w:tcBorders>
          </w:tcPr>
          <w:p>
            <w:pPr>
              <w:jc w:val="right"/>
              <w:spacing w:after="0" w:line="147" w:lineRule="exact"/>
              <w:rPr>
                <w:sz w:val="20"/>
                <w:szCs w:val="20"/>
                <w:color w:val="auto"/>
              </w:rPr>
            </w:pPr>
            <w:r>
              <w:rPr>
                <w:rFonts w:ascii="Arial" w:cs="Arial" w:eastAsia="Arial" w:hAnsi="Arial"/>
                <w:sz w:val="14"/>
                <w:szCs w:val="14"/>
                <w:color w:val="auto"/>
                <w:w w:val="76"/>
              </w:rPr>
              <w:t>$</w:t>
            </w:r>
          </w:p>
        </w:tc>
        <w:tc>
          <w:tcPr>
            <w:tcW w:w="560" w:type="dxa"/>
            <w:vAlign w:val="bottom"/>
            <w:tcBorders>
              <w:bottom w:val="single" w:sz="8" w:color="auto"/>
            </w:tcBorders>
          </w:tcPr>
          <w:p>
            <w:pPr>
              <w:jc w:val="right"/>
              <w:ind w:right="9"/>
              <w:spacing w:after="0" w:line="147" w:lineRule="exact"/>
              <w:rPr>
                <w:sz w:val="20"/>
                <w:szCs w:val="20"/>
                <w:color w:val="auto"/>
              </w:rPr>
            </w:pPr>
            <w:r>
              <w:rPr>
                <w:rFonts w:ascii="Arial" w:cs="Arial" w:eastAsia="Arial" w:hAnsi="Arial"/>
                <w:sz w:val="14"/>
                <w:szCs w:val="14"/>
                <w:color w:val="auto"/>
                <w:w w:val="90"/>
              </w:rPr>
              <w:t>910,000</w:t>
            </w: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bottom w:val="single" w:sz="8" w:color="auto"/>
            </w:tcBorders>
          </w:tcPr>
          <w:p>
            <w:pPr>
              <w:jc w:val="right"/>
              <w:spacing w:after="0" w:line="147" w:lineRule="exact"/>
              <w:rPr>
                <w:sz w:val="20"/>
                <w:szCs w:val="20"/>
                <w:color w:val="auto"/>
              </w:rPr>
            </w:pPr>
            <w:r>
              <w:rPr>
                <w:rFonts w:ascii="Arial" w:cs="Arial" w:eastAsia="Arial" w:hAnsi="Arial"/>
                <w:sz w:val="14"/>
                <w:szCs w:val="14"/>
                <w:color w:val="auto"/>
                <w:w w:val="76"/>
              </w:rPr>
              <w:t>$</w:t>
            </w:r>
          </w:p>
        </w:tc>
        <w:tc>
          <w:tcPr>
            <w:tcW w:w="440" w:type="dxa"/>
            <w:vAlign w:val="bottom"/>
            <w:tcBorders>
              <w:bottom w:val="single" w:sz="8" w:color="auto"/>
            </w:tcBorders>
            <w:gridSpan w:val="2"/>
          </w:tcPr>
          <w:p>
            <w:pPr>
              <w:jc w:val="right"/>
              <w:ind w:right="100"/>
              <w:spacing w:after="0" w:line="147" w:lineRule="exact"/>
              <w:rPr>
                <w:sz w:val="20"/>
                <w:szCs w:val="20"/>
                <w:color w:val="auto"/>
              </w:rPr>
            </w:pPr>
            <w:r>
              <w:rPr>
                <w:rFonts w:ascii="Arial" w:cs="Arial" w:eastAsia="Arial" w:hAnsi="Arial"/>
                <w:sz w:val="14"/>
                <w:szCs w:val="14"/>
                <w:color w:val="auto"/>
                <w:w w:val="91"/>
              </w:rPr>
              <w:t>8,017</w:t>
            </w:r>
          </w:p>
        </w:tc>
        <w:tc>
          <w:tcPr>
            <w:tcW w:w="180" w:type="dxa"/>
            <w:vAlign w:val="bottom"/>
            <w:tcBorders>
              <w:bottom w:val="single" w:sz="8" w:color="auto"/>
            </w:tcBorders>
            <w:gridSpan w:val="2"/>
          </w:tcPr>
          <w:p>
            <w:pPr>
              <w:jc w:val="right"/>
              <w:ind w:right="40"/>
              <w:spacing w:after="0" w:line="147" w:lineRule="exact"/>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jc w:val="right"/>
              <w:ind w:right="29"/>
              <w:spacing w:after="0" w:line="147" w:lineRule="exact"/>
              <w:rPr>
                <w:sz w:val="20"/>
                <w:szCs w:val="20"/>
                <w:color w:val="auto"/>
              </w:rPr>
            </w:pPr>
            <w:r>
              <w:rPr>
                <w:rFonts w:ascii="Arial" w:cs="Arial" w:eastAsia="Arial" w:hAnsi="Arial"/>
                <w:sz w:val="14"/>
                <w:szCs w:val="14"/>
                <w:color w:val="auto"/>
              </w:rPr>
              <w:t>28,325</w:t>
            </w:r>
          </w:p>
        </w:tc>
        <w:tc>
          <w:tcPr>
            <w:tcW w:w="0" w:type="dxa"/>
            <w:vAlign w:val="bottom"/>
          </w:tcPr>
          <w:p>
            <w:pPr>
              <w:spacing w:after="0"/>
              <w:rPr>
                <w:sz w:val="1"/>
                <w:szCs w:val="1"/>
                <w:color w:val="auto"/>
              </w:rPr>
            </w:pPr>
          </w:p>
        </w:tc>
      </w:tr>
      <w:tr>
        <w:trPr>
          <w:trHeight w:val="20"/>
        </w:trPr>
        <w:tc>
          <w:tcPr>
            <w:tcW w:w="1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7" w:lineRule="exact"/>
        <w:rPr>
          <w:sz w:val="20"/>
          <w:szCs w:val="20"/>
          <w:color w:val="auto"/>
        </w:rPr>
      </w:pPr>
    </w:p>
    <w:p>
      <w:pPr>
        <w:ind w:right="140" w:firstLine="7"/>
        <w:spacing w:after="0"/>
        <w:tabs>
          <w:tab w:leader="none" w:pos="218" w:val="left"/>
        </w:tabs>
        <w:numPr>
          <w:ilvl w:val="0"/>
          <w:numId w:val="12"/>
        </w:numPr>
        <w:rPr>
          <w:rFonts w:ascii="Arial" w:cs="Arial" w:eastAsia="Arial" w:hAnsi="Arial"/>
          <w:sz w:val="23"/>
          <w:szCs w:val="23"/>
          <w:color w:val="auto"/>
          <w:vertAlign w:val="superscript"/>
        </w:rPr>
      </w:pPr>
      <w:r>
        <w:rPr>
          <w:rFonts w:ascii="Arial" w:cs="Arial" w:eastAsia="Arial" w:hAnsi="Arial"/>
          <w:sz w:val="17"/>
          <w:szCs w:val="17"/>
          <w:color w:val="auto"/>
        </w:rPr>
        <w:t>Receive rate is fixed at 5.00% to November 10, 2012, then 4 * ((10-year Constant Maturity Swap rate - 2-year Constant Maturity Swap rate) - 50 basis points), capped at 5.00% and floored at 0.00%. Swap is callable by counterparty on November 10, 2012 and quarterly thereafter on the 10th with 15 calendar days notice.</w:t>
      </w:r>
    </w:p>
    <w:p>
      <w:pPr>
        <w:spacing w:after="0" w:line="202" w:lineRule="exact"/>
        <w:rPr>
          <w:rFonts w:ascii="Arial" w:cs="Arial" w:eastAsia="Arial" w:hAnsi="Arial"/>
          <w:sz w:val="23"/>
          <w:szCs w:val="23"/>
          <w:color w:val="auto"/>
          <w:vertAlign w:val="superscript"/>
        </w:rPr>
      </w:pPr>
    </w:p>
    <w:p>
      <w:pPr>
        <w:ind w:left="220" w:hanging="213"/>
        <w:spacing w:after="0"/>
        <w:tabs>
          <w:tab w:leader="none" w:pos="220" w:val="left"/>
        </w:tabs>
        <w:numPr>
          <w:ilvl w:val="0"/>
          <w:numId w:val="12"/>
        </w:numPr>
        <w:rPr>
          <w:rFonts w:ascii="Arial" w:cs="Arial" w:eastAsia="Arial" w:hAnsi="Arial"/>
          <w:sz w:val="22"/>
          <w:szCs w:val="22"/>
          <w:color w:val="auto"/>
          <w:vertAlign w:val="superscript"/>
        </w:rPr>
      </w:pPr>
      <w:r>
        <w:rPr>
          <w:rFonts w:ascii="Arial" w:cs="Arial" w:eastAsia="Arial" w:hAnsi="Arial"/>
          <w:sz w:val="16"/>
          <w:szCs w:val="16"/>
          <w:color w:val="auto"/>
        </w:rPr>
        <w:t>Rate steps up at set periodic intervals throughout term. Swap is callable by counterparty generally from six months to one year following the effective date.</w:t>
      </w:r>
    </w:p>
    <w:p>
      <w:pPr>
        <w:spacing w:after="0" w:line="228" w:lineRule="exact"/>
        <w:rPr>
          <w:rFonts w:ascii="Arial" w:cs="Arial" w:eastAsia="Arial" w:hAnsi="Arial"/>
          <w:sz w:val="22"/>
          <w:szCs w:val="22"/>
          <w:color w:val="auto"/>
          <w:vertAlign w:val="superscript"/>
        </w:rPr>
      </w:pPr>
    </w:p>
    <w:p>
      <w:pPr>
        <w:ind w:right="60" w:firstLine="7"/>
        <w:spacing w:after="0" w:line="245" w:lineRule="auto"/>
        <w:tabs>
          <w:tab w:leader="none" w:pos="211" w:val="left"/>
        </w:tabs>
        <w:numPr>
          <w:ilvl w:val="0"/>
          <w:numId w:val="12"/>
        </w:numPr>
        <w:rPr>
          <w:rFonts w:ascii="Arial" w:cs="Arial" w:eastAsia="Arial" w:hAnsi="Arial"/>
          <w:sz w:val="22"/>
          <w:szCs w:val="22"/>
          <w:color w:val="auto"/>
          <w:vertAlign w:val="superscript"/>
        </w:rPr>
      </w:pPr>
      <w:r>
        <w:rPr>
          <w:rFonts w:ascii="Arial" w:cs="Arial" w:eastAsia="Arial" w:hAnsi="Arial"/>
          <w:sz w:val="16"/>
          <w:szCs w:val="16"/>
          <w:color w:val="auto"/>
        </w:rPr>
        <w:t>Receive rate is fixed at 7.00% to 6/28/14 then 4 * ((30-year Constant Maturity Swap rate - 5-year Constant Maturity Swap rate) - 70 basis points), capped at 7.00% and floored at 0.00%. Swap is callable by counterparty on June 28, 2014 and quarterly thereafter on the 28th with 15 calendar days notice.</w:t>
      </w:r>
    </w:p>
    <w:p>
      <w:pPr>
        <w:spacing w:after="0" w:line="197" w:lineRule="exact"/>
        <w:rPr>
          <w:rFonts w:ascii="Arial" w:cs="Arial" w:eastAsia="Arial" w:hAnsi="Arial"/>
          <w:sz w:val="22"/>
          <w:szCs w:val="22"/>
          <w:color w:val="auto"/>
          <w:vertAlign w:val="superscript"/>
        </w:rPr>
      </w:pPr>
    </w:p>
    <w:p>
      <w:pPr>
        <w:ind w:left="220" w:hanging="213"/>
        <w:spacing w:after="0"/>
        <w:tabs>
          <w:tab w:leader="none" w:pos="220" w:val="left"/>
        </w:tabs>
        <w:numPr>
          <w:ilvl w:val="0"/>
          <w:numId w:val="12"/>
        </w:numPr>
        <w:rPr>
          <w:rFonts w:ascii="Arial" w:cs="Arial" w:eastAsia="Arial" w:hAnsi="Arial"/>
          <w:sz w:val="22"/>
          <w:szCs w:val="22"/>
          <w:color w:val="auto"/>
          <w:vertAlign w:val="superscript"/>
        </w:rPr>
      </w:pPr>
      <w:r>
        <w:rPr>
          <w:rFonts w:ascii="Arial" w:cs="Arial" w:eastAsia="Arial" w:hAnsi="Arial"/>
          <w:sz w:val="16"/>
          <w:szCs w:val="16"/>
          <w:color w:val="auto"/>
        </w:rPr>
        <w:t>Fair value does not include accrued interest.</w:t>
      </w:r>
    </w:p>
    <w:p>
      <w:pPr>
        <w:spacing w:after="0" w:line="228"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From time to time, United will terminate swap or floor positions when conditions change and the position is no longer necessary to manage United’s overall sensitivity to changes in interest rates. In those situations where the terminated contract was in an effective hedging relationship at the time of termination and the hedging relationship is expected to remain effective throughout the original term of the contract, the resulting gain or loss is amortized over the remaining life of the original contract. For swap contracts, the gain or loss is amortized over the remaining original contract term using the straight line method of amortization. At June 30, 2013, United had $58,000 in gains from terminated derivative positions included in other comprehensive income that will be amortized into earnings over their remaining original contract terms. All of the $58,000 is expected to be reclassified into interest revenue over the next three months. In addition, United’s forward starting active cash flow hedges of floating rate liabilities will begin to become effective over the next twelve months. United expects that $862,000 will be reclassified as an increase to deposit interest expense over the next twelve months related to these cash flow hedges.</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13970</wp:posOffset>
            </wp:positionV>
            <wp:extent cx="724789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7890" cy="8255"/>
                    </a:xfrm>
                    <a:prstGeom prst="rect">
                      <a:avLst/>
                    </a:prstGeom>
                    <a:noFill/>
                  </pic:spPr>
                </pic:pic>
              </a:graphicData>
            </a:graphic>
          </wp:anchor>
        </w:drawing>
      </w:r>
    </w:p>
    <w:p>
      <w:pPr>
        <w:sectPr>
          <w:pgSz w:w="11900" w:h="16838" w:orient="portrait"/>
          <w:cols w:equalWidth="0" w:num="1">
            <w:col w:w="11420"/>
          </w:cols>
          <w:pgMar w:left="240" w:top="915" w:right="239" w:bottom="1018" w:gutter="0" w:footer="0" w:header="0"/>
        </w:sectPr>
      </w:pPr>
    </w:p>
    <w:bookmarkStart w:id="62" w:name="page63"/>
    <w:bookmarkEnd w:id="62"/>
    <w:p>
      <w:pPr>
        <w:jc w:val="both"/>
        <w:spacing w:after="0" w:line="254" w:lineRule="auto"/>
        <w:rPr>
          <w:sz w:val="20"/>
          <w:szCs w:val="20"/>
          <w:color w:val="auto"/>
        </w:rPr>
      </w:pPr>
      <w:r>
        <w:rPr>
          <w:rFonts w:ascii="Arial" w:cs="Arial" w:eastAsia="Arial" w:hAnsi="Arial"/>
          <w:sz w:val="18"/>
          <w:szCs w:val="18"/>
          <w:color w:val="auto"/>
        </w:rPr>
        <w:t>United’s policy requires all non-customer facing derivative financial instruments be used only for asset/liability management through the hedging of specific transactions or positions, and not for trading or speculative purposes. Management believes that the risk associated with using derivative financial instruments to mitigate interest rate risk sensitivity is minimal and should not have any material unintended effect on our financial condition or results of operations. In order to mitigate potential credit risk, from time to time United may require the counterparties to derivative contracts to pledge securities as collateral to cover the net exposure.</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Management</w:t>
      </w:r>
    </w:p>
    <w:p>
      <w:pPr>
        <w:spacing w:after="0" w:line="25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objective of liquidity management is to ensure that sufficient funding is available, at a reasonable cost, to meet the ongoing operational cash needs and to take advantage of revenue producing opportunities as they arise. While the desired level of liquidity will vary depending upon a variety of factors, it is the primary goal of United to maintain a sufficient level of liquidity in all expected economic environments. Liquidity is defined as the ability to convert assets into cash or cash equivalents without significant loss and to raise additional funds by increasing liabilities. Liquidity management involves maintaining United’s ability to meet the daily cash flow requirements of the Bank’s customers, both depositors and borrowers. In addition, because United is a separate entity and apart from the Bank, it must provide for its own liquidity. United is responsible for the payment of dividends declared for its common and preferred shareholders, and interest and principal on any outstanding debt or trust preferred securities.</w:t>
      </w:r>
    </w:p>
    <w:p>
      <w:pPr>
        <w:spacing w:after="0" w:line="208" w:lineRule="exact"/>
        <w:rPr>
          <w:sz w:val="20"/>
          <w:szCs w:val="20"/>
          <w:color w:val="auto"/>
        </w:rPr>
      </w:pPr>
    </w:p>
    <w:p>
      <w:pPr>
        <w:jc w:val="both"/>
        <w:ind w:right="20"/>
        <w:spacing w:after="0" w:line="260" w:lineRule="auto"/>
        <w:rPr>
          <w:sz w:val="20"/>
          <w:szCs w:val="20"/>
          <w:color w:val="auto"/>
        </w:rPr>
      </w:pPr>
      <w:r>
        <w:rPr>
          <w:rFonts w:ascii="Arial" w:cs="Arial" w:eastAsia="Arial" w:hAnsi="Arial"/>
          <w:sz w:val="18"/>
          <w:szCs w:val="18"/>
          <w:color w:val="auto"/>
        </w:rPr>
        <w:t>Substantially all of United’s liquidity is obtained from subsidiary service fees and dividends from the Bank, which are limited by applicable law and an informal memorandum of understanding with the Federal Deposit Insurance Corporation and the Georgia Department of Banking and Finance (the “Bank MOU”). United currently has internal capital resources to meet these obligations.</w:t>
      </w:r>
    </w:p>
    <w:p>
      <w:pPr>
        <w:spacing w:after="0" w:line="211"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Two key objectives of asset/liability management are to provide for adequate liquidity in order to meet the needs of customers and to maintain an optimal balance between interest-sensitive assets and interest-sensitive liabilities to optimize net interest revenue. Daily monitoring of the sources and uses of funds is necessary to maintain a position that meets both requirements.</w:t>
      </w:r>
    </w:p>
    <w:p>
      <w:pPr>
        <w:spacing w:after="0" w:line="21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asset portion of the balance sheet provides liquidity primarily through loan principal repayments and the maturities and sales of securities, as well as the ability to use these as collateral for borrowings on a secured basis. We also maintain excess funds in short-term interest-bearing assets that provide additional liquidity. Mortgage loans held for sale totaled $19.2 million at June 30, 2013, and typically turn over every 45 days as the closed loans are sold to investors in the secondary market.</w:t>
      </w:r>
    </w:p>
    <w:p>
      <w:pPr>
        <w:spacing w:after="0" w:line="21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liability section of the balance sheet provides liquidity through interest-bearing and noninterest-bearing deposit accounts. Federal funds purchased, Federal Reserve short-term borrowings, FHLB advances and securities sold under agreements to repurchase are additional sources of liquidity and represent United’s incremental borrowing capacity. These sources of liquidity are generally short-term in nature and are used as necessary to fund asset growth and meet other short-term liquidity needs.</w:t>
      </w:r>
    </w:p>
    <w:p>
      <w:pPr>
        <w:spacing w:after="0" w:line="215" w:lineRule="exact"/>
        <w:rPr>
          <w:sz w:val="20"/>
          <w:szCs w:val="20"/>
          <w:color w:val="auto"/>
        </w:rPr>
      </w:pPr>
    </w:p>
    <w:p>
      <w:pPr>
        <w:jc w:val="both"/>
        <w:spacing w:after="0" w:line="282" w:lineRule="auto"/>
        <w:rPr>
          <w:sz w:val="20"/>
          <w:szCs w:val="20"/>
          <w:color w:val="auto"/>
        </w:rPr>
      </w:pPr>
      <w:r>
        <w:rPr>
          <w:rFonts w:ascii="Arial" w:cs="Arial" w:eastAsia="Arial" w:hAnsi="Arial"/>
          <w:sz w:val="17"/>
          <w:szCs w:val="17"/>
          <w:color w:val="auto"/>
        </w:rPr>
        <w:t>At June 30, 2013, United had cash and cash equivalent balances of $261 million and had sufficient qualifying collateral to increase FHLB advances by $1.16 billion and Federal Reserve discount window capacity of $616 million. United also has the ability to raise substantial funds through brokered deposits. In addition to these wholesale sources, United has the ability to attract retail deposits at any time by competing more aggressively on pricing.</w:t>
      </w:r>
    </w:p>
    <w:p>
      <w:pPr>
        <w:spacing w:after="0" w:line="195"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As disclosed in United’s consolidated statement of cash flows, net cash provided by operating activities was $106 million for the six months ended June 30, 2013. The net income of $242 million for the six month period included the deferred income tax benefit of $260 million, and non-cash expenses for the following: provision for loan losses of $59.5 million; depreciation, amortization and accretion of $14.6 million and losses and write downs on foreclosed property of $5.46 million. In addition, other assets decreased $13.7 million primarily due to amounts received on assets covered by loss sharing agreements. Mortgage loans held for sale decreased $9.67 million. Net cash used in investing activities of $182 million consisted primarily of a $204 million increase in loans and purchases of securities totaling $403 million partially offset by the proceeds from sales, maturities and calls of securities of $310 million, proceeds from note sales of $91.9 million and proceeds from sales of foreclosed properties of $21.8 million. Net cash used in financing activities of $86.3 million consisted primarily of a $59.7 million increase in deposits and a $30 million net increase in FHLB advances. In the opinion of management, United’s liquidity position at June 30, 2013, was sufficient to meet its expected cash flow requirements.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13970</wp:posOffset>
            </wp:positionV>
            <wp:extent cx="724789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7890" cy="8255"/>
                    </a:xfrm>
                    <a:prstGeom prst="rect">
                      <a:avLst/>
                    </a:prstGeom>
                    <a:noFill/>
                  </pic:spPr>
                </pic:pic>
              </a:graphicData>
            </a:graphic>
          </wp:anchor>
        </w:drawing>
      </w:r>
    </w:p>
    <w:p>
      <w:pPr>
        <w:sectPr>
          <w:pgSz w:w="11900" w:h="16838" w:orient="portrait"/>
          <w:cols w:equalWidth="0" w:num="1">
            <w:col w:w="11420"/>
          </w:cols>
          <w:pgMar w:left="240" w:top="915" w:right="239" w:bottom="1440" w:gutter="0" w:footer="0" w:header="0"/>
        </w:sectPr>
      </w:pPr>
    </w:p>
    <w:bookmarkStart w:id="63" w:name="page64"/>
    <w:bookmarkEnd w:id="63"/>
    <w:p>
      <w:pPr>
        <w:spacing w:after="0"/>
        <w:rPr>
          <w:sz w:val="20"/>
          <w:szCs w:val="20"/>
          <w:color w:val="auto"/>
        </w:rPr>
      </w:pPr>
      <w:r>
        <w:rPr>
          <w:rFonts w:ascii="Arial" w:cs="Arial" w:eastAsia="Arial" w:hAnsi="Arial"/>
          <w:sz w:val="18"/>
          <w:szCs w:val="18"/>
          <w:b w:val="1"/>
          <w:bCs w:val="1"/>
          <w:color w:val="auto"/>
        </w:rPr>
        <w:t>Capital Resources and Dividends</w:t>
      </w:r>
    </w:p>
    <w:p>
      <w:pPr>
        <w:spacing w:after="0" w:line="252"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Shareholders’ equity at June 30, 2013 was $829 million, an increase of $248 million from December 31, 2012. Accumulated other comprehensive loss, which includes unrealized gains and losses on securities available-for-sale, the unrealized gains and losses on derivatives qualifying as cash flow hedges and unamortized prior service cost and actuarial gains and losses on United’s modified retirement plan, is excluded in the calculation of regulatory capital adequacy ratios. Excluding the change in the accumulated other comprehensive income, shareholders’ equity increased $238 million from December 31, 2012.</w:t>
      </w:r>
    </w:p>
    <w:p>
      <w:pPr>
        <w:spacing w:after="0" w:line="185"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United accrued $3.06 million and $6.11 million, respectively, in dividends, including accretion of discounts, on Series A, Series B and Series D preferred stock in the second quarter and first six months of 2013.</w:t>
      </w:r>
    </w:p>
    <w:p>
      <w:pPr>
        <w:spacing w:after="0" w:line="20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United granted a warrant to Fletcher International Ltd. (“Fletcher”) to purchase common stock equivalent junior preferred stock that would be convertible into 1,411,765 common shares exercisable at a price equivalent to $21.25 per share. United has received purported partial warrant exercise notices from Fletcher with respect to its warrants that include incorrect calculations of the number of settlement shares Fletcher would receive upon exercise. On June 17, 2011, United completed a reclassification of its common stock in the form of 1-for-5 reverse stock split, or recombination. United believes that any current exercise of Fletcher’s warrant would not result in the issuance of any settlement shares because the warrant may only be exercised for net shares via a cashless exercise formula, and the reverse stock split-adjusted market price component of that formula does not exceed the exercise price to yield any net shares. United responded to Fletcher with United’s calculations related to the warrant.</w:t>
      </w:r>
    </w:p>
    <w:p>
      <w:pPr>
        <w:spacing w:after="0" w:line="20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November 2011, United entered into an informal memorandum of understanding with the Federal Reserve Bank and the Georgia Department of Banking and Finance (the “Holding Company MOU”). The Holding Company MOU provides that United may not incur additional indebtedness, pay cash dividends, make payments on our trust preferred securities or subordinated indebtedness or repurchase outstanding stock without prior approval of the Federal Reserve. The Federal Reserve and the Georgia Department of Banking and Finance have also asked that United seek their approval prior to paying interest on our senior indebtedness. Additionally, the Holding Company MOU requires, among other things, that United ensures that the Bank functions in a safe and sound manner. United believes it is in compliance with all requirements of the Holding Company MOU.</w:t>
      </w:r>
    </w:p>
    <w:p>
      <w:pPr>
        <w:spacing w:after="0" w:line="20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Bank is currently subject to the Bank MOU. The Bank MOU requires, among other things, that the Bank maintain its Tier 1 leverage ratio at not less than 8% and its total risk-based capital ratio at not less than 10% during the life of the Bank MOU. Additionally, the Bank MOU requires, among other things, that prior to declaring or paying any cash dividends to United, the Bank must obtain the written consent of its regulators. The Bank believes it is in compliance with all requirements of the Bank MOU.</w:t>
      </w:r>
    </w:p>
    <w:p>
      <w:pPr>
        <w:spacing w:after="0" w:line="215"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United’s common stock trades on the Nasdaq Global Select Market under the symbol “UCBI”. Below is a quarterly schedule of high, low and closing stock prices and average daily volume for 2013 and 2012.</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15 - Stock Price Information</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24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2013</w:t>
            </w:r>
          </w:p>
        </w:tc>
        <w:tc>
          <w:tcPr>
            <w:tcW w:w="7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gridSpan w:val="3"/>
          </w:tcPr>
          <w:p>
            <w:pPr>
              <w:ind w:left="680"/>
              <w:spacing w:after="0"/>
              <w:rPr>
                <w:sz w:val="20"/>
                <w:szCs w:val="20"/>
                <w:color w:val="auto"/>
              </w:rPr>
            </w:pPr>
            <w:r>
              <w:rPr>
                <w:rFonts w:ascii="Arial" w:cs="Arial" w:eastAsia="Arial" w:hAnsi="Arial"/>
                <w:sz w:val="18"/>
                <w:szCs w:val="18"/>
                <w:b w:val="1"/>
                <w:bCs w:val="1"/>
                <w:color w:val="auto"/>
                <w:w w:val="99"/>
              </w:rPr>
              <w:t>2012</w:t>
            </w:r>
          </w:p>
        </w:tc>
        <w:tc>
          <w:tcPr>
            <w:tcW w:w="7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r>
      <w:tr>
        <w:trPr>
          <w:trHeight w:val="196"/>
        </w:trPr>
        <w:tc>
          <w:tcPr>
            <w:tcW w:w="2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jc w:val="center"/>
              <w:spacing w:after="0" w:line="196" w:lineRule="exact"/>
              <w:rPr>
                <w:sz w:val="20"/>
                <w:szCs w:val="20"/>
                <w:color w:val="auto"/>
              </w:rPr>
            </w:pPr>
            <w:r>
              <w:rPr>
                <w:rFonts w:ascii="Arial" w:cs="Arial" w:eastAsia="Arial" w:hAnsi="Arial"/>
                <w:sz w:val="18"/>
                <w:szCs w:val="18"/>
                <w:b w:val="1"/>
                <w:bCs w:val="1"/>
                <w:color w:val="auto"/>
                <w:w w:val="92"/>
              </w:rPr>
              <w:t>Avg Daily</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jc w:val="right"/>
              <w:ind w:right="91"/>
              <w:spacing w:after="0" w:line="196" w:lineRule="exact"/>
              <w:rPr>
                <w:sz w:val="20"/>
                <w:szCs w:val="20"/>
                <w:color w:val="auto"/>
              </w:rPr>
            </w:pPr>
            <w:r>
              <w:rPr>
                <w:rFonts w:ascii="Arial" w:cs="Arial" w:eastAsia="Arial" w:hAnsi="Arial"/>
                <w:sz w:val="18"/>
                <w:szCs w:val="18"/>
                <w:b w:val="1"/>
                <w:bCs w:val="1"/>
                <w:color w:val="auto"/>
                <w:w w:val="97"/>
              </w:rPr>
              <w:t>Avg Daily</w:t>
            </w:r>
          </w:p>
        </w:tc>
      </w:tr>
      <w:tr>
        <w:trPr>
          <w:trHeight w:val="239"/>
        </w:trPr>
        <w:tc>
          <w:tcPr>
            <w:tcW w:w="2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High</w:t>
            </w:r>
          </w:p>
        </w:tc>
        <w:tc>
          <w:tcPr>
            <w:tcW w:w="200" w:type="dxa"/>
            <w:vAlign w:val="bottom"/>
          </w:tcPr>
          <w:p>
            <w:pPr>
              <w:spacing w:after="0"/>
              <w:rPr>
                <w:sz w:val="20"/>
                <w:szCs w:val="20"/>
                <w:color w:val="auto"/>
              </w:rPr>
            </w:pPr>
          </w:p>
        </w:tc>
        <w:tc>
          <w:tcPr>
            <w:tcW w:w="96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Low</w:t>
            </w:r>
          </w:p>
        </w:tc>
        <w:tc>
          <w:tcPr>
            <w:tcW w:w="180" w:type="dxa"/>
            <w:vAlign w:val="bottom"/>
          </w:tcPr>
          <w:p>
            <w:pPr>
              <w:spacing w:after="0"/>
              <w:rPr>
                <w:sz w:val="20"/>
                <w:szCs w:val="20"/>
                <w:color w:val="auto"/>
              </w:rPr>
            </w:pPr>
          </w:p>
        </w:tc>
        <w:tc>
          <w:tcPr>
            <w:tcW w:w="1000" w:type="dxa"/>
            <w:vAlign w:val="bottom"/>
            <w:gridSpan w:val="2"/>
          </w:tcPr>
          <w:p>
            <w:pPr>
              <w:ind w:left="80"/>
              <w:spacing w:after="0"/>
              <w:rPr>
                <w:sz w:val="20"/>
                <w:szCs w:val="20"/>
                <w:color w:val="auto"/>
              </w:rPr>
            </w:pPr>
            <w:r>
              <w:rPr>
                <w:rFonts w:ascii="Arial" w:cs="Arial" w:eastAsia="Arial" w:hAnsi="Arial"/>
                <w:sz w:val="18"/>
                <w:szCs w:val="18"/>
                <w:b w:val="1"/>
                <w:bCs w:val="1"/>
                <w:color w:val="auto"/>
              </w:rPr>
              <w:t>Close</w:t>
            </w:r>
          </w:p>
        </w:tc>
        <w:tc>
          <w:tcPr>
            <w:tcW w:w="104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9"/>
              </w:rPr>
              <w:t>Volume</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gridSpan w:val="2"/>
          </w:tcPr>
          <w:p>
            <w:pPr>
              <w:ind w:left="80"/>
              <w:spacing w:after="0"/>
              <w:rPr>
                <w:sz w:val="20"/>
                <w:szCs w:val="20"/>
                <w:color w:val="auto"/>
              </w:rPr>
            </w:pPr>
            <w:r>
              <w:rPr>
                <w:rFonts w:ascii="Arial" w:cs="Arial" w:eastAsia="Arial" w:hAnsi="Arial"/>
                <w:sz w:val="18"/>
                <w:szCs w:val="18"/>
                <w:b w:val="1"/>
                <w:bCs w:val="1"/>
                <w:color w:val="auto"/>
              </w:rPr>
              <w:t>High</w:t>
            </w:r>
          </w:p>
        </w:tc>
        <w:tc>
          <w:tcPr>
            <w:tcW w:w="180" w:type="dxa"/>
            <w:vAlign w:val="bottom"/>
          </w:tcPr>
          <w:p>
            <w:pPr>
              <w:spacing w:after="0"/>
              <w:rPr>
                <w:sz w:val="20"/>
                <w:szCs w:val="20"/>
                <w:color w:val="auto"/>
              </w:rPr>
            </w:pPr>
          </w:p>
        </w:tc>
        <w:tc>
          <w:tcPr>
            <w:tcW w:w="920" w:type="dxa"/>
            <w:vAlign w:val="bottom"/>
            <w:gridSpan w:val="2"/>
          </w:tcPr>
          <w:p>
            <w:pPr>
              <w:ind w:left="100"/>
              <w:spacing w:after="0"/>
              <w:rPr>
                <w:sz w:val="20"/>
                <w:szCs w:val="20"/>
                <w:color w:val="auto"/>
              </w:rPr>
            </w:pPr>
            <w:r>
              <w:rPr>
                <w:rFonts w:ascii="Arial" w:cs="Arial" w:eastAsia="Arial" w:hAnsi="Arial"/>
                <w:sz w:val="18"/>
                <w:szCs w:val="18"/>
                <w:b w:val="1"/>
                <w:bCs w:val="1"/>
                <w:color w:val="auto"/>
              </w:rPr>
              <w:t>Low</w:t>
            </w:r>
          </w:p>
        </w:tc>
        <w:tc>
          <w:tcPr>
            <w:tcW w:w="180" w:type="dxa"/>
            <w:vAlign w:val="bottom"/>
          </w:tcPr>
          <w:p>
            <w:pPr>
              <w:spacing w:after="0"/>
              <w:rPr>
                <w:sz w:val="20"/>
                <w:szCs w:val="20"/>
                <w:color w:val="auto"/>
              </w:rPr>
            </w:pPr>
          </w:p>
        </w:tc>
        <w:tc>
          <w:tcPr>
            <w:tcW w:w="94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w w:val="93"/>
              </w:rPr>
              <w:t>Close</w:t>
            </w:r>
          </w:p>
        </w:tc>
        <w:tc>
          <w:tcPr>
            <w:tcW w:w="1000" w:type="dxa"/>
            <w:vAlign w:val="bottom"/>
          </w:tcPr>
          <w:p>
            <w:pPr>
              <w:jc w:val="right"/>
              <w:ind w:right="171"/>
              <w:spacing w:after="0"/>
              <w:rPr>
                <w:sz w:val="20"/>
                <w:szCs w:val="20"/>
                <w:color w:val="auto"/>
              </w:rPr>
            </w:pPr>
            <w:r>
              <w:rPr>
                <w:rFonts w:ascii="Arial" w:cs="Arial" w:eastAsia="Arial" w:hAnsi="Arial"/>
                <w:sz w:val="18"/>
                <w:szCs w:val="18"/>
                <w:b w:val="1"/>
                <w:bCs w:val="1"/>
                <w:color w:val="auto"/>
              </w:rPr>
              <w:t>Volume</w:t>
            </w:r>
          </w:p>
        </w:tc>
      </w:tr>
      <w:tr>
        <w:trPr>
          <w:trHeight w:val="200"/>
        </w:trPr>
        <w:tc>
          <w:tcPr>
            <w:tcW w:w="2420" w:type="dxa"/>
            <w:vAlign w:val="bottom"/>
          </w:tcPr>
          <w:p>
            <w:pPr>
              <w:spacing w:after="0" w:line="200" w:lineRule="exact"/>
              <w:rPr>
                <w:sz w:val="20"/>
                <w:szCs w:val="20"/>
                <w:color w:val="auto"/>
              </w:rPr>
            </w:pPr>
            <w:r>
              <w:rPr>
                <w:rFonts w:ascii="Arial" w:cs="Arial" w:eastAsia="Arial" w:hAnsi="Arial"/>
                <w:sz w:val="18"/>
                <w:szCs w:val="18"/>
                <w:color w:val="auto"/>
              </w:rPr>
              <w:t>First quarter</w:t>
            </w:r>
          </w:p>
        </w:tc>
        <w:tc>
          <w:tcPr>
            <w:tcW w:w="180" w:type="dxa"/>
            <w:vAlign w:val="bottom"/>
            <w:tcBorders>
              <w:top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tcPr>
          <w:p>
            <w:pPr>
              <w:jc w:val="right"/>
              <w:spacing w:after="0" w:line="200" w:lineRule="exact"/>
              <w:rPr>
                <w:sz w:val="20"/>
                <w:szCs w:val="20"/>
                <w:color w:val="auto"/>
              </w:rPr>
            </w:pPr>
            <w:r>
              <w:rPr>
                <w:rFonts w:ascii="Arial" w:cs="Arial" w:eastAsia="Arial" w:hAnsi="Arial"/>
                <w:sz w:val="18"/>
                <w:szCs w:val="18"/>
                <w:color w:val="auto"/>
              </w:rPr>
              <w:t>11.57</w:t>
            </w:r>
          </w:p>
        </w:tc>
        <w:tc>
          <w:tcPr>
            <w:tcW w:w="240" w:type="dxa"/>
            <w:vAlign w:val="bottom"/>
          </w:tcPr>
          <w:p>
            <w:pPr>
              <w:spacing w:after="0"/>
              <w:rPr>
                <w:sz w:val="17"/>
                <w:szCs w:val="17"/>
                <w:color w:val="auto"/>
              </w:rPr>
            </w:pPr>
          </w:p>
        </w:tc>
        <w:tc>
          <w:tcPr>
            <w:tcW w:w="200" w:type="dxa"/>
            <w:vAlign w:val="bottom"/>
            <w:tcBorders>
              <w:top w:val="single" w:sz="8" w:color="auto"/>
            </w:tcBorders>
          </w:tcPr>
          <w:p>
            <w:pPr>
              <w:jc w:val="right"/>
              <w:ind w:right="11"/>
              <w:spacing w:after="0" w:line="200" w:lineRule="exact"/>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tcPr>
          <w:p>
            <w:pPr>
              <w:jc w:val="right"/>
              <w:spacing w:after="0" w:line="200" w:lineRule="exact"/>
              <w:rPr>
                <w:sz w:val="20"/>
                <w:szCs w:val="20"/>
                <w:color w:val="auto"/>
              </w:rPr>
            </w:pPr>
            <w:r>
              <w:rPr>
                <w:rFonts w:ascii="Arial" w:cs="Arial" w:eastAsia="Arial" w:hAnsi="Arial"/>
                <w:sz w:val="18"/>
                <w:szCs w:val="18"/>
                <w:color w:val="auto"/>
              </w:rPr>
              <w:t>9.59</w:t>
            </w:r>
          </w:p>
        </w:tc>
        <w:tc>
          <w:tcPr>
            <w:tcW w:w="240" w:type="dxa"/>
            <w:vAlign w:val="bottom"/>
          </w:tcPr>
          <w:p>
            <w:pPr>
              <w:spacing w:after="0"/>
              <w:rPr>
                <w:sz w:val="17"/>
                <w:szCs w:val="17"/>
                <w:color w:val="auto"/>
              </w:rPr>
            </w:pPr>
          </w:p>
        </w:tc>
        <w:tc>
          <w:tcPr>
            <w:tcW w:w="180" w:type="dxa"/>
            <w:vAlign w:val="bottom"/>
            <w:tcBorders>
              <w:top w:val="single" w:sz="8" w:color="auto"/>
            </w:tcBorders>
          </w:tcPr>
          <w:p>
            <w:pPr>
              <w:jc w:val="right"/>
              <w:spacing w:after="0" w:line="200" w:lineRule="exact"/>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tcPr>
          <w:p>
            <w:pPr>
              <w:jc w:val="right"/>
              <w:spacing w:after="0" w:line="200" w:lineRule="exact"/>
              <w:rPr>
                <w:sz w:val="20"/>
                <w:szCs w:val="20"/>
                <w:color w:val="auto"/>
              </w:rPr>
            </w:pPr>
            <w:r>
              <w:rPr>
                <w:rFonts w:ascii="Arial" w:cs="Arial" w:eastAsia="Arial" w:hAnsi="Arial"/>
                <w:sz w:val="18"/>
                <w:szCs w:val="18"/>
                <w:color w:val="auto"/>
              </w:rPr>
              <w:t>11.34</w:t>
            </w:r>
          </w:p>
        </w:tc>
        <w:tc>
          <w:tcPr>
            <w:tcW w:w="240" w:type="dxa"/>
            <w:vAlign w:val="bottom"/>
          </w:tcPr>
          <w:p>
            <w:pPr>
              <w:spacing w:after="0"/>
              <w:rPr>
                <w:sz w:val="17"/>
                <w:szCs w:val="17"/>
                <w:color w:val="auto"/>
              </w:rPr>
            </w:pPr>
          </w:p>
        </w:tc>
        <w:tc>
          <w:tcPr>
            <w:tcW w:w="920" w:type="dxa"/>
            <w:vAlign w:val="bottom"/>
            <w:tcBorders>
              <w:top w:val="single" w:sz="8" w:color="auto"/>
            </w:tcBorders>
          </w:tcPr>
          <w:p>
            <w:pPr>
              <w:jc w:val="right"/>
              <w:spacing w:after="0" w:line="200" w:lineRule="exact"/>
              <w:rPr>
                <w:sz w:val="20"/>
                <w:szCs w:val="20"/>
                <w:color w:val="auto"/>
              </w:rPr>
            </w:pPr>
            <w:r>
              <w:rPr>
                <w:rFonts w:ascii="Arial" w:cs="Arial" w:eastAsia="Arial" w:hAnsi="Arial"/>
                <w:sz w:val="18"/>
                <w:szCs w:val="18"/>
                <w:color w:val="auto"/>
              </w:rPr>
              <w:t>195,803</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top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tcPr>
          <w:p>
            <w:pPr>
              <w:jc w:val="right"/>
              <w:spacing w:after="0" w:line="200" w:lineRule="exact"/>
              <w:rPr>
                <w:sz w:val="20"/>
                <w:szCs w:val="20"/>
                <w:color w:val="auto"/>
              </w:rPr>
            </w:pPr>
            <w:r>
              <w:rPr>
                <w:rFonts w:ascii="Arial" w:cs="Arial" w:eastAsia="Arial" w:hAnsi="Arial"/>
                <w:sz w:val="18"/>
                <w:szCs w:val="18"/>
                <w:color w:val="auto"/>
              </w:rPr>
              <w:t>10.30</w:t>
            </w:r>
          </w:p>
        </w:tc>
        <w:tc>
          <w:tcPr>
            <w:tcW w:w="220" w:type="dxa"/>
            <w:vAlign w:val="bottom"/>
          </w:tcPr>
          <w:p>
            <w:pPr>
              <w:spacing w:after="0"/>
              <w:rPr>
                <w:sz w:val="17"/>
                <w:szCs w:val="17"/>
                <w:color w:val="auto"/>
              </w:rPr>
            </w:pPr>
          </w:p>
        </w:tc>
        <w:tc>
          <w:tcPr>
            <w:tcW w:w="180" w:type="dxa"/>
            <w:vAlign w:val="bottom"/>
            <w:tcBorders>
              <w:top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tcPr>
          <w:p>
            <w:pPr>
              <w:ind w:left="400"/>
              <w:spacing w:after="0" w:line="200" w:lineRule="exact"/>
              <w:rPr>
                <w:sz w:val="20"/>
                <w:szCs w:val="20"/>
                <w:color w:val="auto"/>
              </w:rPr>
            </w:pPr>
            <w:r>
              <w:rPr>
                <w:rFonts w:ascii="Arial" w:cs="Arial" w:eastAsia="Arial" w:hAnsi="Arial"/>
                <w:sz w:val="18"/>
                <w:szCs w:val="18"/>
                <w:color w:val="auto"/>
                <w:w w:val="79"/>
              </w:rPr>
              <w:t>6.37</w:t>
            </w:r>
          </w:p>
        </w:tc>
        <w:tc>
          <w:tcPr>
            <w:tcW w:w="220" w:type="dxa"/>
            <w:vAlign w:val="bottom"/>
          </w:tcPr>
          <w:p>
            <w:pPr>
              <w:spacing w:after="0"/>
              <w:rPr>
                <w:sz w:val="17"/>
                <w:szCs w:val="17"/>
                <w:color w:val="auto"/>
              </w:rPr>
            </w:pPr>
          </w:p>
        </w:tc>
        <w:tc>
          <w:tcPr>
            <w:tcW w:w="180" w:type="dxa"/>
            <w:vAlign w:val="bottom"/>
            <w:tcBorders>
              <w:top w:val="single" w:sz="8" w:color="auto"/>
            </w:tcBorders>
          </w:tcPr>
          <w:p>
            <w:pPr>
              <w:jc w:val="right"/>
              <w:spacing w:after="0" w:line="200" w:lineRule="exact"/>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tcPr>
          <w:p>
            <w:pPr>
              <w:jc w:val="right"/>
              <w:spacing w:after="0" w:line="200" w:lineRule="exact"/>
              <w:rPr>
                <w:sz w:val="20"/>
                <w:szCs w:val="20"/>
                <w:color w:val="auto"/>
              </w:rPr>
            </w:pPr>
            <w:r>
              <w:rPr>
                <w:rFonts w:ascii="Arial" w:cs="Arial" w:eastAsia="Arial" w:hAnsi="Arial"/>
                <w:sz w:val="18"/>
                <w:szCs w:val="18"/>
                <w:color w:val="auto"/>
              </w:rPr>
              <w:t>9.75</w:t>
            </w:r>
          </w:p>
        </w:tc>
        <w:tc>
          <w:tcPr>
            <w:tcW w:w="220" w:type="dxa"/>
            <w:vAlign w:val="bottom"/>
          </w:tcPr>
          <w:p>
            <w:pPr>
              <w:spacing w:after="0"/>
              <w:rPr>
                <w:sz w:val="17"/>
                <w:szCs w:val="17"/>
                <w:color w:val="auto"/>
              </w:rPr>
            </w:pPr>
          </w:p>
        </w:tc>
        <w:tc>
          <w:tcPr>
            <w:tcW w:w="1000" w:type="dxa"/>
            <w:vAlign w:val="bottom"/>
            <w:tcBorders>
              <w:top w:val="single" w:sz="8" w:color="auto"/>
            </w:tcBorders>
          </w:tcPr>
          <w:p>
            <w:pPr>
              <w:jc w:val="right"/>
              <w:ind w:right="11"/>
              <w:spacing w:after="0" w:line="200" w:lineRule="exact"/>
              <w:rPr>
                <w:sz w:val="20"/>
                <w:szCs w:val="20"/>
                <w:color w:val="auto"/>
              </w:rPr>
            </w:pPr>
            <w:r>
              <w:rPr>
                <w:rFonts w:ascii="Arial" w:cs="Arial" w:eastAsia="Arial" w:hAnsi="Arial"/>
                <w:sz w:val="18"/>
                <w:szCs w:val="18"/>
                <w:color w:val="auto"/>
              </w:rPr>
              <w:t>142,987</w:t>
            </w:r>
          </w:p>
        </w:tc>
      </w:tr>
      <w:tr>
        <w:trPr>
          <w:trHeight w:val="214"/>
        </w:trPr>
        <w:tc>
          <w:tcPr>
            <w:tcW w:w="2420" w:type="dxa"/>
            <w:vAlign w:val="bottom"/>
          </w:tcPr>
          <w:p>
            <w:pPr>
              <w:spacing w:after="0"/>
              <w:rPr>
                <w:sz w:val="20"/>
                <w:szCs w:val="20"/>
                <w:color w:val="auto"/>
              </w:rPr>
            </w:pPr>
            <w:r>
              <w:rPr>
                <w:rFonts w:ascii="Arial" w:cs="Arial" w:eastAsia="Arial" w:hAnsi="Arial"/>
                <w:sz w:val="18"/>
                <w:szCs w:val="18"/>
                <w:color w:val="auto"/>
              </w:rPr>
              <w:t>Second quarter</w:t>
            </w:r>
          </w:p>
        </w:tc>
        <w:tc>
          <w:tcPr>
            <w:tcW w:w="18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12.94</w:t>
            </w:r>
          </w:p>
        </w:tc>
        <w:tc>
          <w:tcPr>
            <w:tcW w:w="20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10.15</w:t>
            </w: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12.42</w:t>
            </w:r>
          </w:p>
        </w:tc>
        <w:tc>
          <w:tcPr>
            <w:tcW w:w="24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184,922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9.77</w:t>
            </w:r>
          </w:p>
        </w:tc>
        <w:tc>
          <w:tcPr>
            <w:tcW w:w="180" w:type="dxa"/>
            <w:vAlign w:val="bottom"/>
          </w:tcPr>
          <w:p>
            <w:pPr>
              <w:spacing w:after="0"/>
              <w:rPr>
                <w:sz w:val="18"/>
                <w:szCs w:val="18"/>
                <w:color w:val="auto"/>
              </w:rPr>
            </w:pPr>
          </w:p>
        </w:tc>
        <w:tc>
          <w:tcPr>
            <w:tcW w:w="920" w:type="dxa"/>
            <w:vAlign w:val="bottom"/>
            <w:gridSpan w:val="2"/>
          </w:tcPr>
          <w:p>
            <w:pPr>
              <w:ind w:left="400"/>
              <w:spacing w:after="0"/>
              <w:rPr>
                <w:sz w:val="20"/>
                <w:szCs w:val="20"/>
                <w:color w:val="auto"/>
              </w:rPr>
            </w:pPr>
            <w:r>
              <w:rPr>
                <w:rFonts w:ascii="Arial" w:cs="Arial" w:eastAsia="Arial" w:hAnsi="Arial"/>
                <w:sz w:val="18"/>
                <w:szCs w:val="18"/>
                <w:color w:val="auto"/>
              </w:rPr>
              <w:t>7.76</w:t>
            </w:r>
          </w:p>
        </w:tc>
        <w:tc>
          <w:tcPr>
            <w:tcW w:w="1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8.57</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145,132</w:t>
            </w:r>
          </w:p>
        </w:tc>
      </w:tr>
      <w:tr>
        <w:trPr>
          <w:trHeight w:val="214"/>
        </w:trPr>
        <w:tc>
          <w:tcPr>
            <w:tcW w:w="2420" w:type="dxa"/>
            <w:vAlign w:val="bottom"/>
          </w:tcPr>
          <w:p>
            <w:pPr>
              <w:spacing w:after="0"/>
              <w:rPr>
                <w:sz w:val="20"/>
                <w:szCs w:val="20"/>
                <w:color w:val="auto"/>
              </w:rPr>
            </w:pPr>
            <w:r>
              <w:rPr>
                <w:rFonts w:ascii="Arial" w:cs="Arial" w:eastAsia="Arial" w:hAnsi="Arial"/>
                <w:sz w:val="18"/>
                <w:szCs w:val="18"/>
                <w:color w:val="auto"/>
              </w:rPr>
              <w:t>Third quarter</w:t>
            </w: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8.82</w:t>
            </w:r>
          </w:p>
        </w:tc>
        <w:tc>
          <w:tcPr>
            <w:tcW w:w="180" w:type="dxa"/>
            <w:vAlign w:val="bottom"/>
          </w:tcPr>
          <w:p>
            <w:pPr>
              <w:spacing w:after="0"/>
              <w:rPr>
                <w:sz w:val="18"/>
                <w:szCs w:val="18"/>
                <w:color w:val="auto"/>
              </w:rPr>
            </w:pPr>
          </w:p>
        </w:tc>
        <w:tc>
          <w:tcPr>
            <w:tcW w:w="920" w:type="dxa"/>
            <w:vAlign w:val="bottom"/>
            <w:gridSpan w:val="2"/>
          </w:tcPr>
          <w:p>
            <w:pPr>
              <w:ind w:left="400"/>
              <w:spacing w:after="0"/>
              <w:rPr>
                <w:sz w:val="20"/>
                <w:szCs w:val="20"/>
                <w:color w:val="auto"/>
              </w:rPr>
            </w:pPr>
            <w:r>
              <w:rPr>
                <w:rFonts w:ascii="Arial" w:cs="Arial" w:eastAsia="Arial" w:hAnsi="Arial"/>
                <w:sz w:val="18"/>
                <w:szCs w:val="18"/>
                <w:color w:val="auto"/>
              </w:rPr>
              <w:t>6.12</w:t>
            </w:r>
          </w:p>
        </w:tc>
        <w:tc>
          <w:tcPr>
            <w:tcW w:w="1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8.39</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329,475</w:t>
            </w:r>
          </w:p>
        </w:tc>
      </w:tr>
      <w:tr>
        <w:trPr>
          <w:trHeight w:val="227"/>
        </w:trPr>
        <w:tc>
          <w:tcPr>
            <w:tcW w:w="2420" w:type="dxa"/>
            <w:vAlign w:val="bottom"/>
          </w:tcPr>
          <w:p>
            <w:pPr>
              <w:spacing w:after="0"/>
              <w:rPr>
                <w:sz w:val="20"/>
                <w:szCs w:val="20"/>
                <w:color w:val="auto"/>
              </w:rPr>
            </w:pPr>
            <w:r>
              <w:rPr>
                <w:rFonts w:ascii="Arial" w:cs="Arial" w:eastAsia="Arial" w:hAnsi="Arial"/>
                <w:sz w:val="18"/>
                <w:szCs w:val="18"/>
                <w:color w:val="auto"/>
              </w:rPr>
              <w:t>Fourth quarter</w:t>
            </w: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9.49</w:t>
            </w:r>
          </w:p>
        </w:tc>
        <w:tc>
          <w:tcPr>
            <w:tcW w:w="180" w:type="dxa"/>
            <w:vAlign w:val="bottom"/>
          </w:tcPr>
          <w:p>
            <w:pPr>
              <w:spacing w:after="0"/>
              <w:rPr>
                <w:sz w:val="19"/>
                <w:szCs w:val="19"/>
                <w:color w:val="auto"/>
              </w:rPr>
            </w:pPr>
          </w:p>
        </w:tc>
        <w:tc>
          <w:tcPr>
            <w:tcW w:w="920" w:type="dxa"/>
            <w:vAlign w:val="bottom"/>
            <w:gridSpan w:val="2"/>
          </w:tcPr>
          <w:p>
            <w:pPr>
              <w:ind w:left="400"/>
              <w:spacing w:after="0"/>
              <w:rPr>
                <w:sz w:val="20"/>
                <w:szCs w:val="20"/>
                <w:color w:val="auto"/>
              </w:rPr>
            </w:pPr>
            <w:r>
              <w:rPr>
                <w:rFonts w:ascii="Arial" w:cs="Arial" w:eastAsia="Arial" w:hAnsi="Arial"/>
                <w:sz w:val="18"/>
                <w:szCs w:val="18"/>
                <w:color w:val="auto"/>
              </w:rPr>
              <w:t>8.01</w:t>
            </w:r>
          </w:p>
        </w:tc>
        <w:tc>
          <w:tcPr>
            <w:tcW w:w="180" w:type="dxa"/>
            <w:vAlign w:val="bottom"/>
          </w:tcPr>
          <w:p>
            <w:pPr>
              <w:spacing w:after="0"/>
              <w:rPr>
                <w:sz w:val="19"/>
                <w:szCs w:val="19"/>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9.44</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202,871</w:t>
            </w:r>
          </w:p>
        </w:tc>
      </w:tr>
    </w:tbl>
    <w:p>
      <w:pPr>
        <w:spacing w:after="0" w:line="228"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Board of Governors of the Federal Reserve has issued guidelines for the implementation of risk-based capital requirements by U.S. banks and bank holding companies. These risk-based capital guidelines take into consideration risk factors, as defined by regulators, associated with various categories of assets, both on and off-balance sheet. Under the guidelines, capital strength is measured in two tiers that are used in conjunction with risk-weighted assets to determine the risk-based capital ratios. The guidelines require an 8% total risk-based capital ratio, of which 4% must be Tier I capital. However, to be considered well-capitalized under the guidelines, a 10% total risk-based capital ratio is required, of which 6% must be Tier I capital.</w:t>
      </w:r>
    </w:p>
    <w:p>
      <w:pPr>
        <w:spacing w:after="0" w:line="190"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Under the risk-based capital guidelines, assets and credit equivalent amounts of derivatives and off-balance sheet items are assigned to one of several broad risk categories according to the obligor, or, if relevant, the guarantor or the nature of the collateral. The aggregate dollar amount in each risk category is then multiplied by the risk weight associated with the category. The resulting weighted values from each of the risk categories are added together, and generally this sum is the company’s total risk weighted assets. Risk-weighted assets for purposes of United’s capital ratios are calculated under these guidelines.</w:t>
      </w:r>
    </w:p>
    <w:p>
      <w:pPr>
        <w:spacing w:after="0" w:line="18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 minimum leverage ratio is required in addition to the risk-based capital standards and is defined as Tier I capital divided by average assets adjusted for goodwill and deposit-based intangibles. Although a minimum leverage ratio of 3% is required, the Federal Reserve Board requires a bank holding company to maintain a leverage ratio greater than 3% if it is experiencing or anticipating significant growth or is operating with less than well-diversified risks in the opinion of the Federal Reserve Board. The Federal Reserve Board uses the leverage and risk-based capital ratios to assess capital adequacy of banks and bank holding companies.</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13970</wp:posOffset>
            </wp:positionV>
            <wp:extent cx="724789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7890" cy="8255"/>
                    </a:xfrm>
                    <a:prstGeom prst="rect">
                      <a:avLst/>
                    </a:prstGeom>
                    <a:noFill/>
                  </pic:spPr>
                </pic:pic>
              </a:graphicData>
            </a:graphic>
          </wp:anchor>
        </w:drawing>
      </w:r>
    </w:p>
    <w:p>
      <w:pPr>
        <w:sectPr>
          <w:pgSz w:w="11900" w:h="16838" w:orient="portrait"/>
          <w:cols w:equalWidth="0" w:num="1">
            <w:col w:w="11420"/>
          </w:cols>
          <w:pgMar w:left="240" w:top="670" w:right="239" w:bottom="1440" w:gutter="0" w:footer="0" w:header="0"/>
        </w:sectPr>
      </w:pPr>
    </w:p>
    <w:bookmarkStart w:id="64" w:name="page65"/>
    <w:bookmarkEnd w:id="64"/>
    <w:p>
      <w:pPr>
        <w:spacing w:after="0"/>
        <w:rPr>
          <w:sz w:val="20"/>
          <w:szCs w:val="20"/>
          <w:color w:val="auto"/>
        </w:rPr>
      </w:pPr>
      <w:r>
        <w:rPr>
          <w:rFonts w:ascii="Arial" w:cs="Arial" w:eastAsia="Arial" w:hAnsi="Arial"/>
          <w:sz w:val="17"/>
          <w:szCs w:val="17"/>
          <w:color w:val="auto"/>
        </w:rPr>
        <w:t>The following table shows United’s capital ratios, as calculated under regulatory guidelines, at June 30, 2013, December 31, 2012 and June 30, 2012.</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16 - Capital Ratios</w:t>
      </w:r>
    </w:p>
    <w:p>
      <w:pPr>
        <w:spacing w:after="0" w:line="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(dollars in thousands)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2060" w:type="dxa"/>
            <w:vAlign w:val="bottom"/>
          </w:tcPr>
          <w:p>
            <w:pPr>
              <w:spacing w:after="0"/>
              <w:rPr>
                <w:sz w:val="18"/>
                <w:szCs w:val="18"/>
                <w:color w:val="auto"/>
              </w:rPr>
            </w:pPr>
          </w:p>
        </w:tc>
        <w:tc>
          <w:tcPr>
            <w:tcW w:w="2320" w:type="dxa"/>
            <w:vAlign w:val="bottom"/>
            <w:gridSpan w:val="4"/>
          </w:tcPr>
          <w:p>
            <w:pPr>
              <w:ind w:left="600"/>
              <w:spacing w:after="0"/>
              <w:rPr>
                <w:sz w:val="20"/>
                <w:szCs w:val="20"/>
                <w:color w:val="auto"/>
              </w:rPr>
            </w:pPr>
            <w:r>
              <w:rPr>
                <w:rFonts w:ascii="Arial" w:cs="Arial" w:eastAsia="Arial" w:hAnsi="Arial"/>
                <w:sz w:val="18"/>
                <w:szCs w:val="18"/>
                <w:b w:val="1"/>
                <w:bCs w:val="1"/>
                <w:color w:val="auto"/>
              </w:rPr>
              <w:t>Regulatory</w:t>
            </w:r>
          </w:p>
        </w:tc>
        <w:tc>
          <w:tcPr>
            <w:tcW w:w="3580" w:type="dxa"/>
            <w:vAlign w:val="bottom"/>
            <w:gridSpan w:val="9"/>
          </w:tcPr>
          <w:p>
            <w:pPr>
              <w:jc w:val="center"/>
              <w:ind w:right="280"/>
              <w:spacing w:after="0"/>
              <w:rPr>
                <w:sz w:val="20"/>
                <w:szCs w:val="20"/>
                <w:color w:val="auto"/>
              </w:rPr>
            </w:pPr>
            <w:r>
              <w:rPr>
                <w:rFonts w:ascii="Arial" w:cs="Arial" w:eastAsia="Arial" w:hAnsi="Arial"/>
                <w:sz w:val="18"/>
                <w:szCs w:val="18"/>
                <w:b w:val="1"/>
                <w:bCs w:val="1"/>
                <w:color w:val="auto"/>
                <w:w w:val="91"/>
              </w:rPr>
              <w:t>United Community Banks, Inc.</w:t>
            </w: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39"/>
        </w:trPr>
        <w:tc>
          <w:tcPr>
            <w:tcW w:w="2060" w:type="dxa"/>
            <w:vAlign w:val="bottom"/>
          </w:tcPr>
          <w:p>
            <w:pPr>
              <w:spacing w:after="0"/>
              <w:rPr>
                <w:sz w:val="20"/>
                <w:szCs w:val="20"/>
                <w:color w:val="auto"/>
              </w:rPr>
            </w:pPr>
          </w:p>
        </w:tc>
        <w:tc>
          <w:tcPr>
            <w:tcW w:w="2320" w:type="dxa"/>
            <w:vAlign w:val="bottom"/>
            <w:gridSpan w:val="4"/>
          </w:tcPr>
          <w:p>
            <w:pPr>
              <w:ind w:left="620"/>
              <w:spacing w:after="0"/>
              <w:rPr>
                <w:sz w:val="20"/>
                <w:szCs w:val="20"/>
                <w:color w:val="auto"/>
              </w:rPr>
            </w:pPr>
            <w:r>
              <w:rPr>
                <w:rFonts w:ascii="Arial" w:cs="Arial" w:eastAsia="Arial" w:hAnsi="Arial"/>
                <w:sz w:val="18"/>
                <w:szCs w:val="18"/>
                <w:b w:val="1"/>
                <w:bCs w:val="1"/>
                <w:color w:val="auto"/>
              </w:rPr>
              <w:t>Guidelines</w:t>
            </w: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gridSpan w:val="4"/>
          </w:tcPr>
          <w:p>
            <w:pPr>
              <w:ind w:left="60"/>
              <w:spacing w:after="0"/>
              <w:rPr>
                <w:sz w:val="20"/>
                <w:szCs w:val="20"/>
                <w:color w:val="auto"/>
              </w:rPr>
            </w:pPr>
            <w:r>
              <w:rPr>
                <w:rFonts w:ascii="Arial" w:cs="Arial" w:eastAsia="Arial" w:hAnsi="Arial"/>
                <w:sz w:val="18"/>
                <w:szCs w:val="18"/>
                <w:b w:val="1"/>
                <w:bCs w:val="1"/>
                <w:color w:val="auto"/>
                <w:w w:val="96"/>
              </w:rPr>
              <w:t>(Consolidated)</w:t>
            </w:r>
          </w:p>
        </w:tc>
        <w:tc>
          <w:tcPr>
            <w:tcW w:w="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440" w:type="dxa"/>
            <w:vAlign w:val="bottom"/>
            <w:gridSpan w:val="8"/>
          </w:tcPr>
          <w:p>
            <w:pPr>
              <w:jc w:val="right"/>
              <w:ind w:right="780"/>
              <w:spacing w:after="0"/>
              <w:rPr>
                <w:sz w:val="20"/>
                <w:szCs w:val="20"/>
                <w:color w:val="auto"/>
              </w:rPr>
            </w:pPr>
            <w:r>
              <w:rPr>
                <w:rFonts w:ascii="Arial" w:cs="Arial" w:eastAsia="Arial" w:hAnsi="Arial"/>
                <w:sz w:val="18"/>
                <w:szCs w:val="18"/>
                <w:b w:val="1"/>
                <w:bCs w:val="1"/>
                <w:color w:val="auto"/>
              </w:rPr>
              <w:t>United Community Bank</w:t>
            </w:r>
          </w:p>
        </w:tc>
      </w:tr>
      <w:tr>
        <w:trPr>
          <w:trHeight w:val="196"/>
        </w:trPr>
        <w:tc>
          <w:tcPr>
            <w:tcW w:w="2060" w:type="dxa"/>
            <w:vAlign w:val="bottom"/>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ind w:right="171"/>
              <w:spacing w:after="0" w:line="196" w:lineRule="exact"/>
              <w:rPr>
                <w:sz w:val="20"/>
                <w:szCs w:val="20"/>
                <w:color w:val="auto"/>
              </w:rPr>
            </w:pPr>
            <w:r>
              <w:rPr>
                <w:rFonts w:ascii="Arial" w:cs="Arial" w:eastAsia="Arial" w:hAnsi="Arial"/>
                <w:sz w:val="18"/>
                <w:szCs w:val="18"/>
                <w:b w:val="1"/>
                <w:bCs w:val="1"/>
                <w:color w:val="auto"/>
              </w:rPr>
              <w:t>Well</w:t>
            </w:r>
          </w:p>
        </w:tc>
        <w:tc>
          <w:tcPr>
            <w:tcW w:w="280" w:type="dxa"/>
            <w:vAlign w:val="bottom"/>
          </w:tcPr>
          <w:p>
            <w:pPr>
              <w:spacing w:after="0"/>
              <w:rPr>
                <w:sz w:val="17"/>
                <w:szCs w:val="17"/>
                <w:color w:val="auto"/>
              </w:rPr>
            </w:pPr>
          </w:p>
        </w:tc>
        <w:tc>
          <w:tcPr>
            <w:tcW w:w="1080" w:type="dxa"/>
            <w:vAlign w:val="bottom"/>
            <w:tcBorders>
              <w:top w:val="single" w:sz="8" w:color="auto"/>
            </w:tcBorders>
            <w:gridSpan w:val="2"/>
          </w:tcPr>
          <w:p>
            <w:pPr>
              <w:jc w:val="center"/>
              <w:ind w:right="220"/>
              <w:spacing w:after="0" w:line="196" w:lineRule="exact"/>
              <w:rPr>
                <w:sz w:val="20"/>
                <w:szCs w:val="20"/>
                <w:color w:val="auto"/>
              </w:rPr>
            </w:pPr>
            <w:r>
              <w:rPr>
                <w:rFonts w:ascii="Arial" w:cs="Arial" w:eastAsia="Arial" w:hAnsi="Arial"/>
                <w:sz w:val="18"/>
                <w:szCs w:val="18"/>
                <w:b w:val="1"/>
                <w:bCs w:val="1"/>
                <w:color w:val="auto"/>
                <w:w w:val="85"/>
              </w:rPr>
              <w:t>June 30,</w:t>
            </w:r>
          </w:p>
        </w:tc>
        <w:tc>
          <w:tcPr>
            <w:tcW w:w="1300" w:type="dxa"/>
            <w:vAlign w:val="bottom"/>
            <w:tcBorders>
              <w:top w:val="single" w:sz="8" w:color="auto"/>
            </w:tcBorders>
            <w:gridSpan w:val="4"/>
          </w:tcPr>
          <w:p>
            <w:pPr>
              <w:ind w:left="60"/>
              <w:spacing w:after="0" w:line="196" w:lineRule="exact"/>
              <w:rPr>
                <w:sz w:val="20"/>
                <w:szCs w:val="20"/>
                <w:color w:val="auto"/>
              </w:rPr>
            </w:pPr>
            <w:r>
              <w:rPr>
                <w:rFonts w:ascii="Arial" w:cs="Arial" w:eastAsia="Arial" w:hAnsi="Arial"/>
                <w:sz w:val="18"/>
                <w:szCs w:val="18"/>
                <w:b w:val="1"/>
                <w:bCs w:val="1"/>
                <w:color w:val="auto"/>
              </w:rPr>
              <w:t>December 31,</w:t>
            </w:r>
          </w:p>
        </w:tc>
        <w:tc>
          <w:tcPr>
            <w:tcW w:w="6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jc w:val="center"/>
              <w:spacing w:after="0" w:line="196" w:lineRule="exact"/>
              <w:rPr>
                <w:sz w:val="20"/>
                <w:szCs w:val="20"/>
                <w:color w:val="auto"/>
              </w:rPr>
            </w:pPr>
            <w:r>
              <w:rPr>
                <w:rFonts w:ascii="Arial" w:cs="Arial" w:eastAsia="Arial" w:hAnsi="Arial"/>
                <w:sz w:val="18"/>
                <w:szCs w:val="18"/>
                <w:b w:val="1"/>
                <w:bCs w:val="1"/>
                <w:color w:val="auto"/>
                <w:w w:val="85"/>
              </w:rPr>
              <w:t>June 30,</w:t>
            </w:r>
          </w:p>
        </w:tc>
        <w:tc>
          <w:tcPr>
            <w:tcW w:w="280" w:type="dxa"/>
            <w:vAlign w:val="bottom"/>
          </w:tcPr>
          <w:p>
            <w:pPr>
              <w:spacing w:after="0"/>
              <w:rPr>
                <w:sz w:val="17"/>
                <w:szCs w:val="17"/>
                <w:color w:val="auto"/>
              </w:rPr>
            </w:pPr>
          </w:p>
        </w:tc>
        <w:tc>
          <w:tcPr>
            <w:tcW w:w="1080" w:type="dxa"/>
            <w:vAlign w:val="bottom"/>
            <w:tcBorders>
              <w:top w:val="single" w:sz="8" w:color="auto"/>
            </w:tcBorders>
            <w:gridSpan w:val="2"/>
          </w:tcPr>
          <w:p>
            <w:pPr>
              <w:jc w:val="center"/>
              <w:ind w:right="240"/>
              <w:spacing w:after="0" w:line="196" w:lineRule="exact"/>
              <w:rPr>
                <w:sz w:val="20"/>
                <w:szCs w:val="20"/>
                <w:color w:val="auto"/>
              </w:rPr>
            </w:pPr>
            <w:r>
              <w:rPr>
                <w:rFonts w:ascii="Arial" w:cs="Arial" w:eastAsia="Arial" w:hAnsi="Arial"/>
                <w:sz w:val="18"/>
                <w:szCs w:val="18"/>
                <w:b w:val="1"/>
                <w:bCs w:val="1"/>
                <w:color w:val="auto"/>
                <w:w w:val="88"/>
              </w:rPr>
              <w:t>June 30,</w:t>
            </w:r>
          </w:p>
        </w:tc>
        <w:tc>
          <w:tcPr>
            <w:tcW w:w="1340" w:type="dxa"/>
            <w:vAlign w:val="bottom"/>
            <w:tcBorders>
              <w:top w:val="single" w:sz="8" w:color="auto"/>
            </w:tcBorders>
            <w:gridSpan w:val="4"/>
          </w:tcPr>
          <w:p>
            <w:pPr>
              <w:ind w:left="40"/>
              <w:spacing w:after="0" w:line="196" w:lineRule="exact"/>
              <w:rPr>
                <w:sz w:val="20"/>
                <w:szCs w:val="20"/>
                <w:color w:val="auto"/>
              </w:rPr>
            </w:pPr>
            <w:r>
              <w:rPr>
                <w:rFonts w:ascii="Arial" w:cs="Arial" w:eastAsia="Arial" w:hAnsi="Arial"/>
                <w:sz w:val="18"/>
                <w:szCs w:val="18"/>
                <w:b w:val="1"/>
                <w:bCs w:val="1"/>
                <w:color w:val="auto"/>
              </w:rPr>
              <w:t>December 31,</w:t>
            </w:r>
          </w:p>
        </w:tc>
        <w:tc>
          <w:tcPr>
            <w:tcW w:w="880" w:type="dxa"/>
            <w:vAlign w:val="bottom"/>
            <w:tcBorders>
              <w:top w:val="single" w:sz="8" w:color="auto"/>
            </w:tcBorders>
          </w:tcPr>
          <w:p>
            <w:pPr>
              <w:jc w:val="right"/>
              <w:ind w:right="31"/>
              <w:spacing w:after="0" w:line="196" w:lineRule="exact"/>
              <w:rPr>
                <w:sz w:val="20"/>
                <w:szCs w:val="20"/>
                <w:color w:val="auto"/>
              </w:rPr>
            </w:pPr>
            <w:r>
              <w:rPr>
                <w:rFonts w:ascii="Arial" w:cs="Arial" w:eastAsia="Arial" w:hAnsi="Arial"/>
                <w:sz w:val="18"/>
                <w:szCs w:val="18"/>
                <w:b w:val="1"/>
                <w:bCs w:val="1"/>
                <w:color w:val="auto"/>
              </w:rPr>
              <w:t>June 30,</w:t>
            </w:r>
          </w:p>
        </w:tc>
        <w:tc>
          <w:tcPr>
            <w:tcW w:w="140" w:type="dxa"/>
            <w:vAlign w:val="bottom"/>
          </w:tcPr>
          <w:p>
            <w:pPr>
              <w:spacing w:after="0"/>
              <w:rPr>
                <w:sz w:val="17"/>
                <w:szCs w:val="17"/>
                <w:color w:val="auto"/>
              </w:rPr>
            </w:pPr>
          </w:p>
        </w:tc>
      </w:tr>
      <w:tr>
        <w:trPr>
          <w:trHeight w:val="239"/>
        </w:trPr>
        <w:tc>
          <w:tcPr>
            <w:tcW w:w="2060" w:type="dxa"/>
            <w:vAlign w:val="bottom"/>
          </w:tcPr>
          <w:p>
            <w:pPr>
              <w:spacing w:after="0"/>
              <w:rPr>
                <w:sz w:val="20"/>
                <w:szCs w:val="20"/>
                <w:color w:val="auto"/>
              </w:rPr>
            </w:pPr>
          </w:p>
        </w:tc>
        <w:tc>
          <w:tcPr>
            <w:tcW w:w="1140" w:type="dxa"/>
            <w:vAlign w:val="bottom"/>
            <w:gridSpan w:val="2"/>
          </w:tcPr>
          <w:p>
            <w:pPr>
              <w:ind w:left="60"/>
              <w:spacing w:after="0"/>
              <w:rPr>
                <w:sz w:val="20"/>
                <w:szCs w:val="20"/>
                <w:color w:val="auto"/>
              </w:rPr>
            </w:pPr>
            <w:r>
              <w:rPr>
                <w:rFonts w:ascii="Arial" w:cs="Arial" w:eastAsia="Arial" w:hAnsi="Arial"/>
                <w:sz w:val="18"/>
                <w:szCs w:val="18"/>
                <w:b w:val="1"/>
                <w:bCs w:val="1"/>
                <w:color w:val="auto"/>
              </w:rPr>
              <w:t>Minimum</w:t>
            </w:r>
          </w:p>
        </w:tc>
        <w:tc>
          <w:tcPr>
            <w:tcW w:w="118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92"/>
              </w:rPr>
              <w:t>Capitalized</w:t>
            </w:r>
          </w:p>
        </w:tc>
        <w:tc>
          <w:tcPr>
            <w:tcW w:w="860" w:type="dxa"/>
            <w:vAlign w:val="bottom"/>
          </w:tcPr>
          <w:p>
            <w:pPr>
              <w:jc w:val="right"/>
              <w:ind w:right="171"/>
              <w:spacing w:after="0"/>
              <w:rPr>
                <w:sz w:val="20"/>
                <w:szCs w:val="20"/>
                <w:color w:val="auto"/>
              </w:rPr>
            </w:pPr>
            <w:r>
              <w:rPr>
                <w:rFonts w:ascii="Arial" w:cs="Arial" w:eastAsia="Arial" w:hAnsi="Arial"/>
                <w:sz w:val="18"/>
                <w:szCs w:val="18"/>
                <w:b w:val="1"/>
                <w:bCs w:val="1"/>
                <w:color w:val="auto"/>
              </w:rPr>
              <w:t>2013</w:t>
            </w: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ind w:right="251"/>
              <w:spacing w:after="0"/>
              <w:rPr>
                <w:sz w:val="20"/>
                <w:szCs w:val="20"/>
                <w:color w:val="auto"/>
              </w:rPr>
            </w:pPr>
            <w:r>
              <w:rPr>
                <w:rFonts w:ascii="Arial" w:cs="Arial" w:eastAsia="Arial" w:hAnsi="Arial"/>
                <w:sz w:val="18"/>
                <w:szCs w:val="18"/>
                <w:b w:val="1"/>
                <w:bCs w:val="1"/>
                <w:color w:val="auto"/>
              </w:rPr>
              <w:t>2012</w:t>
            </w:r>
          </w:p>
        </w:tc>
        <w:tc>
          <w:tcPr>
            <w:tcW w:w="220" w:type="dxa"/>
            <w:vAlign w:val="bottom"/>
          </w:tcPr>
          <w:p>
            <w:pPr>
              <w:spacing w:after="0"/>
              <w:rPr>
                <w:sz w:val="20"/>
                <w:szCs w:val="20"/>
                <w:color w:val="auto"/>
              </w:rPr>
            </w:pPr>
          </w:p>
        </w:tc>
        <w:tc>
          <w:tcPr>
            <w:tcW w:w="920" w:type="dxa"/>
            <w:vAlign w:val="bottom"/>
            <w:gridSpan w:val="2"/>
          </w:tcPr>
          <w:p>
            <w:pPr>
              <w:jc w:val="right"/>
              <w:ind w:right="171"/>
              <w:spacing w:after="0"/>
              <w:rPr>
                <w:sz w:val="20"/>
                <w:szCs w:val="20"/>
                <w:color w:val="auto"/>
              </w:rPr>
            </w:pPr>
            <w:r>
              <w:rPr>
                <w:rFonts w:ascii="Arial" w:cs="Arial" w:eastAsia="Arial" w:hAnsi="Arial"/>
                <w:sz w:val="18"/>
                <w:szCs w:val="18"/>
                <w:b w:val="1"/>
                <w:bCs w:val="1"/>
                <w:color w:val="auto"/>
              </w:rPr>
              <w:t>2012</w:t>
            </w:r>
          </w:p>
        </w:tc>
        <w:tc>
          <w:tcPr>
            <w:tcW w:w="280" w:type="dxa"/>
            <w:vAlign w:val="bottom"/>
          </w:tcPr>
          <w:p>
            <w:pPr>
              <w:spacing w:after="0"/>
              <w:rPr>
                <w:sz w:val="20"/>
                <w:szCs w:val="20"/>
                <w:color w:val="auto"/>
              </w:rPr>
            </w:pPr>
          </w:p>
        </w:tc>
        <w:tc>
          <w:tcPr>
            <w:tcW w:w="860" w:type="dxa"/>
            <w:vAlign w:val="bottom"/>
          </w:tcPr>
          <w:p>
            <w:pPr>
              <w:jc w:val="right"/>
              <w:ind w:right="171"/>
              <w:spacing w:after="0"/>
              <w:rPr>
                <w:sz w:val="20"/>
                <w:szCs w:val="20"/>
                <w:color w:val="auto"/>
              </w:rPr>
            </w:pPr>
            <w:r>
              <w:rPr>
                <w:rFonts w:ascii="Arial" w:cs="Arial" w:eastAsia="Arial" w:hAnsi="Arial"/>
                <w:sz w:val="18"/>
                <w:szCs w:val="18"/>
                <w:b w:val="1"/>
                <w:bCs w:val="1"/>
                <w:color w:val="auto"/>
              </w:rPr>
              <w:t>2013</w:t>
            </w: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ind w:right="251"/>
              <w:spacing w:after="0"/>
              <w:rPr>
                <w:sz w:val="20"/>
                <w:szCs w:val="20"/>
                <w:color w:val="auto"/>
              </w:rPr>
            </w:pPr>
            <w:r>
              <w:rPr>
                <w:rFonts w:ascii="Arial" w:cs="Arial" w:eastAsia="Arial" w:hAnsi="Arial"/>
                <w:sz w:val="18"/>
                <w:szCs w:val="18"/>
                <w:b w:val="1"/>
                <w:bCs w:val="1"/>
                <w:color w:val="auto"/>
              </w:rPr>
              <w:t>2012</w:t>
            </w:r>
          </w:p>
        </w:tc>
        <w:tc>
          <w:tcPr>
            <w:tcW w:w="260" w:type="dxa"/>
            <w:vAlign w:val="bottom"/>
          </w:tcPr>
          <w:p>
            <w:pPr>
              <w:spacing w:after="0"/>
              <w:rPr>
                <w:sz w:val="20"/>
                <w:szCs w:val="20"/>
                <w:color w:val="auto"/>
              </w:rPr>
            </w:pPr>
          </w:p>
        </w:tc>
        <w:tc>
          <w:tcPr>
            <w:tcW w:w="880" w:type="dxa"/>
            <w:vAlign w:val="bottom"/>
          </w:tcPr>
          <w:p>
            <w:pPr>
              <w:jc w:val="right"/>
              <w:ind w:right="171"/>
              <w:spacing w:after="0"/>
              <w:rPr>
                <w:sz w:val="20"/>
                <w:szCs w:val="20"/>
                <w:color w:val="auto"/>
              </w:rPr>
            </w:pPr>
            <w:r>
              <w:rPr>
                <w:rFonts w:ascii="Arial" w:cs="Arial" w:eastAsia="Arial" w:hAnsi="Arial"/>
                <w:sz w:val="18"/>
                <w:szCs w:val="18"/>
                <w:b w:val="1"/>
                <w:bCs w:val="1"/>
                <w:color w:val="auto"/>
              </w:rPr>
              <w:t>2012</w:t>
            </w:r>
          </w:p>
        </w:tc>
        <w:tc>
          <w:tcPr>
            <w:tcW w:w="140" w:type="dxa"/>
            <w:vAlign w:val="bottom"/>
          </w:tcPr>
          <w:p>
            <w:pPr>
              <w:spacing w:after="0"/>
              <w:rPr>
                <w:sz w:val="20"/>
                <w:szCs w:val="20"/>
                <w:color w:val="auto"/>
              </w:rPr>
            </w:pPr>
          </w:p>
        </w:tc>
      </w:tr>
      <w:tr>
        <w:trPr>
          <w:trHeight w:val="200"/>
        </w:trPr>
        <w:tc>
          <w:tcPr>
            <w:tcW w:w="2060" w:type="dxa"/>
            <w:vAlign w:val="bottom"/>
          </w:tcPr>
          <w:p>
            <w:pPr>
              <w:spacing w:after="0" w:line="200" w:lineRule="exact"/>
              <w:rPr>
                <w:sz w:val="20"/>
                <w:szCs w:val="20"/>
                <w:color w:val="auto"/>
              </w:rPr>
            </w:pPr>
            <w:r>
              <w:rPr>
                <w:rFonts w:ascii="Arial" w:cs="Arial" w:eastAsia="Arial" w:hAnsi="Arial"/>
                <w:sz w:val="18"/>
                <w:szCs w:val="18"/>
                <w:color w:val="auto"/>
              </w:rPr>
              <w:t>Risk-based ratios:</w:t>
            </w:r>
          </w:p>
        </w:tc>
        <w:tc>
          <w:tcPr>
            <w:tcW w:w="88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r>
      <w:tr>
        <w:trPr>
          <w:trHeight w:val="214"/>
        </w:trPr>
        <w:tc>
          <w:tcPr>
            <w:tcW w:w="2060" w:type="dxa"/>
            <w:vAlign w:val="bottom"/>
          </w:tcPr>
          <w:p>
            <w:pPr>
              <w:ind w:left="160"/>
              <w:spacing w:after="0"/>
              <w:rPr>
                <w:sz w:val="20"/>
                <w:szCs w:val="20"/>
                <w:color w:val="auto"/>
              </w:rPr>
            </w:pPr>
            <w:r>
              <w:rPr>
                <w:rFonts w:ascii="Arial" w:cs="Arial" w:eastAsia="Arial" w:hAnsi="Arial"/>
                <w:sz w:val="18"/>
                <w:szCs w:val="18"/>
                <w:color w:val="auto"/>
              </w:rPr>
              <w:t>Tier I capital</w:t>
            </w:r>
          </w:p>
        </w:tc>
        <w:tc>
          <w:tcPr>
            <w:tcW w:w="1140" w:type="dxa"/>
            <w:vAlign w:val="bottom"/>
            <w:gridSpan w:val="2"/>
          </w:tcPr>
          <w:p>
            <w:pPr>
              <w:ind w:left="660"/>
              <w:spacing w:after="0"/>
              <w:rPr>
                <w:sz w:val="20"/>
                <w:szCs w:val="20"/>
                <w:color w:val="auto"/>
              </w:rPr>
            </w:pPr>
            <w:r>
              <w:rPr>
                <w:rFonts w:ascii="Arial" w:cs="Arial" w:eastAsia="Arial" w:hAnsi="Arial"/>
                <w:sz w:val="18"/>
                <w:szCs w:val="18"/>
                <w:color w:val="auto"/>
              </w:rPr>
              <w:t>4.0%</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6.0%</w:t>
            </w: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13.68%</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14.16%</w:t>
            </w:r>
          </w:p>
        </w:tc>
        <w:tc>
          <w:tcPr>
            <w:tcW w:w="1200" w:type="dxa"/>
            <w:vAlign w:val="bottom"/>
            <w:gridSpan w:val="3"/>
          </w:tcPr>
          <w:p>
            <w:pPr>
              <w:jc w:val="right"/>
              <w:ind w:right="120"/>
              <w:spacing w:after="0"/>
              <w:rPr>
                <w:sz w:val="20"/>
                <w:szCs w:val="20"/>
                <w:color w:val="auto"/>
              </w:rPr>
            </w:pPr>
            <w:r>
              <w:rPr>
                <w:rFonts w:ascii="Arial" w:cs="Arial" w:eastAsia="Arial" w:hAnsi="Arial"/>
                <w:sz w:val="18"/>
                <w:szCs w:val="18"/>
                <w:color w:val="auto"/>
              </w:rPr>
              <w:t>14.19%</w:t>
            </w: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14.20%</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14.48%</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14.30%</w:t>
            </w:r>
          </w:p>
        </w:tc>
      </w:tr>
      <w:tr>
        <w:trPr>
          <w:trHeight w:val="214"/>
        </w:trPr>
        <w:tc>
          <w:tcPr>
            <w:tcW w:w="2060" w:type="dxa"/>
            <w:vAlign w:val="bottom"/>
          </w:tcPr>
          <w:p>
            <w:pPr>
              <w:ind w:left="160"/>
              <w:spacing w:after="0"/>
              <w:rPr>
                <w:sz w:val="20"/>
                <w:szCs w:val="20"/>
                <w:color w:val="auto"/>
              </w:rPr>
            </w:pPr>
            <w:r>
              <w:rPr>
                <w:rFonts w:ascii="Arial" w:cs="Arial" w:eastAsia="Arial" w:hAnsi="Arial"/>
                <w:sz w:val="18"/>
                <w:szCs w:val="18"/>
                <w:color w:val="auto"/>
              </w:rPr>
              <w:t>Total capital</w:t>
            </w:r>
          </w:p>
        </w:tc>
        <w:tc>
          <w:tcPr>
            <w:tcW w:w="1140" w:type="dxa"/>
            <w:vAlign w:val="bottom"/>
            <w:gridSpan w:val="2"/>
          </w:tcPr>
          <w:p>
            <w:pPr>
              <w:ind w:left="660"/>
              <w:spacing w:after="0"/>
              <w:rPr>
                <w:sz w:val="20"/>
                <w:szCs w:val="20"/>
                <w:color w:val="auto"/>
              </w:rPr>
            </w:pPr>
            <w:r>
              <w:rPr>
                <w:rFonts w:ascii="Arial" w:cs="Arial" w:eastAsia="Arial" w:hAnsi="Arial"/>
                <w:sz w:val="18"/>
                <w:szCs w:val="18"/>
                <w:color w:val="auto"/>
              </w:rPr>
              <w:t>8.0</w:t>
            </w: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10.0</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15.23</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15.73</w:t>
            </w:r>
          </w:p>
        </w:tc>
        <w:tc>
          <w:tcPr>
            <w:tcW w:w="1200" w:type="dxa"/>
            <w:vAlign w:val="bottom"/>
            <w:gridSpan w:val="3"/>
          </w:tcPr>
          <w:p>
            <w:pPr>
              <w:jc w:val="right"/>
              <w:ind w:right="280"/>
              <w:spacing w:after="0"/>
              <w:rPr>
                <w:sz w:val="20"/>
                <w:szCs w:val="20"/>
                <w:color w:val="auto"/>
              </w:rPr>
            </w:pPr>
            <w:r>
              <w:rPr>
                <w:rFonts w:ascii="Arial" w:cs="Arial" w:eastAsia="Arial" w:hAnsi="Arial"/>
                <w:sz w:val="18"/>
                <w:szCs w:val="18"/>
                <w:color w:val="auto"/>
              </w:rPr>
              <w:t>15.93</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15.46</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15.74</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15.56</w:t>
            </w:r>
          </w:p>
        </w:tc>
      </w:tr>
      <w:tr>
        <w:trPr>
          <w:trHeight w:val="227"/>
        </w:trPr>
        <w:tc>
          <w:tcPr>
            <w:tcW w:w="2060" w:type="dxa"/>
            <w:vAlign w:val="bottom"/>
          </w:tcPr>
          <w:p>
            <w:pPr>
              <w:spacing w:after="0"/>
              <w:rPr>
                <w:sz w:val="20"/>
                <w:szCs w:val="20"/>
                <w:color w:val="auto"/>
              </w:rPr>
            </w:pPr>
            <w:r>
              <w:rPr>
                <w:rFonts w:ascii="Arial" w:cs="Arial" w:eastAsia="Arial" w:hAnsi="Arial"/>
                <w:sz w:val="18"/>
                <w:szCs w:val="18"/>
                <w:color w:val="auto"/>
              </w:rPr>
              <w:t>Leverage ratio</w:t>
            </w:r>
          </w:p>
        </w:tc>
        <w:tc>
          <w:tcPr>
            <w:tcW w:w="1140" w:type="dxa"/>
            <w:vAlign w:val="bottom"/>
            <w:gridSpan w:val="2"/>
          </w:tcPr>
          <w:p>
            <w:pPr>
              <w:ind w:left="660"/>
              <w:spacing w:after="0"/>
              <w:rPr>
                <w:sz w:val="20"/>
                <w:szCs w:val="20"/>
                <w:color w:val="auto"/>
              </w:rPr>
            </w:pPr>
            <w:r>
              <w:rPr>
                <w:rFonts w:ascii="Arial" w:cs="Arial" w:eastAsia="Arial" w:hAnsi="Arial"/>
                <w:sz w:val="18"/>
                <w:szCs w:val="18"/>
                <w:color w:val="auto"/>
              </w:rPr>
              <w:t>3.0</w:t>
            </w: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5.0</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9.80</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9.64</w:t>
            </w:r>
          </w:p>
        </w:tc>
        <w:tc>
          <w:tcPr>
            <w:tcW w:w="1200" w:type="dxa"/>
            <w:vAlign w:val="bottom"/>
            <w:gridSpan w:val="3"/>
          </w:tcPr>
          <w:p>
            <w:pPr>
              <w:jc w:val="right"/>
              <w:ind w:right="280"/>
              <w:spacing w:after="0"/>
              <w:rPr>
                <w:sz w:val="20"/>
                <w:szCs w:val="20"/>
                <w:color w:val="auto"/>
              </w:rPr>
            </w:pPr>
            <w:r>
              <w:rPr>
                <w:rFonts w:ascii="Arial" w:cs="Arial" w:eastAsia="Arial" w:hAnsi="Arial"/>
                <w:sz w:val="18"/>
                <w:szCs w:val="18"/>
                <w:color w:val="auto"/>
              </w:rPr>
              <w:t>9.09</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10.15</w:t>
            </w: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9.86</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9.16</w:t>
            </w:r>
          </w:p>
        </w:tc>
      </w:tr>
      <w:tr>
        <w:trPr>
          <w:trHeight w:val="416"/>
        </w:trPr>
        <w:tc>
          <w:tcPr>
            <w:tcW w:w="2060" w:type="dxa"/>
            <w:vAlign w:val="bottom"/>
          </w:tcPr>
          <w:p>
            <w:pPr>
              <w:ind w:left="160"/>
              <w:spacing w:after="0"/>
              <w:rPr>
                <w:sz w:val="20"/>
                <w:szCs w:val="20"/>
                <w:color w:val="auto"/>
              </w:rPr>
            </w:pPr>
            <w:r>
              <w:rPr>
                <w:rFonts w:ascii="Arial" w:cs="Arial" w:eastAsia="Arial" w:hAnsi="Arial"/>
                <w:sz w:val="18"/>
                <w:szCs w:val="18"/>
                <w:color w:val="auto"/>
              </w:rPr>
              <w:t>Tier I capital</w:t>
            </w: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w w:val="98"/>
              </w:rPr>
              <w:t>$  653,590</w:t>
            </w:r>
          </w:p>
        </w:tc>
        <w:tc>
          <w:tcPr>
            <w:tcW w:w="26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652,692</w:t>
            </w:r>
          </w:p>
        </w:tc>
        <w:tc>
          <w:tcPr>
            <w:tcW w:w="1200" w:type="dxa"/>
            <w:vAlign w:val="bottom"/>
            <w:gridSpan w:val="3"/>
          </w:tcPr>
          <w:p>
            <w:pPr>
              <w:jc w:val="right"/>
              <w:ind w:right="280"/>
              <w:spacing w:after="0"/>
              <w:rPr>
                <w:sz w:val="20"/>
                <w:szCs w:val="20"/>
                <w:color w:val="auto"/>
              </w:rPr>
            </w:pPr>
            <w:r>
              <w:rPr>
                <w:rFonts w:ascii="Arial" w:cs="Arial" w:eastAsia="Arial" w:hAnsi="Arial"/>
                <w:sz w:val="18"/>
                <w:szCs w:val="18"/>
                <w:color w:val="auto"/>
                <w:w w:val="99"/>
              </w:rPr>
              <w:t>$   634,811</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w w:val="98"/>
              </w:rPr>
              <w:t>$  677,694</w:t>
            </w:r>
          </w:p>
        </w:tc>
        <w:tc>
          <w:tcPr>
            <w:tcW w:w="26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666,585</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  638,823</w:t>
            </w:r>
          </w:p>
        </w:tc>
      </w:tr>
      <w:tr>
        <w:trPr>
          <w:trHeight w:val="227"/>
        </w:trPr>
        <w:tc>
          <w:tcPr>
            <w:tcW w:w="2060" w:type="dxa"/>
            <w:vAlign w:val="bottom"/>
          </w:tcPr>
          <w:p>
            <w:pPr>
              <w:ind w:left="160"/>
              <w:spacing w:after="0"/>
              <w:rPr>
                <w:sz w:val="20"/>
                <w:szCs w:val="20"/>
                <w:color w:val="auto"/>
              </w:rPr>
            </w:pPr>
            <w:r>
              <w:rPr>
                <w:rFonts w:ascii="Arial" w:cs="Arial" w:eastAsia="Arial" w:hAnsi="Arial"/>
                <w:sz w:val="18"/>
                <w:szCs w:val="18"/>
                <w:color w:val="auto"/>
              </w:rPr>
              <w:t>Total capital</w:t>
            </w:r>
          </w:p>
        </w:tc>
        <w:tc>
          <w:tcPr>
            <w:tcW w:w="8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727,587</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724,915</w:t>
            </w:r>
          </w:p>
        </w:tc>
        <w:tc>
          <w:tcPr>
            <w:tcW w:w="1200" w:type="dxa"/>
            <w:vAlign w:val="bottom"/>
            <w:gridSpan w:val="3"/>
          </w:tcPr>
          <w:p>
            <w:pPr>
              <w:jc w:val="right"/>
              <w:ind w:right="280"/>
              <w:spacing w:after="0"/>
              <w:rPr>
                <w:sz w:val="20"/>
                <w:szCs w:val="20"/>
                <w:color w:val="auto"/>
              </w:rPr>
            </w:pPr>
            <w:r>
              <w:rPr>
                <w:rFonts w:ascii="Arial" w:cs="Arial" w:eastAsia="Arial" w:hAnsi="Arial"/>
                <w:sz w:val="18"/>
                <w:szCs w:val="18"/>
                <w:color w:val="auto"/>
              </w:rPr>
              <w:t>712,422</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737,615</w:t>
            </w: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724,738</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695,369</w:t>
            </w:r>
          </w:p>
        </w:tc>
      </w:tr>
    </w:tbl>
    <w:p>
      <w:pPr>
        <w:spacing w:after="0" w:line="200" w:lineRule="exact"/>
        <w:rPr>
          <w:sz w:val="20"/>
          <w:szCs w:val="20"/>
          <w:color w:val="auto"/>
        </w:rPr>
      </w:pPr>
    </w:p>
    <w:p>
      <w:pPr>
        <w:spacing w:after="0" w:line="243"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United’s Tier I capital excludes other comprehensive income, and consists of shareholders’ equity and qualifying capital securities, less goodwill and deposit-based intangibles. Tier II capital components include supplemental capital items such as a qualifying allowance for loan losses and qualifying subordinated debt. Tier I capital plus Tier II capital components is referred to as Total Risk-Based capital.</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 of Inflation and Changing Prices</w:t>
      </w:r>
    </w:p>
    <w:p>
      <w:pPr>
        <w:spacing w:after="0" w:line="252"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A bank’s asset and liability structure is substantially different from that of an industrial firm in that primarily all assets and liabilities of a bank are monetary in nature with relatively little investment in fixed assets or inventories. Inflation has an important effect on the growth of total assets and the resulting need to increase equity capital at higher than normal rates in order to maintain an appropriate equity to assets ratio.</w:t>
      </w:r>
    </w:p>
    <w:p>
      <w:pPr>
        <w:spacing w:after="0" w:line="211"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United’s management believes the effect of inflation on financial results depends on United’s ability to react to changes in interest rates, and by such reaction, reduce the inflationary effect on performance. United has an asset/liability management program to manage interest rate sensitivity. In addition, periodic reviews of banking services and products are conducted to adjust pricing in view of current and expected costs.</w:t>
      </w:r>
    </w:p>
    <w:p>
      <w:pPr>
        <w:spacing w:after="0" w:line="207"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 About Market Risk</w:t>
      </w:r>
    </w:p>
    <w:p>
      <w:pPr>
        <w:spacing w:after="0" w:line="252"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There have been no material changes in United’s quantitative and qualitative disclosures about market risk as of June 30, 2013 from that presented in the Annual Report on Form 10-K for the year ended December 31, 2012. The interest rate sensitivity position at June 30, 2013 is included in management’s discussion and analysis on page 56 of this report.</w:t>
      </w:r>
    </w:p>
    <w:p>
      <w:pPr>
        <w:spacing w:after="0" w:line="207"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252"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United’s management, including the Chief Executive Officer and Chief Financial Officer, supervised and participated in an evaluation of the Company’s disclosure controls and procedures as of June 30, 2013. Based on, and as of the date of that evaluation, United’s Chief Executive Officer and Chief Financial Officer have concluded that the disclosure controls and procedures were effective in accumulating and communicating information to management, including the Chief Executive Officer and Chief Financial Officer, as appropriate to allow timely decisions regarding required disclosures of that information under the SEC’s rules and forms and that the disclosure controls and procedures are designed to ensure that the information required to be disclosed in reports that are filed or submitted by United under the Act is recorded, processed, summarized and reported within the time periods specified in the SEC’s rules and forms.</w:t>
      </w:r>
    </w:p>
    <w:p>
      <w:pPr>
        <w:spacing w:after="0" w:line="193"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There were no significant changes in the internal controls or in other factors that could significantly affect these controls subsequent to the date of their evaluation.</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13970</wp:posOffset>
            </wp:positionV>
            <wp:extent cx="724789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7890" cy="8255"/>
                    </a:xfrm>
                    <a:prstGeom prst="rect">
                      <a:avLst/>
                    </a:prstGeom>
                    <a:noFill/>
                  </pic:spPr>
                </pic:pic>
              </a:graphicData>
            </a:graphic>
          </wp:anchor>
        </w:drawing>
      </w:r>
    </w:p>
    <w:p>
      <w:pPr>
        <w:sectPr>
          <w:pgSz w:w="11900" w:h="16838" w:orient="portrait"/>
          <w:cols w:equalWidth="0" w:num="1">
            <w:col w:w="11420"/>
          </w:cols>
          <w:pgMar w:left="240" w:top="889" w:right="239" w:bottom="1440" w:gutter="0" w:footer="0" w:header="0"/>
        </w:sectPr>
      </w:pPr>
    </w:p>
    <w:bookmarkStart w:id="65" w:name="page66"/>
    <w:bookmarkEnd w:id="65"/>
    <w:p>
      <w:pPr>
        <w:spacing w:after="0"/>
        <w:tabs>
          <w:tab w:leader="none" w:pos="1220" w:val="left"/>
        </w:tabs>
        <w:rPr>
          <w:sz w:val="20"/>
          <w:szCs w:val="20"/>
          <w:color w:val="auto"/>
        </w:rPr>
      </w:pPr>
      <w:r>
        <w:rPr>
          <w:rFonts w:ascii="Arial" w:cs="Arial" w:eastAsia="Arial" w:hAnsi="Arial"/>
          <w:sz w:val="18"/>
          <w:szCs w:val="18"/>
          <w:b w:val="1"/>
          <w:bCs w:val="1"/>
          <w:color w:val="auto"/>
        </w:rPr>
        <w:t>Part II.</w:t>
      </w:r>
      <w:r>
        <w:rPr>
          <w:sz w:val="20"/>
          <w:szCs w:val="20"/>
          <w:color w:val="auto"/>
        </w:rPr>
        <w:tab/>
      </w:r>
      <w:r>
        <w:rPr>
          <w:rFonts w:ascii="Arial" w:cs="Arial" w:eastAsia="Arial" w:hAnsi="Arial"/>
          <w:sz w:val="16"/>
          <w:szCs w:val="16"/>
          <w:b w:val="1"/>
          <w:bCs w:val="1"/>
          <w:color w:val="auto"/>
        </w:rPr>
        <w:t>Other Information</w:t>
      </w:r>
    </w:p>
    <w:p>
      <w:pPr>
        <w:spacing w:after="0" w:line="222"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25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the ordinary course of operations, United and the Bank are defendants in various legal proceedings. Additionally, in the ordinary course of business, United and the Bank are subject to regulatory examinations and investigations. Based on our current knowledge and advice of counsel, in the opinion of management there is no such pending or threatened legal matter in which an adverse decision could result in a material adverse change in the consolidated financial condition or results of operations of United.</w:t>
      </w:r>
    </w:p>
    <w:p>
      <w:pPr>
        <w:spacing w:after="0" w:line="185"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252"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There have been no material changes from the risk factors previously disclosed in United’s Annual Report on Form 10-K for the year ended December 31, 2012, except for the following:</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short-term and long-term impact of the changing regulatory capital requirements is uncertain.</w:t>
      </w:r>
    </w:p>
    <w:p>
      <w:pPr>
        <w:spacing w:after="0" w:line="252"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On July 2, 2013, the Federal Reserve approved a final rule to implement the recommendations of the Basel Committee on Banking Supervision. These regulatory capital standards, known as Basel III, create a new regulatory capital standard based on tier 1 common equity and increase the minimum leverage and risk-based capital ratios applicable to all banking organizations.</w:t>
      </w:r>
    </w:p>
    <w:p>
      <w:pPr>
        <w:spacing w:after="0" w:line="211"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The final rule includes new minimum risk-based and leverage ratios, and modifies capital and asset definitions for purposes of calculating these ratios. Among other things, the Basel III rules will impact regulatory capital ratios of banking organizations in the following manner, when fully phased in: create a new requirement to maintain a ratio of common equity tier 1 capital to total riskweighted assets of not less than 4.5%; increase the minimum leverage capital ratio to 4.0% for all banking organizations (currently 3.0% for certain banking organizations); increase the minimum tier 1 risk-based capital ratio from 4.0% to 6.0%; and maintain the minimum total risk-based capital ratio at 8.0%. In addition, the final rules subject a banking organization to certain limitations on capital distributions and discretionary bonus payments to executive officers if the organization does not maintain a capital conservation buffer of common equity tier 1 capital in an amount greater than 2.5% of its total risk-weighted assets. The effect of the capital conservation buffer will be to increase the minimum common equity tier 1 capital ratio to 7.0%, the minimum tier 1 risk-based capital ratio to 8.5% and the minimum total risk-based capital ratio to 10.5%, for banking organizations seeking to avoid the limitations on capital distributions and discretionary bonus payments to executive officers. As long as a banking organization has total consolidated assets of less than $15 billion, such banking organization may include in tier 1 and total capital the banking organization’s trust preferred securities that were issued on or before May 19, 2010.</w:t>
      </w:r>
    </w:p>
    <w:p>
      <w:pPr>
        <w:spacing w:after="0" w:line="20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final rules also change the capital categories for insured depository institutions for purposes of prompt corrective action. Under the final rules, to be categorized as “well capitalized,” an insured depository institution will be required to maintain a minimum common equity tier 1 capital ratio of at least 6.5%, a tier 1 risk-based capital ratio of at least 8.0%, a total risk-based capital ratio of at least 10.0%, and a leverage capital ratio of at least 5.0%. In addition, the final rule establishes more conservative standards for including an instrument in regulatory capital and imposes certain deductions from and adjustments to the measure of common equity tier 1 capital.</w:t>
      </w:r>
    </w:p>
    <w:p>
      <w:pPr>
        <w:spacing w:after="0" w:line="218"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While the Basel III rules result in generally higher regulatory capital standards with an increased focus on common equity, it is difficult at this time to predict the effect these new standards will have on United and the Bank. The application of more stringent capital requirements for United and the Bank could, among other things, result in lower returns on invested capital, require the raising of additional capital, and result in additional regulatory actions if we are unable to comply with such requirements. Furthermore, the imposition of liquidity requirements in connection with the implementation of Basel III could result in our having to lengthen the term of our funding, restructure our business models, and/or increase our holdings of liquid assets. Implementation of changes to asset risk weightings for risk-based capital calculations, items included or deducted in calculating regulatory capital and/or additional capital conservation buffers could result in us modifying our business strategy and could limit our ability to make dividends.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ability to use our deferred tax asset balances may be materially impaired.</w:t>
      </w:r>
    </w:p>
    <w:p>
      <w:pPr>
        <w:spacing w:after="0" w:line="25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At June 30, 2013, management concluded that it was more likely than not that $272 million of our net deferred tax asset will be realized based upon future taxable income and therefore, reversed its previously established valuation allowance. As a result, as of June 30, 2013, our net deferred tax asset balance was $272 million, net of a remaining valuation allowance of $4.96 million related to state tax credits with short carry-forward periods that management believes will expire unused.</w:t>
      </w:r>
    </w:p>
    <w:p>
      <w:pPr>
        <w:spacing w:after="0" w:line="215"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Our ability to use such assets, including the reversal or partial release of the valuation allowance, is dependent on our ability to generate future earnings within the operating loss carry-forward periods, which are generally 20 years. If we do not realize taxable earnings within the carry-forward periods, our deferred tax asset would be permanently impaired. Additionally, our ability to use such assets to offset future tax liabilities could be permanently impaired if cumulative common stock transactions over a rolling three-year period resulted in an ownership change under Section 382 of the Internal Revenue Code. Under Section 382, a corporation experiencing an ownership change generally is subject to an annual limitation on its utilization of pre-change losses and certain post-change recognized built-in losses equal to the value of the stock of the corporation immediately before the ownership change, multiplied by the long-term tax-exempt rate (subject to certain adjustments). The annual limitation is increased each year to the extent that there is an unused limitation in a prior year. The annual limitation also effectively provides a cap on the cumulative amount of pre-change losses and certain post-change recognized built-in losses that may be utilized. Pre-change losses and certain post-change recognized built in losses in excess of the cap are effectively unable to be used to reduce future taxable income.</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13970</wp:posOffset>
            </wp:positionV>
            <wp:extent cx="724789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7890" cy="8255"/>
                    </a:xfrm>
                    <a:prstGeom prst="rect">
                      <a:avLst/>
                    </a:prstGeom>
                    <a:noFill/>
                  </pic:spPr>
                </pic:pic>
              </a:graphicData>
            </a:graphic>
          </wp:anchor>
        </w:drawing>
      </w:r>
    </w:p>
    <w:p>
      <w:pPr>
        <w:sectPr>
          <w:pgSz w:w="11900" w:h="16838" w:orient="portrait"/>
          <w:cols w:equalWidth="0" w:num="1">
            <w:col w:w="11420"/>
          </w:cols>
          <w:pgMar w:left="240" w:top="885" w:right="239" w:bottom="1440" w:gutter="0" w:footer="0" w:header="0"/>
        </w:sectPr>
      </w:pPr>
    </w:p>
    <w:bookmarkStart w:id="66" w:name="page67"/>
    <w:bookmarkEnd w:id="66"/>
    <w:p>
      <w:pPr>
        <w:jc w:val="both"/>
        <w:spacing w:after="0" w:line="253" w:lineRule="auto"/>
        <w:rPr>
          <w:sz w:val="20"/>
          <w:szCs w:val="20"/>
          <w:color w:val="auto"/>
        </w:rPr>
      </w:pPr>
      <w:r>
        <w:rPr>
          <w:rFonts w:ascii="Arial" w:cs="Arial" w:eastAsia="Arial" w:hAnsi="Arial"/>
          <w:sz w:val="18"/>
          <w:szCs w:val="18"/>
          <w:color w:val="auto"/>
        </w:rPr>
        <w:t>While we have taken measures to reduce the likelihood that future transactions in our stock will result in an ownership change, there can be no assurance that an ownership change will not occur in the future or that a there will not be a change in applicable law that may result in an ownership change. More specifically, while our Tax Benefits Preservation Plan provides an economic disincentive for any one person or group to become a Threshold Holder (as defined in the plan) and for any existing Threshold Holder to acquire more than a specified amount of additional shares, there can be no assurance that the Tax Benefits Preservation Plan will deter a shareholder from increasing its ownership interests beyond the limits set by the plan. Such an increase could adversely affect our ownership change calculations.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deferred tax assets in the future could become subject to additional future valuation allowances</w:t>
      </w:r>
    </w:p>
    <w:p>
      <w:pPr>
        <w:spacing w:after="0" w:line="25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 xml:space="preserve">Accounting Standards Codification Topic 740, </w:t>
      </w:r>
      <w:r>
        <w:rPr>
          <w:rFonts w:ascii="Arial" w:cs="Arial" w:eastAsia="Arial" w:hAnsi="Arial"/>
          <w:sz w:val="18"/>
          <w:szCs w:val="18"/>
          <w:i w:val="1"/>
          <w:iCs w:val="1"/>
          <w:color w:val="auto"/>
        </w:rPr>
        <w:t>Income Taxes</w:t>
      </w:r>
      <w:r>
        <w:rPr>
          <w:rFonts w:ascii="Arial" w:cs="Arial" w:eastAsia="Arial" w:hAnsi="Arial"/>
          <w:sz w:val="18"/>
          <w:szCs w:val="18"/>
          <w:color w:val="auto"/>
        </w:rPr>
        <w:t>, requires that companies assess whether a valuation allowance should be established against their deferred tax assets based on the consideration of all available evidence using a “more likely than not” standard. The determination of whether a valuation allowance for deferred tax assets is appropriate is subject to considerable judgment and requires an evaluation of all positive and negative evidence with more weight given to evidence that can be objectively verified.</w:t>
      </w:r>
    </w:p>
    <w:p>
      <w:pPr>
        <w:spacing w:after="0" w:line="215"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At June 30, 2013, based on the weight of all the positive and negative evidence at such date, management concluded that it was more likely than not that $272 million of our net deferred tax assets will be realized based upon future taxable income and therefore, reversed $272 million of its previously established valuation allowance. However, each quarter, management considers both positive and negative evidence and analyzes changes in near-term market conditions as well as other factors which may impact future operating results. In addition, valuation allowances related to deferred tax assets can be affected by changes to tax laws, statutory tax rates, and future taxable income levels and based on input from our auditors, tax advisors or regulatory authorities. As a result, the valuation allowance could fluctuate in future periods. Management’s estimate of future taxable income is based on internal projections which consider historical performance, various internal estimates and assumptions, as well as certain external data, all of which management believes to be reasonable although inherently subject to significant judgment. If actual results differ significantly from the current estimates of future taxable income, even if caused by adverse macro-economic conditions, the valuation allowance may need to be increased for some or all of the deferred tax asset. Such an increase to the deferred tax asset valuation allowance would have a material adverse effect on our financial condition and results of operations.</w:t>
      </w:r>
    </w:p>
    <w:p>
      <w:pPr>
        <w:spacing w:after="0" w:line="169"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 – None</w:t>
      </w:r>
    </w:p>
    <w:p>
      <w:pPr>
        <w:spacing w:after="0" w:line="248"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Defaults upon Senior Securities – None</w:t>
      </w:r>
    </w:p>
    <w:p>
      <w:pPr>
        <w:spacing w:after="0" w:line="248"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 – None</w:t>
      </w:r>
    </w:p>
    <w:p>
      <w:pPr>
        <w:spacing w:after="0" w:line="248"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Other Information – None</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13970</wp:posOffset>
            </wp:positionV>
            <wp:extent cx="724789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7890" cy="8255"/>
                    </a:xfrm>
                    <a:prstGeom prst="rect">
                      <a:avLst/>
                    </a:prstGeom>
                    <a:noFill/>
                  </pic:spPr>
                </pic:pic>
              </a:graphicData>
            </a:graphic>
          </wp:anchor>
        </w:drawing>
      </w:r>
    </w:p>
    <w:p>
      <w:pPr>
        <w:sectPr>
          <w:pgSz w:w="11900" w:h="16838" w:orient="portrait"/>
          <w:cols w:equalWidth="0" w:num="1">
            <w:col w:w="11420"/>
          </w:cols>
          <w:pgMar w:left="240" w:top="915" w:right="239" w:bottom="1440" w:gutter="0" w:footer="0" w:header="0"/>
        </w:sectPr>
      </w:pPr>
    </w:p>
    <w:bookmarkStart w:id="67" w:name="page68"/>
    <w:bookmarkEnd w:id="67"/>
    <w:tbl>
      <w:tblPr>
        <w:tblLayout w:type="fixed"/>
        <w:tblInd w:w="0" w:type="dxa"/>
        <w:tblCellMar>
          <w:top w:w="0" w:type="dxa"/>
          <w:left w:w="0" w:type="dxa"/>
          <w:bottom w:w="0" w:type="dxa"/>
          <w:right w:w="0" w:type="dxa"/>
        </w:tblCellMar>
      </w:tblPr>
      <w:tr>
        <w:trPr>
          <w:trHeight w:val="231"/>
        </w:trPr>
        <w:tc>
          <w:tcPr>
            <w:tcW w:w="114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10280" w:type="dxa"/>
            <w:vAlign w:val="bottom"/>
            <w:gridSpan w:val="2"/>
          </w:tcPr>
          <w:p>
            <w:pPr>
              <w:ind w:left="60"/>
              <w:spacing w:after="0"/>
              <w:rPr>
                <w:sz w:val="20"/>
                <w:szCs w:val="20"/>
                <w:color w:val="auto"/>
              </w:rPr>
            </w:pPr>
            <w:r>
              <w:rPr>
                <w:rFonts w:ascii="Arial" w:cs="Arial" w:eastAsia="Arial" w:hAnsi="Arial"/>
                <w:sz w:val="18"/>
                <w:szCs w:val="18"/>
                <w:b w:val="1"/>
                <w:bCs w:val="1"/>
                <w:color w:val="auto"/>
              </w:rPr>
              <w:t>Exhibits</w:t>
            </w:r>
          </w:p>
        </w:tc>
      </w:tr>
      <w:tr>
        <w:trPr>
          <w:trHeight w:val="455"/>
        </w:trPr>
        <w:tc>
          <w:tcPr>
            <w:tcW w:w="1400" w:type="dxa"/>
            <w:vAlign w:val="bottom"/>
            <w:gridSpan w:val="2"/>
          </w:tcPr>
          <w:p>
            <w:pPr>
              <w:ind w:left="480"/>
              <w:spacing w:after="0"/>
              <w:rPr>
                <w:sz w:val="20"/>
                <w:szCs w:val="20"/>
                <w:color w:val="auto"/>
              </w:rPr>
            </w:pPr>
            <w:r>
              <w:rPr>
                <w:rFonts w:ascii="Arial" w:cs="Arial" w:eastAsia="Arial" w:hAnsi="Arial"/>
                <w:sz w:val="18"/>
                <w:szCs w:val="18"/>
                <w:color w:val="auto"/>
              </w:rPr>
              <w:t>Exhibit No.</w:t>
            </w:r>
          </w:p>
        </w:tc>
        <w:tc>
          <w:tcPr>
            <w:tcW w:w="10020" w:type="dxa"/>
            <w:vAlign w:val="bottom"/>
          </w:tcPr>
          <w:p>
            <w:pPr>
              <w:ind w:left="100"/>
              <w:spacing w:after="0"/>
              <w:rPr>
                <w:sz w:val="20"/>
                <w:szCs w:val="20"/>
                <w:color w:val="auto"/>
              </w:rPr>
            </w:pPr>
            <w:r>
              <w:rPr>
                <w:rFonts w:ascii="Arial" w:cs="Arial" w:eastAsia="Arial" w:hAnsi="Arial"/>
                <w:sz w:val="18"/>
                <w:szCs w:val="18"/>
                <w:color w:val="auto"/>
              </w:rPr>
              <w:t>Description</w:t>
            </w:r>
          </w:p>
        </w:tc>
      </w:tr>
      <w:tr>
        <w:trPr>
          <w:trHeight w:val="429"/>
        </w:trPr>
        <w:tc>
          <w:tcPr>
            <w:tcW w:w="1140" w:type="dxa"/>
            <w:vAlign w:val="bottom"/>
          </w:tcPr>
          <w:p>
            <w:pPr>
              <w:ind w:left="660"/>
              <w:spacing w:after="0"/>
              <w:rPr>
                <w:sz w:val="20"/>
                <w:szCs w:val="20"/>
                <w:color w:val="auto"/>
              </w:rPr>
            </w:pPr>
            <w:r>
              <w:rPr>
                <w:rFonts w:ascii="Arial" w:cs="Arial" w:eastAsia="Arial" w:hAnsi="Arial"/>
                <w:sz w:val="18"/>
                <w:szCs w:val="18"/>
                <w:color w:val="auto"/>
              </w:rPr>
              <w:t>10.1</w:t>
            </w:r>
          </w:p>
        </w:tc>
        <w:tc>
          <w:tcPr>
            <w:tcW w:w="260" w:type="dxa"/>
            <w:vAlign w:val="bottom"/>
          </w:tcPr>
          <w:p>
            <w:pPr>
              <w:spacing w:after="0"/>
              <w:rPr>
                <w:sz w:val="24"/>
                <w:szCs w:val="24"/>
                <w:color w:val="auto"/>
              </w:rPr>
            </w:pPr>
          </w:p>
        </w:tc>
        <w:tc>
          <w:tcPr>
            <w:tcW w:w="10020" w:type="dxa"/>
            <w:vAlign w:val="bottom"/>
          </w:tcPr>
          <w:p>
            <w:pPr>
              <w:ind w:left="100"/>
              <w:spacing w:after="0"/>
              <w:rPr>
                <w:sz w:val="20"/>
                <w:szCs w:val="20"/>
                <w:color w:val="auto"/>
              </w:rPr>
            </w:pPr>
            <w:r>
              <w:rPr>
                <w:rFonts w:ascii="Arial" w:cs="Arial" w:eastAsia="Arial" w:hAnsi="Arial"/>
                <w:sz w:val="18"/>
                <w:szCs w:val="18"/>
                <w:color w:val="auto"/>
                <w:w w:val="96"/>
              </w:rPr>
              <w:t>Form of Asset Purchase and Sale Agreement, dated June 26, 2013, between United Community Bank and Great Oak Pool I LLC.</w:t>
            </w:r>
          </w:p>
        </w:tc>
      </w:tr>
      <w:tr>
        <w:trPr>
          <w:trHeight w:val="416"/>
        </w:trPr>
        <w:tc>
          <w:tcPr>
            <w:tcW w:w="1140" w:type="dxa"/>
            <w:vAlign w:val="bottom"/>
          </w:tcPr>
          <w:p>
            <w:pPr>
              <w:ind w:left="660"/>
              <w:spacing w:after="0"/>
              <w:rPr>
                <w:sz w:val="20"/>
                <w:szCs w:val="20"/>
                <w:color w:val="auto"/>
              </w:rPr>
            </w:pPr>
            <w:r>
              <w:rPr>
                <w:rFonts w:ascii="Arial" w:cs="Arial" w:eastAsia="Arial" w:hAnsi="Arial"/>
                <w:sz w:val="18"/>
                <w:szCs w:val="18"/>
                <w:color w:val="auto"/>
              </w:rPr>
              <w:t>31.1</w:t>
            </w:r>
          </w:p>
        </w:tc>
        <w:tc>
          <w:tcPr>
            <w:tcW w:w="260" w:type="dxa"/>
            <w:vAlign w:val="bottom"/>
          </w:tcPr>
          <w:p>
            <w:pPr>
              <w:spacing w:after="0"/>
              <w:rPr>
                <w:sz w:val="24"/>
                <w:szCs w:val="24"/>
                <w:color w:val="auto"/>
              </w:rPr>
            </w:pPr>
          </w:p>
        </w:tc>
        <w:tc>
          <w:tcPr>
            <w:tcW w:w="10020" w:type="dxa"/>
            <w:vAlign w:val="bottom"/>
          </w:tcPr>
          <w:p>
            <w:pPr>
              <w:ind w:left="100"/>
              <w:spacing w:after="0"/>
              <w:rPr>
                <w:sz w:val="20"/>
                <w:szCs w:val="20"/>
                <w:color w:val="auto"/>
              </w:rPr>
            </w:pPr>
            <w:r>
              <w:rPr>
                <w:rFonts w:ascii="Arial" w:cs="Arial" w:eastAsia="Arial" w:hAnsi="Arial"/>
                <w:sz w:val="18"/>
                <w:szCs w:val="18"/>
                <w:color w:val="auto"/>
                <w:w w:val="96"/>
              </w:rPr>
              <w:t>Certification by Jimmy C. Tallent, President and Chief Executive Officer of United Community Banks, Inc., as adopted pursuant to</w:t>
            </w:r>
          </w:p>
        </w:tc>
      </w:tr>
      <w:tr>
        <w:trPr>
          <w:trHeight w:val="227"/>
        </w:trPr>
        <w:tc>
          <w:tcPr>
            <w:tcW w:w="1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20" w:type="dxa"/>
            <w:vAlign w:val="bottom"/>
          </w:tcPr>
          <w:p>
            <w:pPr>
              <w:ind w:left="100"/>
              <w:spacing w:after="0"/>
              <w:rPr>
                <w:sz w:val="20"/>
                <w:szCs w:val="20"/>
                <w:color w:val="auto"/>
              </w:rPr>
            </w:pPr>
            <w:r>
              <w:rPr>
                <w:rFonts w:ascii="Arial" w:cs="Arial" w:eastAsia="Arial" w:hAnsi="Arial"/>
                <w:sz w:val="18"/>
                <w:szCs w:val="18"/>
                <w:color w:val="auto"/>
              </w:rPr>
              <w:t>Section 302 of the Sarbanes-Oxley Act of 2002.</w:t>
            </w:r>
          </w:p>
        </w:tc>
      </w:tr>
      <w:tr>
        <w:trPr>
          <w:trHeight w:val="416"/>
        </w:trPr>
        <w:tc>
          <w:tcPr>
            <w:tcW w:w="1140" w:type="dxa"/>
            <w:vAlign w:val="bottom"/>
          </w:tcPr>
          <w:p>
            <w:pPr>
              <w:ind w:left="660"/>
              <w:spacing w:after="0"/>
              <w:rPr>
                <w:sz w:val="20"/>
                <w:szCs w:val="20"/>
                <w:color w:val="auto"/>
              </w:rPr>
            </w:pPr>
            <w:r>
              <w:rPr>
                <w:rFonts w:ascii="Arial" w:cs="Arial" w:eastAsia="Arial" w:hAnsi="Arial"/>
                <w:sz w:val="18"/>
                <w:szCs w:val="18"/>
                <w:color w:val="auto"/>
              </w:rPr>
              <w:t>31.2</w:t>
            </w:r>
          </w:p>
        </w:tc>
        <w:tc>
          <w:tcPr>
            <w:tcW w:w="260" w:type="dxa"/>
            <w:vAlign w:val="bottom"/>
          </w:tcPr>
          <w:p>
            <w:pPr>
              <w:spacing w:after="0"/>
              <w:rPr>
                <w:sz w:val="24"/>
                <w:szCs w:val="24"/>
                <w:color w:val="auto"/>
              </w:rPr>
            </w:pPr>
          </w:p>
        </w:tc>
        <w:tc>
          <w:tcPr>
            <w:tcW w:w="10020" w:type="dxa"/>
            <w:vAlign w:val="bottom"/>
          </w:tcPr>
          <w:p>
            <w:pPr>
              <w:ind w:left="100"/>
              <w:spacing w:after="0"/>
              <w:rPr>
                <w:sz w:val="20"/>
                <w:szCs w:val="20"/>
                <w:color w:val="auto"/>
              </w:rPr>
            </w:pPr>
            <w:r>
              <w:rPr>
                <w:rFonts w:ascii="Arial" w:cs="Arial" w:eastAsia="Arial" w:hAnsi="Arial"/>
                <w:sz w:val="18"/>
                <w:szCs w:val="18"/>
                <w:color w:val="auto"/>
                <w:w w:val="94"/>
              </w:rPr>
              <w:t>Certification by Rex S. Schuette, Executive Vice President and Chief Financial Officer of United Community Banks, Inc., as adopted</w:t>
            </w:r>
          </w:p>
        </w:tc>
      </w:tr>
      <w:tr>
        <w:trPr>
          <w:trHeight w:val="227"/>
        </w:trPr>
        <w:tc>
          <w:tcPr>
            <w:tcW w:w="1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20" w:type="dxa"/>
            <w:vAlign w:val="bottom"/>
          </w:tcPr>
          <w:p>
            <w:pPr>
              <w:ind w:left="100"/>
              <w:spacing w:after="0"/>
              <w:rPr>
                <w:sz w:val="20"/>
                <w:szCs w:val="20"/>
                <w:color w:val="auto"/>
              </w:rPr>
            </w:pPr>
            <w:r>
              <w:rPr>
                <w:rFonts w:ascii="Arial" w:cs="Arial" w:eastAsia="Arial" w:hAnsi="Arial"/>
                <w:sz w:val="18"/>
                <w:szCs w:val="18"/>
                <w:color w:val="auto"/>
              </w:rPr>
              <w:t>pursuant to Section 302 of the Sarbanes-Oxley Act of 2002.</w:t>
            </w:r>
          </w:p>
        </w:tc>
      </w:tr>
      <w:tr>
        <w:trPr>
          <w:trHeight w:val="429"/>
        </w:trPr>
        <w:tc>
          <w:tcPr>
            <w:tcW w:w="1140" w:type="dxa"/>
            <w:vAlign w:val="bottom"/>
          </w:tcPr>
          <w:p>
            <w:pPr>
              <w:ind w:left="660"/>
              <w:spacing w:after="0"/>
              <w:rPr>
                <w:sz w:val="20"/>
                <w:szCs w:val="20"/>
                <w:color w:val="auto"/>
              </w:rPr>
            </w:pPr>
            <w:r>
              <w:rPr>
                <w:rFonts w:ascii="Arial" w:cs="Arial" w:eastAsia="Arial" w:hAnsi="Arial"/>
                <w:sz w:val="18"/>
                <w:szCs w:val="18"/>
                <w:color w:val="auto"/>
              </w:rPr>
              <w:t>32</w:t>
            </w:r>
          </w:p>
        </w:tc>
        <w:tc>
          <w:tcPr>
            <w:tcW w:w="260" w:type="dxa"/>
            <w:vAlign w:val="bottom"/>
          </w:tcPr>
          <w:p>
            <w:pPr>
              <w:spacing w:after="0"/>
              <w:rPr>
                <w:sz w:val="24"/>
                <w:szCs w:val="24"/>
                <w:color w:val="auto"/>
              </w:rPr>
            </w:pPr>
          </w:p>
        </w:tc>
        <w:tc>
          <w:tcPr>
            <w:tcW w:w="10020" w:type="dxa"/>
            <w:vAlign w:val="bottom"/>
          </w:tcPr>
          <w:p>
            <w:pPr>
              <w:ind w:left="100"/>
              <w:spacing w:after="0"/>
              <w:rPr>
                <w:sz w:val="20"/>
                <w:szCs w:val="20"/>
                <w:color w:val="auto"/>
              </w:rPr>
            </w:pPr>
            <w:r>
              <w:rPr>
                <w:rFonts w:ascii="Arial" w:cs="Arial" w:eastAsia="Arial" w:hAnsi="Arial"/>
                <w:sz w:val="18"/>
                <w:szCs w:val="18"/>
                <w:color w:val="auto"/>
              </w:rPr>
              <w:t>Certification Pursuant to 18 U.S.C. Section 1350, as Adopted Pursuant to Section 906 of the Sarbanes-Oxley Act of 2002.</w:t>
            </w:r>
          </w:p>
        </w:tc>
      </w:tr>
      <w:tr>
        <w:trPr>
          <w:trHeight w:val="429"/>
        </w:trPr>
        <w:tc>
          <w:tcPr>
            <w:tcW w:w="1140" w:type="dxa"/>
            <w:vAlign w:val="bottom"/>
          </w:tcPr>
          <w:p>
            <w:pPr>
              <w:jc w:val="center"/>
              <w:ind w:left="291"/>
              <w:spacing w:after="0"/>
              <w:rPr>
                <w:sz w:val="20"/>
                <w:szCs w:val="20"/>
                <w:color w:val="auto"/>
              </w:rPr>
            </w:pPr>
            <w:r>
              <w:rPr>
                <w:rFonts w:ascii="Arial" w:cs="Arial" w:eastAsia="Arial" w:hAnsi="Arial"/>
                <w:sz w:val="18"/>
                <w:szCs w:val="18"/>
                <w:color w:val="auto"/>
                <w:w w:val="92"/>
              </w:rPr>
              <w:t>101.INS</w:t>
            </w:r>
          </w:p>
        </w:tc>
        <w:tc>
          <w:tcPr>
            <w:tcW w:w="260" w:type="dxa"/>
            <w:vAlign w:val="bottom"/>
          </w:tcPr>
          <w:p>
            <w:pPr>
              <w:spacing w:after="0"/>
              <w:rPr>
                <w:sz w:val="24"/>
                <w:szCs w:val="24"/>
                <w:color w:val="auto"/>
              </w:rPr>
            </w:pPr>
          </w:p>
        </w:tc>
        <w:tc>
          <w:tcPr>
            <w:tcW w:w="10020" w:type="dxa"/>
            <w:vAlign w:val="bottom"/>
          </w:tcPr>
          <w:p>
            <w:pPr>
              <w:ind w:left="100"/>
              <w:spacing w:after="0"/>
              <w:rPr>
                <w:sz w:val="20"/>
                <w:szCs w:val="20"/>
                <w:color w:val="auto"/>
              </w:rPr>
            </w:pPr>
            <w:r>
              <w:rPr>
                <w:rFonts w:ascii="Arial" w:cs="Arial" w:eastAsia="Arial" w:hAnsi="Arial"/>
                <w:sz w:val="18"/>
                <w:szCs w:val="18"/>
                <w:color w:val="auto"/>
              </w:rPr>
              <w:t>XBRL Instance Document</w:t>
            </w:r>
          </w:p>
        </w:tc>
      </w:tr>
      <w:tr>
        <w:trPr>
          <w:trHeight w:val="429"/>
        </w:trPr>
        <w:tc>
          <w:tcPr>
            <w:tcW w:w="1140" w:type="dxa"/>
            <w:vAlign w:val="bottom"/>
          </w:tcPr>
          <w:p>
            <w:pPr>
              <w:jc w:val="center"/>
              <w:ind w:left="271"/>
              <w:spacing w:after="0"/>
              <w:rPr>
                <w:sz w:val="20"/>
                <w:szCs w:val="20"/>
                <w:color w:val="auto"/>
              </w:rPr>
            </w:pPr>
            <w:r>
              <w:rPr>
                <w:rFonts w:ascii="Arial" w:cs="Arial" w:eastAsia="Arial" w:hAnsi="Arial"/>
                <w:sz w:val="18"/>
                <w:szCs w:val="18"/>
                <w:color w:val="auto"/>
                <w:w w:val="90"/>
              </w:rPr>
              <w:t>101.SCH</w:t>
            </w:r>
          </w:p>
        </w:tc>
        <w:tc>
          <w:tcPr>
            <w:tcW w:w="260" w:type="dxa"/>
            <w:vAlign w:val="bottom"/>
          </w:tcPr>
          <w:p>
            <w:pPr>
              <w:spacing w:after="0"/>
              <w:rPr>
                <w:sz w:val="24"/>
                <w:szCs w:val="24"/>
                <w:color w:val="auto"/>
              </w:rPr>
            </w:pPr>
          </w:p>
        </w:tc>
        <w:tc>
          <w:tcPr>
            <w:tcW w:w="10020" w:type="dxa"/>
            <w:vAlign w:val="bottom"/>
          </w:tcPr>
          <w:p>
            <w:pPr>
              <w:ind w:left="100"/>
              <w:spacing w:after="0"/>
              <w:rPr>
                <w:sz w:val="20"/>
                <w:szCs w:val="20"/>
                <w:color w:val="auto"/>
              </w:rPr>
            </w:pPr>
            <w:r>
              <w:rPr>
                <w:rFonts w:ascii="Arial" w:cs="Arial" w:eastAsia="Arial" w:hAnsi="Arial"/>
                <w:sz w:val="18"/>
                <w:szCs w:val="18"/>
                <w:color w:val="auto"/>
              </w:rPr>
              <w:t>XBRL Taxonomy Extension Schema Document</w:t>
            </w:r>
          </w:p>
        </w:tc>
      </w:tr>
      <w:tr>
        <w:trPr>
          <w:trHeight w:val="429"/>
        </w:trPr>
        <w:tc>
          <w:tcPr>
            <w:tcW w:w="1140" w:type="dxa"/>
            <w:vAlign w:val="bottom"/>
          </w:tcPr>
          <w:p>
            <w:pPr>
              <w:jc w:val="center"/>
              <w:ind w:left="271"/>
              <w:spacing w:after="0"/>
              <w:rPr>
                <w:sz w:val="20"/>
                <w:szCs w:val="20"/>
                <w:color w:val="auto"/>
              </w:rPr>
            </w:pPr>
            <w:r>
              <w:rPr>
                <w:rFonts w:ascii="Arial" w:cs="Arial" w:eastAsia="Arial" w:hAnsi="Arial"/>
                <w:sz w:val="18"/>
                <w:szCs w:val="18"/>
                <w:color w:val="auto"/>
                <w:w w:val="94"/>
              </w:rPr>
              <w:t>101.CAL</w:t>
            </w:r>
          </w:p>
        </w:tc>
        <w:tc>
          <w:tcPr>
            <w:tcW w:w="260" w:type="dxa"/>
            <w:vAlign w:val="bottom"/>
          </w:tcPr>
          <w:p>
            <w:pPr>
              <w:spacing w:after="0"/>
              <w:rPr>
                <w:sz w:val="24"/>
                <w:szCs w:val="24"/>
                <w:color w:val="auto"/>
              </w:rPr>
            </w:pPr>
          </w:p>
        </w:tc>
        <w:tc>
          <w:tcPr>
            <w:tcW w:w="10020" w:type="dxa"/>
            <w:vAlign w:val="bottom"/>
          </w:tcPr>
          <w:p>
            <w:pPr>
              <w:ind w:left="100"/>
              <w:spacing w:after="0"/>
              <w:rPr>
                <w:sz w:val="20"/>
                <w:szCs w:val="20"/>
                <w:color w:val="auto"/>
              </w:rPr>
            </w:pPr>
            <w:r>
              <w:rPr>
                <w:rFonts w:ascii="Arial" w:cs="Arial" w:eastAsia="Arial" w:hAnsi="Arial"/>
                <w:sz w:val="18"/>
                <w:szCs w:val="18"/>
                <w:color w:val="auto"/>
              </w:rPr>
              <w:t>XBRL Taxonomy Extension Calculation Linkbase Document</w:t>
            </w:r>
          </w:p>
        </w:tc>
      </w:tr>
      <w:tr>
        <w:trPr>
          <w:trHeight w:val="429"/>
        </w:trPr>
        <w:tc>
          <w:tcPr>
            <w:tcW w:w="1140" w:type="dxa"/>
            <w:vAlign w:val="bottom"/>
          </w:tcPr>
          <w:p>
            <w:pPr>
              <w:jc w:val="center"/>
              <w:ind w:left="271"/>
              <w:spacing w:after="0"/>
              <w:rPr>
                <w:sz w:val="20"/>
                <w:szCs w:val="20"/>
                <w:color w:val="auto"/>
              </w:rPr>
            </w:pPr>
            <w:r>
              <w:rPr>
                <w:rFonts w:ascii="Arial" w:cs="Arial" w:eastAsia="Arial" w:hAnsi="Arial"/>
                <w:sz w:val="18"/>
                <w:szCs w:val="18"/>
                <w:color w:val="auto"/>
                <w:w w:val="92"/>
              </w:rPr>
              <w:t>101.DEF</w:t>
            </w:r>
          </w:p>
        </w:tc>
        <w:tc>
          <w:tcPr>
            <w:tcW w:w="260" w:type="dxa"/>
            <w:vAlign w:val="bottom"/>
          </w:tcPr>
          <w:p>
            <w:pPr>
              <w:spacing w:after="0"/>
              <w:rPr>
                <w:sz w:val="24"/>
                <w:szCs w:val="24"/>
                <w:color w:val="auto"/>
              </w:rPr>
            </w:pPr>
          </w:p>
        </w:tc>
        <w:tc>
          <w:tcPr>
            <w:tcW w:w="10020" w:type="dxa"/>
            <w:vAlign w:val="bottom"/>
          </w:tcPr>
          <w:p>
            <w:pPr>
              <w:ind w:left="100"/>
              <w:spacing w:after="0"/>
              <w:rPr>
                <w:sz w:val="20"/>
                <w:szCs w:val="20"/>
                <w:color w:val="auto"/>
              </w:rPr>
            </w:pPr>
            <w:r>
              <w:rPr>
                <w:rFonts w:ascii="Arial" w:cs="Arial" w:eastAsia="Arial" w:hAnsi="Arial"/>
                <w:sz w:val="18"/>
                <w:szCs w:val="18"/>
                <w:color w:val="auto"/>
              </w:rPr>
              <w:t>XBRL Taxonomy Extension Definition Linkbase Document</w:t>
            </w:r>
          </w:p>
        </w:tc>
      </w:tr>
      <w:tr>
        <w:trPr>
          <w:trHeight w:val="429"/>
        </w:trPr>
        <w:tc>
          <w:tcPr>
            <w:tcW w:w="1140" w:type="dxa"/>
            <w:vAlign w:val="bottom"/>
          </w:tcPr>
          <w:p>
            <w:pPr>
              <w:jc w:val="center"/>
              <w:ind w:left="271"/>
              <w:spacing w:after="0"/>
              <w:rPr>
                <w:sz w:val="20"/>
                <w:szCs w:val="20"/>
                <w:color w:val="auto"/>
              </w:rPr>
            </w:pPr>
            <w:r>
              <w:rPr>
                <w:rFonts w:ascii="Arial" w:cs="Arial" w:eastAsia="Arial" w:hAnsi="Arial"/>
                <w:sz w:val="18"/>
                <w:szCs w:val="18"/>
                <w:color w:val="auto"/>
                <w:w w:val="95"/>
              </w:rPr>
              <w:t>101.LAB</w:t>
            </w:r>
          </w:p>
        </w:tc>
        <w:tc>
          <w:tcPr>
            <w:tcW w:w="260" w:type="dxa"/>
            <w:vAlign w:val="bottom"/>
          </w:tcPr>
          <w:p>
            <w:pPr>
              <w:spacing w:after="0"/>
              <w:rPr>
                <w:sz w:val="24"/>
                <w:szCs w:val="24"/>
                <w:color w:val="auto"/>
              </w:rPr>
            </w:pPr>
          </w:p>
        </w:tc>
        <w:tc>
          <w:tcPr>
            <w:tcW w:w="10020" w:type="dxa"/>
            <w:vAlign w:val="bottom"/>
          </w:tcPr>
          <w:p>
            <w:pPr>
              <w:ind w:left="100"/>
              <w:spacing w:after="0"/>
              <w:rPr>
                <w:sz w:val="20"/>
                <w:szCs w:val="20"/>
                <w:color w:val="auto"/>
              </w:rPr>
            </w:pPr>
            <w:r>
              <w:rPr>
                <w:rFonts w:ascii="Arial" w:cs="Arial" w:eastAsia="Arial" w:hAnsi="Arial"/>
                <w:sz w:val="18"/>
                <w:szCs w:val="18"/>
                <w:color w:val="auto"/>
              </w:rPr>
              <w:t>XBRL Taxonomy Extension Label Linkbase Document</w:t>
            </w:r>
          </w:p>
        </w:tc>
      </w:tr>
      <w:tr>
        <w:trPr>
          <w:trHeight w:val="429"/>
        </w:trPr>
        <w:tc>
          <w:tcPr>
            <w:tcW w:w="1140" w:type="dxa"/>
            <w:vAlign w:val="bottom"/>
          </w:tcPr>
          <w:p>
            <w:pPr>
              <w:jc w:val="center"/>
              <w:ind w:left="291"/>
              <w:spacing w:after="0"/>
              <w:rPr>
                <w:sz w:val="20"/>
                <w:szCs w:val="20"/>
                <w:color w:val="auto"/>
              </w:rPr>
            </w:pPr>
            <w:r>
              <w:rPr>
                <w:rFonts w:ascii="Arial" w:cs="Arial" w:eastAsia="Arial" w:hAnsi="Arial"/>
                <w:sz w:val="18"/>
                <w:szCs w:val="18"/>
                <w:color w:val="auto"/>
                <w:w w:val="88"/>
              </w:rPr>
              <w:t>101.PRE</w:t>
            </w:r>
          </w:p>
        </w:tc>
        <w:tc>
          <w:tcPr>
            <w:tcW w:w="260" w:type="dxa"/>
            <w:vAlign w:val="bottom"/>
          </w:tcPr>
          <w:p>
            <w:pPr>
              <w:spacing w:after="0"/>
              <w:rPr>
                <w:sz w:val="24"/>
                <w:szCs w:val="24"/>
                <w:color w:val="auto"/>
              </w:rPr>
            </w:pPr>
          </w:p>
        </w:tc>
        <w:tc>
          <w:tcPr>
            <w:tcW w:w="10020" w:type="dxa"/>
            <w:vAlign w:val="bottom"/>
          </w:tcPr>
          <w:p>
            <w:pPr>
              <w:ind w:left="100"/>
              <w:spacing w:after="0"/>
              <w:rPr>
                <w:sz w:val="20"/>
                <w:szCs w:val="20"/>
                <w:color w:val="auto"/>
              </w:rPr>
            </w:pPr>
            <w:r>
              <w:rPr>
                <w:rFonts w:ascii="Arial" w:cs="Arial" w:eastAsia="Arial" w:hAnsi="Arial"/>
                <w:sz w:val="18"/>
                <w:szCs w:val="18"/>
                <w:color w:val="auto"/>
              </w:rPr>
              <w:t>XBRL Taxonomy Extension Presentation Linkbase Document</w:t>
            </w:r>
          </w:p>
        </w:tc>
      </w:tr>
      <w:tr>
        <w:trPr>
          <w:trHeight w:val="429"/>
        </w:trPr>
        <w:tc>
          <w:tcPr>
            <w:tcW w:w="1140" w:type="dxa"/>
            <w:vAlign w:val="bottom"/>
            <w:tcBorders>
              <w:bottom w:val="single" w:sz="8" w:color="DCDCDC"/>
            </w:tcBorders>
          </w:tcPr>
          <w:p>
            <w:pPr>
              <w:spacing w:after="0"/>
              <w:rPr>
                <w:sz w:val="24"/>
                <w:szCs w:val="24"/>
                <w:color w:val="auto"/>
              </w:rPr>
            </w:pPr>
          </w:p>
        </w:tc>
        <w:tc>
          <w:tcPr>
            <w:tcW w:w="260" w:type="dxa"/>
            <w:vAlign w:val="bottom"/>
            <w:tcBorders>
              <w:bottom w:val="single" w:sz="8" w:color="DCDCDC"/>
            </w:tcBorders>
          </w:tcPr>
          <w:p>
            <w:pPr>
              <w:spacing w:after="0"/>
              <w:rPr>
                <w:sz w:val="24"/>
                <w:szCs w:val="24"/>
                <w:color w:val="auto"/>
              </w:rPr>
            </w:pPr>
          </w:p>
        </w:tc>
        <w:tc>
          <w:tcPr>
            <w:tcW w:w="10020" w:type="dxa"/>
            <w:vAlign w:val="bottom"/>
            <w:tcBorders>
              <w:bottom w:val="single" w:sz="8" w:color="DCDCDC"/>
            </w:tcBorders>
          </w:tcPr>
          <w:p>
            <w:pPr>
              <w:ind w:left="4220"/>
              <w:spacing w:after="0"/>
              <w:rPr>
                <w:sz w:val="20"/>
                <w:szCs w:val="20"/>
                <w:color w:val="auto"/>
              </w:rPr>
            </w:pPr>
            <w:r>
              <w:rPr>
                <w:rFonts w:ascii="Arial" w:cs="Arial" w:eastAsia="Arial" w:hAnsi="Arial"/>
                <w:sz w:val="18"/>
                <w:szCs w:val="18"/>
                <w:color w:val="auto"/>
              </w:rPr>
              <w:t>63</w:t>
            </w:r>
          </w:p>
        </w:tc>
      </w:tr>
    </w:tbl>
    <w:p>
      <w:pPr>
        <w:sectPr>
          <w:pgSz w:w="11900" w:h="16838" w:orient="portrait"/>
          <w:cols w:equalWidth="0" w:num="1">
            <w:col w:w="11420"/>
          </w:cols>
          <w:pgMar w:left="240" w:top="885" w:right="239" w:bottom="1440" w:gutter="0" w:footer="0" w:header="0"/>
        </w:sectPr>
      </w:pPr>
    </w:p>
    <w:bookmarkStart w:id="68" w:name="page69"/>
    <w:bookmarkEnd w:id="68"/>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52"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8" w:lineRule="exact"/>
        <w:rPr>
          <w:sz w:val="20"/>
          <w:szCs w:val="20"/>
          <w:color w:val="auto"/>
        </w:rPr>
      </w:pPr>
    </w:p>
    <w:p>
      <w:pPr>
        <w:ind w:left="6060"/>
        <w:spacing w:after="0"/>
        <w:rPr>
          <w:sz w:val="20"/>
          <w:szCs w:val="20"/>
          <w:color w:val="auto"/>
        </w:rPr>
      </w:pPr>
      <w:r>
        <w:rPr>
          <w:rFonts w:ascii="Arial" w:cs="Arial" w:eastAsia="Arial" w:hAnsi="Arial"/>
          <w:sz w:val="18"/>
          <w:szCs w:val="18"/>
          <w:b w:val="1"/>
          <w:bCs w:val="1"/>
          <w:color w:val="auto"/>
        </w:rPr>
        <w:t>UNITED COMMUNITY BANKS, INC.</w:t>
      </w:r>
    </w:p>
    <w:p>
      <w:pPr>
        <w:spacing w:after="0" w:line="226" w:lineRule="exact"/>
        <w:rPr>
          <w:sz w:val="20"/>
          <w:szCs w:val="20"/>
          <w:color w:val="auto"/>
        </w:rPr>
      </w:pPr>
    </w:p>
    <w:p>
      <w:pPr>
        <w:ind w:left="6060"/>
        <w:spacing w:after="0"/>
        <w:rPr>
          <w:sz w:val="20"/>
          <w:szCs w:val="20"/>
          <w:color w:val="auto"/>
        </w:rPr>
      </w:pPr>
      <w:r>
        <w:rPr>
          <w:rFonts w:ascii="Arial" w:cs="Arial" w:eastAsia="Arial" w:hAnsi="Arial"/>
          <w:sz w:val="18"/>
          <w:szCs w:val="18"/>
          <w:b w:val="1"/>
          <w:bCs w:val="1"/>
          <w:i w:val="1"/>
          <w:iCs w:val="1"/>
          <w:color w:val="auto"/>
        </w:rPr>
        <w:t>/s/ Jimmy C. Tallent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3849370</wp:posOffset>
            </wp:positionH>
            <wp:positionV relativeFrom="paragraph">
              <wp:posOffset>22225</wp:posOffset>
            </wp:positionV>
            <wp:extent cx="25349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534920" cy="17145"/>
                    </a:xfrm>
                    <a:prstGeom prst="rect">
                      <a:avLst/>
                    </a:prstGeom>
                    <a:noFill/>
                  </pic:spPr>
                </pic:pic>
              </a:graphicData>
            </a:graphic>
          </wp:anchor>
        </w:drawing>
      </w:r>
    </w:p>
    <w:p>
      <w:pPr>
        <w:spacing w:after="0" w:line="28"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Jimmy C. Tallent</w:t>
      </w:r>
    </w:p>
    <w:p>
      <w:pPr>
        <w:spacing w:after="0" w:line="20"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President and Chief Executive Officer</w:t>
      </w:r>
    </w:p>
    <w:p>
      <w:pPr>
        <w:spacing w:after="0" w:line="7"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(Principal Executive Officer)</w:t>
      </w:r>
    </w:p>
    <w:p>
      <w:pPr>
        <w:spacing w:after="0" w:line="236" w:lineRule="exact"/>
        <w:rPr>
          <w:sz w:val="20"/>
          <w:szCs w:val="20"/>
          <w:color w:val="auto"/>
        </w:rPr>
      </w:pPr>
    </w:p>
    <w:p>
      <w:pPr>
        <w:ind w:left="6100"/>
        <w:spacing w:after="0"/>
        <w:rPr>
          <w:sz w:val="20"/>
          <w:szCs w:val="20"/>
          <w:color w:val="auto"/>
        </w:rPr>
      </w:pPr>
      <w:r>
        <w:rPr>
          <w:rFonts w:ascii="Arial" w:cs="Arial" w:eastAsia="Arial" w:hAnsi="Arial"/>
          <w:sz w:val="18"/>
          <w:szCs w:val="18"/>
          <w:b w:val="1"/>
          <w:bCs w:val="1"/>
          <w:i w:val="1"/>
          <w:iCs w:val="1"/>
          <w:color w:val="auto"/>
        </w:rPr>
        <w:t>/s/ Rex S. Schuette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3849370</wp:posOffset>
            </wp:positionH>
            <wp:positionV relativeFrom="paragraph">
              <wp:posOffset>22225</wp:posOffset>
            </wp:positionV>
            <wp:extent cx="25349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534920" cy="17145"/>
                    </a:xfrm>
                    <a:prstGeom prst="rect">
                      <a:avLst/>
                    </a:prstGeom>
                    <a:noFill/>
                  </pic:spPr>
                </pic:pic>
              </a:graphicData>
            </a:graphic>
          </wp:anchor>
        </w:drawing>
      </w:r>
    </w:p>
    <w:p>
      <w:pPr>
        <w:spacing w:after="0" w:line="28"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Rex S. Schuette</w:t>
      </w:r>
    </w:p>
    <w:p>
      <w:pPr>
        <w:spacing w:after="0" w:line="20"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Executive Vice President and</w:t>
      </w:r>
    </w:p>
    <w:p>
      <w:pPr>
        <w:spacing w:after="0" w:line="7"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Chief Financial Officer</w:t>
      </w:r>
    </w:p>
    <w:p>
      <w:pPr>
        <w:spacing w:after="0" w:line="7"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(Principal Financial Officer)</w:t>
      </w:r>
    </w:p>
    <w:p>
      <w:pPr>
        <w:spacing w:after="0" w:line="236" w:lineRule="exact"/>
        <w:rPr>
          <w:sz w:val="20"/>
          <w:szCs w:val="20"/>
          <w:color w:val="auto"/>
        </w:rPr>
      </w:pPr>
    </w:p>
    <w:p>
      <w:pPr>
        <w:ind w:left="6060"/>
        <w:spacing w:after="0"/>
        <w:rPr>
          <w:sz w:val="20"/>
          <w:szCs w:val="20"/>
          <w:color w:val="auto"/>
        </w:rPr>
      </w:pPr>
      <w:r>
        <w:rPr>
          <w:rFonts w:ascii="Arial" w:cs="Arial" w:eastAsia="Arial" w:hAnsi="Arial"/>
          <w:sz w:val="18"/>
          <w:szCs w:val="18"/>
          <w:b w:val="1"/>
          <w:bCs w:val="1"/>
          <w:i w:val="1"/>
          <w:iCs w:val="1"/>
          <w:color w:val="auto"/>
        </w:rPr>
        <w:t>/s/ Alan H. Kumler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3849370</wp:posOffset>
            </wp:positionH>
            <wp:positionV relativeFrom="paragraph">
              <wp:posOffset>22225</wp:posOffset>
            </wp:positionV>
            <wp:extent cx="25349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534920" cy="17145"/>
                    </a:xfrm>
                    <a:prstGeom prst="rect">
                      <a:avLst/>
                    </a:prstGeom>
                    <a:noFill/>
                  </pic:spPr>
                </pic:pic>
              </a:graphicData>
            </a:graphic>
          </wp:anchor>
        </w:drawing>
      </w:r>
    </w:p>
    <w:p>
      <w:pPr>
        <w:spacing w:after="0" w:line="28"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Alan H. Kumler</w:t>
      </w:r>
    </w:p>
    <w:p>
      <w:pPr>
        <w:spacing w:after="0" w:line="20"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Senior Vice President and Controller</w:t>
      </w:r>
    </w:p>
    <w:p>
      <w:pPr>
        <w:spacing w:after="0" w:line="7"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(Principal Accounting Officer)</w:t>
      </w:r>
    </w:p>
    <w:p>
      <w:pPr>
        <w:spacing w:after="0" w:line="20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Date: August 2, 2013</w:t>
      </w: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302895</wp:posOffset>
            </wp:positionV>
            <wp:extent cx="724789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7890" cy="8255"/>
                    </a:xfrm>
                    <a:prstGeom prst="rect">
                      <a:avLst/>
                    </a:prstGeom>
                    <a:noFill/>
                  </pic:spPr>
                </pic:pic>
              </a:graphicData>
            </a:graphic>
          </wp:anchor>
        </w:drawing>
      </w:r>
    </w:p>
    <w:p>
      <w:pPr>
        <w:sectPr>
          <w:pgSz w:w="11900" w:h="16838" w:orient="portrait"/>
          <w:cols w:equalWidth="0" w:num="1">
            <w:col w:w="11420"/>
          </w:cols>
          <w:pgMar w:left="240" w:top="911" w:right="239" w:bottom="1440" w:gutter="0" w:footer="0" w:header="0"/>
        </w:sectPr>
      </w:pPr>
    </w:p>
    <w:bookmarkStart w:id="69" w:name="page70"/>
    <w:bookmarkEnd w:id="69"/>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154940</wp:posOffset>
            </wp:positionH>
            <wp:positionV relativeFrom="page">
              <wp:posOffset>88900</wp:posOffset>
            </wp:positionV>
            <wp:extent cx="7268845" cy="190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8845" cy="19050"/>
                    </a:xfrm>
                    <a:prstGeom prst="rect">
                      <a:avLst/>
                    </a:prstGeom>
                    <a:noFill/>
                  </pic:spPr>
                </pic:pic>
              </a:graphicData>
            </a:graphic>
          </wp:anchor>
        </w:drawing>
        <w:t>Exhibit 31.1</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color w:val="auto"/>
        </w:rPr>
        <w:t>I, Jimmy C. Tallent, certify that:</w:t>
      </w:r>
    </w:p>
    <w:p>
      <w:pPr>
        <w:spacing w:after="0" w:line="248" w:lineRule="exact"/>
        <w:rPr>
          <w:sz w:val="20"/>
          <w:szCs w:val="20"/>
          <w:color w:val="auto"/>
        </w:rPr>
      </w:pPr>
    </w:p>
    <w:p>
      <w:pPr>
        <w:ind w:left="240" w:hanging="233"/>
        <w:spacing w:after="0"/>
        <w:tabs>
          <w:tab w:leader="none" w:pos="2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United Community Banks, Inc. (the “Registrant”);</w:t>
      </w:r>
    </w:p>
    <w:p>
      <w:pPr>
        <w:spacing w:after="0" w:line="248" w:lineRule="exact"/>
        <w:rPr>
          <w:rFonts w:ascii="Arial" w:cs="Arial" w:eastAsia="Arial" w:hAnsi="Arial"/>
          <w:sz w:val="18"/>
          <w:szCs w:val="18"/>
          <w:color w:val="auto"/>
        </w:rPr>
      </w:pPr>
    </w:p>
    <w:p>
      <w:pPr>
        <w:ind w:firstLine="7"/>
        <w:spacing w:after="0" w:line="335" w:lineRule="auto"/>
        <w:tabs>
          <w:tab w:leader="none" w:pos="223" w:val="left"/>
        </w:tabs>
        <w:numPr>
          <w:ilvl w:val="0"/>
          <w:numId w:val="1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6" w:lineRule="exact"/>
        <w:rPr>
          <w:rFonts w:ascii="Arial" w:cs="Arial" w:eastAsia="Arial" w:hAnsi="Arial"/>
          <w:sz w:val="16"/>
          <w:szCs w:val="16"/>
          <w:color w:val="auto"/>
        </w:rPr>
      </w:pPr>
    </w:p>
    <w:p>
      <w:pPr>
        <w:ind w:firstLine="7"/>
        <w:spacing w:after="0" w:line="271" w:lineRule="auto"/>
        <w:tabs>
          <w:tab w:leader="none" w:pos="231"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02" w:lineRule="exact"/>
        <w:rPr>
          <w:rFonts w:ascii="Arial" w:cs="Arial" w:eastAsia="Arial" w:hAnsi="Arial"/>
          <w:sz w:val="18"/>
          <w:szCs w:val="18"/>
          <w:color w:val="auto"/>
        </w:rPr>
      </w:pPr>
    </w:p>
    <w:p>
      <w:pPr>
        <w:jc w:val="both"/>
        <w:ind w:firstLine="7"/>
        <w:spacing w:after="0" w:line="260" w:lineRule="auto"/>
        <w:tabs>
          <w:tab w:leader="none" w:pos="242"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 - 15(f) and 15d - 15(f)) for the registrant and have:</w:t>
      </w:r>
    </w:p>
    <w:p>
      <w:pPr>
        <w:spacing w:after="0" w:line="211" w:lineRule="exact"/>
        <w:rPr>
          <w:rFonts w:ascii="Arial" w:cs="Arial" w:eastAsia="Arial" w:hAnsi="Arial"/>
          <w:sz w:val="18"/>
          <w:szCs w:val="18"/>
          <w:color w:val="auto"/>
        </w:rPr>
      </w:pPr>
    </w:p>
    <w:p>
      <w:pPr>
        <w:jc w:val="both"/>
        <w:ind w:left="660" w:hanging="10"/>
        <w:spacing w:after="0" w:line="260" w:lineRule="auto"/>
        <w:tabs>
          <w:tab w:leader="none" w:pos="866"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1" w:lineRule="exact"/>
        <w:rPr>
          <w:rFonts w:ascii="Arial" w:cs="Arial" w:eastAsia="Arial" w:hAnsi="Arial"/>
          <w:sz w:val="18"/>
          <w:szCs w:val="18"/>
          <w:color w:val="auto"/>
        </w:rPr>
      </w:pPr>
    </w:p>
    <w:p>
      <w:pPr>
        <w:jc w:val="both"/>
        <w:ind w:left="660" w:hanging="10"/>
        <w:spacing w:after="0" w:line="260" w:lineRule="auto"/>
        <w:tabs>
          <w:tab w:leader="none" w:pos="895"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1" w:lineRule="exact"/>
        <w:rPr>
          <w:rFonts w:ascii="Arial" w:cs="Arial" w:eastAsia="Arial" w:hAnsi="Arial"/>
          <w:sz w:val="18"/>
          <w:szCs w:val="18"/>
          <w:color w:val="auto"/>
        </w:rPr>
      </w:pPr>
    </w:p>
    <w:p>
      <w:pPr>
        <w:ind w:left="660" w:hanging="10"/>
        <w:spacing w:after="0" w:line="302" w:lineRule="auto"/>
        <w:tabs>
          <w:tab w:leader="none" w:pos="893" w:val="left"/>
        </w:tabs>
        <w:numPr>
          <w:ilvl w:val="1"/>
          <w:numId w:val="13"/>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7" w:lineRule="exact"/>
        <w:rPr>
          <w:rFonts w:ascii="Arial" w:cs="Arial" w:eastAsia="Arial" w:hAnsi="Arial"/>
          <w:sz w:val="17"/>
          <w:szCs w:val="17"/>
          <w:color w:val="auto"/>
        </w:rPr>
      </w:pPr>
    </w:p>
    <w:p>
      <w:pPr>
        <w:ind w:left="660" w:right="20" w:hanging="10"/>
        <w:spacing w:after="0" w:line="335" w:lineRule="auto"/>
        <w:tabs>
          <w:tab w:leader="none" w:pos="853" w:val="left"/>
        </w:tabs>
        <w:numPr>
          <w:ilvl w:val="1"/>
          <w:numId w:val="13"/>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56" w:lineRule="exact"/>
        <w:rPr>
          <w:rFonts w:ascii="Arial" w:cs="Arial" w:eastAsia="Arial" w:hAnsi="Arial"/>
          <w:sz w:val="16"/>
          <w:szCs w:val="16"/>
          <w:color w:val="auto"/>
        </w:rPr>
      </w:pPr>
    </w:p>
    <w:p>
      <w:pPr>
        <w:ind w:firstLine="7"/>
        <w:spacing w:after="0" w:line="271" w:lineRule="auto"/>
        <w:tabs>
          <w:tab w:leader="none" w:pos="211"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w:t>
      </w:r>
    </w:p>
    <w:p>
      <w:pPr>
        <w:spacing w:after="0" w:line="202" w:lineRule="exact"/>
        <w:rPr>
          <w:rFonts w:ascii="Arial" w:cs="Arial" w:eastAsia="Arial" w:hAnsi="Arial"/>
          <w:sz w:val="18"/>
          <w:szCs w:val="18"/>
          <w:color w:val="auto"/>
        </w:rPr>
      </w:pPr>
    </w:p>
    <w:p>
      <w:pPr>
        <w:ind w:left="660" w:hanging="10"/>
        <w:spacing w:after="0" w:line="271" w:lineRule="auto"/>
        <w:tabs>
          <w:tab w:leader="none" w:pos="861" w:val="left"/>
        </w:tabs>
        <w:numPr>
          <w:ilvl w:val="1"/>
          <w:numId w:val="1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02" w:lineRule="exact"/>
        <w:rPr>
          <w:rFonts w:ascii="Arial" w:cs="Arial" w:eastAsia="Arial" w:hAnsi="Arial"/>
          <w:sz w:val="18"/>
          <w:szCs w:val="18"/>
          <w:color w:val="auto"/>
        </w:rPr>
      </w:pPr>
    </w:p>
    <w:p>
      <w:pPr>
        <w:ind w:left="660" w:hanging="10"/>
        <w:spacing w:after="0" w:line="271" w:lineRule="auto"/>
        <w:tabs>
          <w:tab w:leader="none" w:pos="867" w:val="left"/>
        </w:tabs>
        <w:numPr>
          <w:ilvl w:val="1"/>
          <w:numId w:val="1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1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b w:val="1"/>
          <w:bCs w:val="1"/>
          <w:i w:val="1"/>
          <w:iCs w:val="1"/>
          <w:color w:val="auto"/>
        </w:rPr>
        <w:t>/s/ Jimmy C. Tallent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3849370</wp:posOffset>
            </wp:positionH>
            <wp:positionV relativeFrom="paragraph">
              <wp:posOffset>22225</wp:posOffset>
            </wp:positionV>
            <wp:extent cx="25349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534920" cy="17145"/>
                    </a:xfrm>
                    <a:prstGeom prst="rect">
                      <a:avLst/>
                    </a:prstGeom>
                    <a:noFill/>
                  </pic:spPr>
                </pic:pic>
              </a:graphicData>
            </a:graphic>
          </wp:anchor>
        </w:drawing>
      </w:r>
    </w:p>
    <w:p>
      <w:pPr>
        <w:spacing w:after="0" w:line="28"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Jimmy C. Tallent</w:t>
      </w:r>
    </w:p>
    <w:p>
      <w:pPr>
        <w:spacing w:after="0" w:line="20"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President and Chief Executive Officer</w:t>
      </w:r>
    </w:p>
    <w:p>
      <w:pPr>
        <w:spacing w:after="0" w:line="7"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of the Registrant</w:t>
      </w:r>
    </w:p>
    <w:p>
      <w:pPr>
        <w:spacing w:after="0" w:line="20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Date: August 2,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149860</wp:posOffset>
            </wp:positionV>
            <wp:extent cx="724789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7890" cy="8255"/>
                    </a:xfrm>
                    <a:prstGeom prst="rect">
                      <a:avLst/>
                    </a:prstGeom>
                    <a:noFill/>
                  </pic:spPr>
                </pic:pic>
              </a:graphicData>
            </a:graphic>
          </wp:anchor>
        </w:drawing>
      </w:r>
    </w:p>
    <w:p>
      <w:pPr>
        <w:sectPr>
          <w:pgSz w:w="11900" w:h="16838" w:orient="portrait"/>
          <w:cols w:equalWidth="0" w:num="1">
            <w:col w:w="11420"/>
          </w:cols>
          <w:pgMar w:left="240" w:top="255" w:right="239" w:bottom="1440" w:gutter="0" w:footer="0" w:header="0"/>
        </w:sectPr>
      </w:pPr>
    </w:p>
    <w:bookmarkStart w:id="70" w:name="page71"/>
    <w:bookmarkEnd w:id="70"/>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154940</wp:posOffset>
            </wp:positionH>
            <wp:positionV relativeFrom="page">
              <wp:posOffset>88900</wp:posOffset>
            </wp:positionV>
            <wp:extent cx="7268845" cy="1905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8845" cy="19050"/>
                    </a:xfrm>
                    <a:prstGeom prst="rect">
                      <a:avLst/>
                    </a:prstGeom>
                    <a:noFill/>
                  </pic:spPr>
                </pic:pic>
              </a:graphicData>
            </a:graphic>
          </wp:anchor>
        </w:drawing>
        <w:t>Exhibit 31.2</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 Rex S. Schuette, certify that:</w:t>
      </w:r>
    </w:p>
    <w:p>
      <w:pPr>
        <w:spacing w:after="0" w:line="248" w:lineRule="exact"/>
        <w:rPr>
          <w:sz w:val="20"/>
          <w:szCs w:val="20"/>
          <w:color w:val="auto"/>
        </w:rPr>
      </w:pPr>
    </w:p>
    <w:p>
      <w:pPr>
        <w:ind w:left="240" w:hanging="233"/>
        <w:spacing w:after="0"/>
        <w:tabs>
          <w:tab w:leader="none" w:pos="2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United Community Banks, Inc. (the “Registrant”);</w:t>
      </w:r>
    </w:p>
    <w:p>
      <w:pPr>
        <w:spacing w:after="0" w:line="248" w:lineRule="exact"/>
        <w:rPr>
          <w:rFonts w:ascii="Arial" w:cs="Arial" w:eastAsia="Arial" w:hAnsi="Arial"/>
          <w:sz w:val="18"/>
          <w:szCs w:val="18"/>
          <w:color w:val="auto"/>
        </w:rPr>
      </w:pPr>
    </w:p>
    <w:p>
      <w:pPr>
        <w:ind w:firstLine="7"/>
        <w:spacing w:after="0" w:line="335" w:lineRule="auto"/>
        <w:tabs>
          <w:tab w:leader="none" w:pos="223" w:val="left"/>
        </w:tabs>
        <w:numPr>
          <w:ilvl w:val="0"/>
          <w:numId w:val="1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6" w:lineRule="exact"/>
        <w:rPr>
          <w:rFonts w:ascii="Arial" w:cs="Arial" w:eastAsia="Arial" w:hAnsi="Arial"/>
          <w:sz w:val="16"/>
          <w:szCs w:val="16"/>
          <w:color w:val="auto"/>
        </w:rPr>
      </w:pPr>
    </w:p>
    <w:p>
      <w:pPr>
        <w:ind w:firstLine="7"/>
        <w:spacing w:after="0" w:line="271" w:lineRule="auto"/>
        <w:tabs>
          <w:tab w:leader="none" w:pos="231"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02" w:lineRule="exact"/>
        <w:rPr>
          <w:rFonts w:ascii="Arial" w:cs="Arial" w:eastAsia="Arial" w:hAnsi="Arial"/>
          <w:sz w:val="18"/>
          <w:szCs w:val="18"/>
          <w:color w:val="auto"/>
        </w:rPr>
      </w:pPr>
    </w:p>
    <w:p>
      <w:pPr>
        <w:jc w:val="both"/>
        <w:ind w:firstLine="7"/>
        <w:spacing w:after="0" w:line="260" w:lineRule="auto"/>
        <w:tabs>
          <w:tab w:leader="none" w:pos="242"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 - 15(f) and 15d - 15(f)) for the registrant and have:</w:t>
      </w:r>
    </w:p>
    <w:p>
      <w:pPr>
        <w:spacing w:after="0" w:line="211" w:lineRule="exact"/>
        <w:rPr>
          <w:rFonts w:ascii="Arial" w:cs="Arial" w:eastAsia="Arial" w:hAnsi="Arial"/>
          <w:sz w:val="18"/>
          <w:szCs w:val="18"/>
          <w:color w:val="auto"/>
        </w:rPr>
      </w:pPr>
    </w:p>
    <w:p>
      <w:pPr>
        <w:jc w:val="both"/>
        <w:ind w:left="660" w:hanging="10"/>
        <w:spacing w:after="0" w:line="260" w:lineRule="auto"/>
        <w:tabs>
          <w:tab w:leader="none" w:pos="866"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1" w:lineRule="exact"/>
        <w:rPr>
          <w:rFonts w:ascii="Arial" w:cs="Arial" w:eastAsia="Arial" w:hAnsi="Arial"/>
          <w:sz w:val="18"/>
          <w:szCs w:val="18"/>
          <w:color w:val="auto"/>
        </w:rPr>
      </w:pPr>
    </w:p>
    <w:p>
      <w:pPr>
        <w:jc w:val="both"/>
        <w:ind w:left="660" w:hanging="10"/>
        <w:spacing w:after="0" w:line="260" w:lineRule="auto"/>
        <w:tabs>
          <w:tab w:leader="none" w:pos="895"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1" w:lineRule="exact"/>
        <w:rPr>
          <w:rFonts w:ascii="Arial" w:cs="Arial" w:eastAsia="Arial" w:hAnsi="Arial"/>
          <w:sz w:val="18"/>
          <w:szCs w:val="18"/>
          <w:color w:val="auto"/>
        </w:rPr>
      </w:pPr>
    </w:p>
    <w:p>
      <w:pPr>
        <w:ind w:left="660" w:hanging="10"/>
        <w:spacing w:after="0" w:line="302" w:lineRule="auto"/>
        <w:tabs>
          <w:tab w:leader="none" w:pos="893" w:val="left"/>
        </w:tabs>
        <w:numPr>
          <w:ilvl w:val="1"/>
          <w:numId w:val="14"/>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7" w:lineRule="exact"/>
        <w:rPr>
          <w:rFonts w:ascii="Arial" w:cs="Arial" w:eastAsia="Arial" w:hAnsi="Arial"/>
          <w:sz w:val="17"/>
          <w:szCs w:val="17"/>
          <w:color w:val="auto"/>
        </w:rPr>
      </w:pPr>
    </w:p>
    <w:p>
      <w:pPr>
        <w:ind w:left="660" w:right="20" w:hanging="10"/>
        <w:spacing w:after="0" w:line="335" w:lineRule="auto"/>
        <w:tabs>
          <w:tab w:leader="none" w:pos="853" w:val="left"/>
        </w:tabs>
        <w:numPr>
          <w:ilvl w:val="1"/>
          <w:numId w:val="14"/>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56" w:lineRule="exact"/>
        <w:rPr>
          <w:rFonts w:ascii="Arial" w:cs="Arial" w:eastAsia="Arial" w:hAnsi="Arial"/>
          <w:sz w:val="16"/>
          <w:szCs w:val="16"/>
          <w:color w:val="auto"/>
        </w:rPr>
      </w:pPr>
    </w:p>
    <w:p>
      <w:pPr>
        <w:ind w:firstLine="7"/>
        <w:spacing w:after="0" w:line="271" w:lineRule="auto"/>
        <w:tabs>
          <w:tab w:leader="none" w:pos="211"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w:t>
      </w:r>
    </w:p>
    <w:p>
      <w:pPr>
        <w:spacing w:after="0" w:line="202" w:lineRule="exact"/>
        <w:rPr>
          <w:rFonts w:ascii="Arial" w:cs="Arial" w:eastAsia="Arial" w:hAnsi="Arial"/>
          <w:sz w:val="18"/>
          <w:szCs w:val="18"/>
          <w:color w:val="auto"/>
        </w:rPr>
      </w:pPr>
    </w:p>
    <w:p>
      <w:pPr>
        <w:ind w:left="660" w:hanging="10"/>
        <w:spacing w:after="0" w:line="271" w:lineRule="auto"/>
        <w:tabs>
          <w:tab w:leader="none" w:pos="861" w:val="left"/>
        </w:tabs>
        <w:numPr>
          <w:ilvl w:val="1"/>
          <w:numId w:val="1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02" w:lineRule="exact"/>
        <w:rPr>
          <w:rFonts w:ascii="Arial" w:cs="Arial" w:eastAsia="Arial" w:hAnsi="Arial"/>
          <w:sz w:val="18"/>
          <w:szCs w:val="18"/>
          <w:color w:val="auto"/>
        </w:rPr>
      </w:pPr>
    </w:p>
    <w:p>
      <w:pPr>
        <w:ind w:left="660" w:hanging="10"/>
        <w:spacing w:after="0" w:line="271" w:lineRule="auto"/>
        <w:tabs>
          <w:tab w:leader="none" w:pos="867" w:val="left"/>
        </w:tabs>
        <w:numPr>
          <w:ilvl w:val="1"/>
          <w:numId w:val="1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1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b w:val="1"/>
          <w:bCs w:val="1"/>
          <w:i w:val="1"/>
          <w:iCs w:val="1"/>
          <w:color w:val="auto"/>
        </w:rPr>
        <w:t>/s/ Rex S. Schuette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3849370</wp:posOffset>
            </wp:positionH>
            <wp:positionV relativeFrom="paragraph">
              <wp:posOffset>22225</wp:posOffset>
            </wp:positionV>
            <wp:extent cx="25349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534920" cy="17145"/>
                    </a:xfrm>
                    <a:prstGeom prst="rect">
                      <a:avLst/>
                    </a:prstGeom>
                    <a:noFill/>
                  </pic:spPr>
                </pic:pic>
              </a:graphicData>
            </a:graphic>
          </wp:anchor>
        </w:drawing>
      </w:r>
    </w:p>
    <w:p>
      <w:pPr>
        <w:spacing w:after="0" w:line="28"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Rex S. Schuette</w:t>
      </w:r>
    </w:p>
    <w:p>
      <w:pPr>
        <w:spacing w:after="0" w:line="20"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Executive Vice President and Chief Financial Officer</w:t>
      </w:r>
    </w:p>
    <w:p>
      <w:pPr>
        <w:spacing w:after="0" w:line="7"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of the Registrant</w:t>
      </w:r>
    </w:p>
    <w:p>
      <w:pPr>
        <w:spacing w:after="0" w:line="20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Date: August 2,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149860</wp:posOffset>
            </wp:positionV>
            <wp:extent cx="724789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7890" cy="8255"/>
                    </a:xfrm>
                    <a:prstGeom prst="rect">
                      <a:avLst/>
                    </a:prstGeom>
                    <a:noFill/>
                  </pic:spPr>
                </pic:pic>
              </a:graphicData>
            </a:graphic>
          </wp:anchor>
        </w:drawing>
      </w:r>
    </w:p>
    <w:p>
      <w:pPr>
        <w:sectPr>
          <w:pgSz w:w="11900" w:h="16838" w:orient="portrait"/>
          <w:cols w:equalWidth="0" w:num="1">
            <w:col w:w="11420"/>
          </w:cols>
          <w:pgMar w:left="240" w:top="255" w:right="239" w:bottom="1440" w:gutter="0" w:footer="0" w:header="0"/>
        </w:sectPr>
      </w:pPr>
    </w:p>
    <w:bookmarkStart w:id="71" w:name="page72"/>
    <w:bookmarkEnd w:id="71"/>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154940</wp:posOffset>
            </wp:positionH>
            <wp:positionV relativeFrom="page">
              <wp:posOffset>88900</wp:posOffset>
            </wp:positionV>
            <wp:extent cx="7268845" cy="1905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8845" cy="19050"/>
                    </a:xfrm>
                    <a:prstGeom prst="rect">
                      <a:avLst/>
                    </a:prstGeom>
                    <a:noFill/>
                  </pic:spPr>
                </pic:pic>
              </a:graphicData>
            </a:graphic>
          </wp:anchor>
        </w:drawing>
        <w:t>Exhibit 32</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3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connection with the Quarterly Report of United Community Banks, Inc. (“United”) on Form 10-Q for the period ending June 30, 2013 filed with the Securities and Exchange Commission on the date hereof (the “Report”), I, Jimmy C. Tallent, President and Chief Executive Officer of United, and I, Rex S. Schuette, Executive Vice President and Chief Financial Officer of United, certify, pursuant to 18 U.S.C. Section 1350, as adopted pursuant to Section 906 of the Sarbanes-Oxley Act of 2002, that:</w:t>
      </w:r>
    </w:p>
    <w:p>
      <w:pPr>
        <w:spacing w:after="0" w:line="215" w:lineRule="exact"/>
        <w:rPr>
          <w:sz w:val="20"/>
          <w:szCs w:val="20"/>
          <w:color w:val="auto"/>
        </w:rPr>
      </w:pPr>
    </w:p>
    <w:p>
      <w:pPr>
        <w:ind w:left="980" w:hanging="330"/>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48" w:lineRule="exact"/>
        <w:rPr>
          <w:rFonts w:ascii="Arial" w:cs="Arial" w:eastAsia="Arial" w:hAnsi="Arial"/>
          <w:sz w:val="18"/>
          <w:szCs w:val="18"/>
          <w:color w:val="auto"/>
        </w:rPr>
      </w:pPr>
    </w:p>
    <w:p>
      <w:pPr>
        <w:ind w:left="980" w:hanging="330"/>
        <w:spacing w:after="0"/>
        <w:tabs>
          <w:tab w:leader="none" w:pos="98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 of operations of United.</w:t>
      </w:r>
    </w:p>
    <w:p>
      <w:pPr>
        <w:spacing w:after="0" w:line="26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b w:val="1"/>
          <w:bCs w:val="1"/>
          <w:i w:val="1"/>
          <w:iCs w:val="1"/>
          <w:color w:val="auto"/>
        </w:rPr>
        <w:t>/s/ Jimmy C. Tallent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3849370</wp:posOffset>
            </wp:positionH>
            <wp:positionV relativeFrom="paragraph">
              <wp:posOffset>22225</wp:posOffset>
            </wp:positionV>
            <wp:extent cx="25349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534920" cy="17145"/>
                    </a:xfrm>
                    <a:prstGeom prst="rect">
                      <a:avLst/>
                    </a:prstGeom>
                    <a:noFill/>
                  </pic:spPr>
                </pic:pic>
              </a:graphicData>
            </a:graphic>
          </wp:anchor>
        </w:drawing>
      </w:r>
    </w:p>
    <w:p>
      <w:pPr>
        <w:spacing w:after="0" w:line="28"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Jimmy C. Tallent</w:t>
      </w:r>
    </w:p>
    <w:p>
      <w:pPr>
        <w:spacing w:after="0" w:line="20"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President and Chief Executive Officer</w:t>
      </w:r>
    </w:p>
    <w:p>
      <w:pPr>
        <w:spacing w:after="0" w:line="23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b w:val="1"/>
          <w:bCs w:val="1"/>
          <w:i w:val="1"/>
          <w:iCs w:val="1"/>
          <w:color w:val="auto"/>
        </w:rPr>
        <w:t>/s/ Rex S. Schuette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3849370</wp:posOffset>
            </wp:positionH>
            <wp:positionV relativeFrom="paragraph">
              <wp:posOffset>22225</wp:posOffset>
            </wp:positionV>
            <wp:extent cx="25349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534920" cy="17145"/>
                    </a:xfrm>
                    <a:prstGeom prst="rect">
                      <a:avLst/>
                    </a:prstGeom>
                    <a:noFill/>
                  </pic:spPr>
                </pic:pic>
              </a:graphicData>
            </a:graphic>
          </wp:anchor>
        </w:drawing>
      </w:r>
    </w:p>
    <w:p>
      <w:pPr>
        <w:spacing w:after="0" w:line="28"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Rex S. Schuette</w:t>
      </w:r>
    </w:p>
    <w:p>
      <w:pPr>
        <w:spacing w:after="0" w:line="20"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Executive Vice President and</w:t>
      </w:r>
    </w:p>
    <w:p>
      <w:pPr>
        <w:spacing w:after="0" w:line="7"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Chief Financial Officer</w:t>
      </w:r>
    </w:p>
    <w:p>
      <w:pPr>
        <w:spacing w:after="0" w:line="20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Date: August 2,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149860</wp:posOffset>
            </wp:positionV>
            <wp:extent cx="724789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7890" cy="8255"/>
                    </a:xfrm>
                    <a:prstGeom prst="rect">
                      <a:avLst/>
                    </a:prstGeom>
                    <a:noFill/>
                  </pic:spPr>
                </pic:pic>
              </a:graphicData>
            </a:graphic>
          </wp:anchor>
        </w:drawing>
      </w:r>
    </w:p>
    <w:sectPr>
      <w:pgSz w:w="11900" w:h="16838" w:orient="portrait"/>
      <w:cols w:equalWidth="0" w:num="1">
        <w:col w:w="11420"/>
      </w:cols>
      <w:pgMar w:left="240" w:top="25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545E146"/>
    <w:multiLevelType w:val="hybridMultilevel"/>
    <w:lvl w:ilvl="0">
      <w:lvlJc w:val="left"/>
      <w:lvlText w:val="x"/>
      <w:numFmt w:val="bullet"/>
      <w:start w:val="1"/>
    </w:lvl>
  </w:abstractNum>
  <w:abstractNum w:abstractNumId="1">
    <w:nsid w:val="515F007C"/>
    <w:multiLevelType w:val="hybridMultilevel"/>
    <w:lvl w:ilvl="0">
      <w:lvlJc w:val="left"/>
      <w:lvlText w:val="o"/>
      <w:numFmt w:val="bullet"/>
      <w:start w:val="1"/>
    </w:lvl>
  </w:abstractNum>
  <w:abstractNum w:abstractNumId="2">
    <w:nsid w:val="5BD062C2"/>
    <w:multiLevelType w:val="hybridMultilevel"/>
    <w:lvl w:ilvl="0">
      <w:lvlJc w:val="left"/>
      <w:lvlText w:val="(%1)"/>
      <w:numFmt w:val="decimal"/>
      <w:start w:val="1"/>
    </w:lvl>
  </w:abstractNum>
  <w:abstractNum w:abstractNumId="3">
    <w:nsid w:val="12200854"/>
    <w:multiLevelType w:val="hybridMultilevel"/>
    <w:lvl w:ilvl="0">
      <w:lvlJc w:val="left"/>
      <w:lvlText w:val="(%1)"/>
      <w:numFmt w:val="decimal"/>
      <w:start w:val="1"/>
    </w:lvl>
  </w:abstractNum>
  <w:abstractNum w:abstractNumId="4">
    <w:nsid w:val="4DB127F8"/>
    <w:multiLevelType w:val="hybridMultilevel"/>
    <w:lvl w:ilvl="0">
      <w:lvlJc w:val="left"/>
      <w:lvlText w:val="●"/>
      <w:numFmt w:val="bullet"/>
      <w:start w:val="1"/>
    </w:lvl>
  </w:abstractNum>
  <w:abstractNum w:abstractNumId="5">
    <w:nsid w:val="216231B"/>
    <w:multiLevelType w:val="hybridMultilevel"/>
    <w:lvl w:ilvl="0">
      <w:lvlJc w:val="left"/>
      <w:lvlText w:val="(%1)"/>
      <w:numFmt w:val="decimal"/>
      <w:start w:val="1"/>
    </w:lvl>
  </w:abstractNum>
  <w:abstractNum w:abstractNumId="6">
    <w:nsid w:val="1F16E9E8"/>
    <w:multiLevelType w:val="hybridMultilevel"/>
    <w:lvl w:ilvl="0">
      <w:lvlJc w:val="left"/>
      <w:lvlText w:val="(%1)"/>
      <w:numFmt w:val="decimal"/>
      <w:start w:val="1"/>
    </w:lvl>
  </w:abstractNum>
  <w:abstractNum w:abstractNumId="7">
    <w:nsid w:val="1190CDE7"/>
    <w:multiLevelType w:val="hybridMultilevel"/>
    <w:lvl w:ilvl="0">
      <w:lvlJc w:val="left"/>
      <w:lvlText w:val="(%1)"/>
      <w:numFmt w:val="decimal"/>
      <w:start w:val="1"/>
    </w:lvl>
  </w:abstractNum>
  <w:abstractNum w:abstractNumId="8">
    <w:nsid w:val="66EF438D"/>
    <w:multiLevelType w:val="hybridMultilevel"/>
    <w:lvl w:ilvl="0">
      <w:lvlJc w:val="left"/>
      <w:lvlText w:val="*"/>
      <w:numFmt w:val="bullet"/>
      <w:start w:val="1"/>
    </w:lvl>
  </w:abstractNum>
  <w:abstractNum w:abstractNumId="9">
    <w:nsid w:val="140E0F76"/>
    <w:multiLevelType w:val="hybridMultilevel"/>
    <w:lvl w:ilvl="0">
      <w:lvlJc w:val="left"/>
      <w:lvlText w:val="(%1)"/>
      <w:numFmt w:val="decimal"/>
      <w:start w:val="1"/>
    </w:lvl>
  </w:abstractNum>
  <w:abstractNum w:abstractNumId="10">
    <w:nsid w:val="3352255A"/>
    <w:multiLevelType w:val="hybridMultilevel"/>
    <w:lvl w:ilvl="0">
      <w:lvlJc w:val="left"/>
      <w:lvlText w:val="(%1)"/>
      <w:numFmt w:val="decimal"/>
      <w:start w:val="1"/>
    </w:lvl>
  </w:abstractNum>
  <w:abstractNum w:abstractNumId="11">
    <w:nsid w:val="109CF92E"/>
    <w:multiLevelType w:val="hybridMultilevel"/>
    <w:lvl w:ilvl="0">
      <w:lvlJc w:val="left"/>
      <w:lvlText w:val="(%1)"/>
      <w:numFmt w:val="upperLetter"/>
      <w:start w:val="1"/>
    </w:lvl>
  </w:abstractNum>
  <w:abstractNum w:abstractNumId="12">
    <w:nsid w:val="DED7263"/>
    <w:multiLevelType w:val="hybridMultilevel"/>
    <w:lvl w:ilvl="0">
      <w:lvlJc w:val="left"/>
      <w:lvlText w:val="%1."/>
      <w:numFmt w:val="decimal"/>
      <w:start w:val="1"/>
    </w:lvl>
    <w:lvl w:ilvl="1">
      <w:lvlJc w:val="left"/>
      <w:lvlText w:val="%2)"/>
      <w:numFmt w:val="lowerLetter"/>
      <w:start w:val="1"/>
    </w:lvl>
  </w:abstractNum>
  <w:abstractNum w:abstractNumId="13">
    <w:nsid w:val="7FDCC233"/>
    <w:multiLevelType w:val="hybridMultilevel"/>
    <w:lvl w:ilvl="0">
      <w:lvlJc w:val="left"/>
      <w:lvlText w:val="%1."/>
      <w:numFmt w:val="decimal"/>
      <w:start w:val="1"/>
    </w:lvl>
    <w:lvl w:ilvl="1">
      <w:lvlJc w:val="left"/>
      <w:lvlText w:val="%2)"/>
      <w:numFmt w:val="lowerLetter"/>
      <w:start w:val="1"/>
    </w:lvl>
  </w:abstractNum>
  <w:abstractNum w:abstractNumId="14">
    <w:nsid w:val="1BEFD79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2019-12-06T04:31:13Z</dcterms:created>
  <dcterms:modified xsi:type="dcterms:W3CDTF">2019-12-06T04:31:13Z</dcterms:modified>
</cp:coreProperties>
</file>